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p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79" w:type="dxa"/>
        <w:jc w:val="left"/>
        <w:tblInd w:w="0" w:type="dxa"/>
        <w:tblLayout w:type="fixed"/>
        <w:tblCellMar>
          <w:top w:w="28" w:type="dxa"/>
          <w:left w:w="28" w:type="dxa"/>
          <w:bottom w:w="28" w:type="dxa"/>
          <w:right w:w="28" w:type="dxa"/>
        </w:tblCellMar>
      </w:tblPr>
      <w:tblGrid>
        <w:gridCol w:w="179"/>
        <w:gridCol w:w="158"/>
        <w:gridCol w:w="158"/>
        <w:gridCol w:w="2538"/>
        <w:gridCol w:w="2538"/>
        <w:gridCol w:w="3608"/>
      </w:tblGrid>
      <w:t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c>
          <w:tcPr>
            <w:tcW w:w="9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 One)</w:t>
            </w:r>
          </w:p>
        </w:tc>
      </w:tr>
      <w:t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2026</w:t>
      </w:r>
    </w:p>
    <w:p>
      <w:pPr>
        <w:pStyle w:val="TextBody"/>
        <w:bidi w:val="0"/>
        <w:spacing w:lineRule="auto" w:line="288" w:before="60" w:after="60"/>
        <w:jc w:val="center"/>
        <w:rPr>
          <w:rFonts w:ascii="Times New Roman;serif" w:hAnsi="Times New Roman;serif"/>
          <w:b/>
          <w:color w:val="000000"/>
          <w:sz w:val="12"/>
        </w:rPr>
      </w:pPr>
      <w:r>
        <w:rPr>
          <w:rFonts w:ascii="Times New Roman;serif" w:hAnsi="Times New Roman;serif"/>
          <w:b/>
          <w:color w:val="000000"/>
          <w:sz w:val="12"/>
        </w:rPr>
        <w:t>or</w:t>
      </w:r>
    </w:p>
    <w:tbl>
      <w:tblPr>
        <w:tblW w:w="9431" w:type="dxa"/>
        <w:jc w:val="left"/>
        <w:tblInd w:w="0" w:type="dxa"/>
        <w:tblLayout w:type="fixed"/>
        <w:tblCellMar>
          <w:top w:w="28" w:type="dxa"/>
          <w:left w:w="28" w:type="dxa"/>
          <w:bottom w:w="28" w:type="dxa"/>
          <w:right w:w="28" w:type="dxa"/>
        </w:tblCellMar>
      </w:tblPr>
      <w:tblGrid>
        <w:gridCol w:w="124"/>
        <w:gridCol w:w="109"/>
        <w:gridCol w:w="109"/>
        <w:gridCol w:w="2660"/>
        <w:gridCol w:w="2660"/>
        <w:gridCol w:w="376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00"/>
        <w:jc w:val="center"/>
      </w:pPr>
      <w:r>
        <w:rPr>
          <w:rFonts w:ascii="Times New Roman;serif" w:hAnsi="Times New Roman;serif"/>
          <w:b/>
          <w:color w:val="000000"/>
          <w:sz w:val="16"/>
        </w:rPr>
        <w:t>For the transition period from</w:t>
      </w:r>
      <w:r>
        <w:rPr>
          <w:color w:val="000000"/>
        </w:rPr>
        <w:t xml:space="preserve">                       </w:t>
      </w:r>
      <w:r>
        <w:rPr>
          <w:rFonts w:ascii="Times New Roman;serif" w:hAnsi="Times New Roman;serif"/>
          <w:b w:val="false"/>
          <w:color w:val="000000"/>
          <w:sz w:val="20"/>
        </w:rPr>
        <w:t>to   </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001-42856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drawing>
          <wp:inline distT="0" distB="0" distL="0" distR="0">
            <wp:extent cx="18288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952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Versant Media Group, Inc.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01" w:type="dxa"/>
        <w:jc w:val="center"/>
        <w:tblInd w:w="0" w:type="dxa"/>
        <w:tblLayout w:type="fixed"/>
        <w:tblCellMar>
          <w:top w:w="28" w:type="dxa"/>
          <w:left w:w="28" w:type="dxa"/>
          <w:bottom w:w="28" w:type="dxa"/>
          <w:right w:w="28" w:type="dxa"/>
        </w:tblCellMar>
      </w:tblPr>
      <w:tblGrid>
        <w:gridCol w:w="1555"/>
        <w:gridCol w:w="1364"/>
        <w:gridCol w:w="1371"/>
        <w:gridCol w:w="109"/>
        <w:gridCol w:w="109"/>
        <w:gridCol w:w="109"/>
        <w:gridCol w:w="871"/>
        <w:gridCol w:w="871"/>
        <w:gridCol w:w="1242"/>
      </w:tblGrid>
      <w:t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c>
          <w:tcPr>
            <w:tcW w:w="4290" w:type="dxa"/>
            <w:gridSpan w:val="3"/>
            <w:tcBorders/>
            <w:tcMar>
              <w:top w:w="0" w:type="dxa"/>
              <w:left w:w="0" w:type="dxa"/>
              <w:bottom w:w="0" w:type="dxa"/>
              <w:right w:w="0" w:type="dxa"/>
            </w:tcMar>
            <w:vAlign w:val="center"/>
          </w:tcPr>
          <w:p>
            <w:pPr>
              <w:pStyle w:val="TableContents"/>
              <w:bidi w:val="0"/>
              <w:spacing w:lineRule="auto" w:line="268" w:before="6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39-2087186</w:t>
            </w:r>
          </w:p>
        </w:tc>
      </w:tr>
      <w:t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229 West 43rd Street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60" w:after="60"/>
              <w:jc w:val="center"/>
              <w:rPr>
                <w:rFonts w:ascii="Times New Roman;serif" w:hAnsi="Times New Roman;serif"/>
                <w:b/>
                <w:color w:val="000000"/>
                <w:sz w:val="20"/>
              </w:rPr>
            </w:pPr>
            <w:r>
              <w:rPr>
                <w:rFonts w:ascii="Times New Roman;serif" w:hAnsi="Times New Roman;serif"/>
                <w:b/>
                <w:color w:val="000000"/>
                <w:sz w:val="20"/>
              </w:rPr>
              <w:t>10036</w:t>
            </w:r>
          </w:p>
        </w:tc>
      </w:tr>
      <w:tr>
        <w:tc>
          <w:tcPr>
            <w:tcW w:w="4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c>
          <w:tcPr>
            <w:tcW w:w="7601" w:type="dxa"/>
            <w:gridSpan w:val="9"/>
            <w:tcBorders/>
            <w:tcMar>
              <w:top w:w="0" w:type="dxa"/>
              <w:left w:w="0" w:type="dxa"/>
              <w:bottom w:w="0" w:type="dxa"/>
              <w:right w:w="0" w:type="dxa"/>
            </w:tcMar>
            <w:vAlign w:val="center"/>
          </w:tcPr>
          <w:p>
            <w:pPr>
              <w:pStyle w:val="TableContents"/>
              <w:bidi w:val="0"/>
              <w:spacing w:lineRule="auto" w:line="268" w:before="0" w:after="0"/>
              <w:jc w:val="cente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(646) 832-1000</w:t>
            </w:r>
          </w:p>
        </w:tc>
      </w:tr>
    </w:tbl>
    <w:tbl>
      <w:tblPr>
        <w:tblW w:w="10052" w:type="dxa"/>
        <w:jc w:val="left"/>
        <w:tblInd w:w="0" w:type="dxa"/>
        <w:tblLayout w:type="fixed"/>
        <w:tblCellMar>
          <w:top w:w="28" w:type="dxa"/>
          <w:left w:w="28" w:type="dxa"/>
          <w:bottom w:w="28" w:type="dxa"/>
          <w:right w:w="28" w:type="dxa"/>
        </w:tblCellMar>
      </w:tblPr>
      <w:tblGrid>
        <w:gridCol w:w="1312"/>
        <w:gridCol w:w="1151"/>
        <w:gridCol w:w="1151"/>
        <w:gridCol w:w="278"/>
        <w:gridCol w:w="278"/>
        <w:gridCol w:w="278"/>
        <w:gridCol w:w="485"/>
        <w:gridCol w:w="485"/>
        <w:gridCol w:w="485"/>
        <w:gridCol w:w="278"/>
        <w:gridCol w:w="278"/>
        <w:gridCol w:w="278"/>
        <w:gridCol w:w="971"/>
        <w:gridCol w:w="971"/>
        <w:gridCol w:w="1373"/>
      </w:tblGrid>
      <w:t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$0.01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VSNT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64" w:type="dxa"/>
        <w:jc w:val="left"/>
        <w:tblInd w:w="0" w:type="dxa"/>
        <w:tblLayout w:type="fixed"/>
        <w:tblCellMar>
          <w:top w:w="28" w:type="dxa"/>
          <w:left w:w="28" w:type="dxa"/>
          <w:bottom w:w="28" w:type="dxa"/>
          <w:right w:w="28" w:type="dxa"/>
        </w:tblCellMar>
      </w:tblPr>
      <w:tblGrid>
        <w:gridCol w:w="603"/>
        <w:gridCol w:w="530"/>
        <w:gridCol w:w="532"/>
        <w:gridCol w:w="125"/>
        <w:gridCol w:w="125"/>
        <w:gridCol w:w="126"/>
        <w:gridCol w:w="109"/>
        <w:gridCol w:w="109"/>
        <w:gridCol w:w="109"/>
        <w:gridCol w:w="674"/>
        <w:gridCol w:w="674"/>
        <w:gridCol w:w="676"/>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October 20, 2026, Versant Media Group, Inc. had 136,314,906 shares of Class A common stock and 377,775 shares of Class B common stock outstanding.</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pPr>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882" w:type="dxa"/>
        <w:jc w:val="left"/>
        <w:tblInd w:w="0" w:type="dxa"/>
        <w:tblLayout w:type="fixed"/>
        <w:tblCellMar>
          <w:top w:w="28" w:type="dxa"/>
          <w:left w:w="28" w:type="dxa"/>
          <w:bottom w:w="28" w:type="dxa"/>
          <w:right w:w="28" w:type="dxa"/>
        </w:tblCellMar>
      </w:tblPr>
      <w:tblGrid>
        <w:gridCol w:w="352"/>
        <w:gridCol w:w="310"/>
        <w:gridCol w:w="314"/>
        <w:gridCol w:w="2454"/>
        <w:gridCol w:w="2454"/>
        <w:gridCol w:w="2457"/>
        <w:gridCol w:w="158"/>
        <w:gridCol w:w="158"/>
        <w:gridCol w:w="225"/>
      </w:tblGrid>
      <w:t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INFORMATION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22">
              <w:r>
                <w:rPr>
                  <w:rStyle w:val="InternetLink"/>
                  <w:rFonts w:ascii="Times New Roman;serif" w:hAnsi="Times New Roman;serif"/>
                  <w:b w:val="false"/>
                  <w:color w:val="0000FF"/>
                  <w:sz w:val="20"/>
                  <w:u w:val="single"/>
                </w:rPr>
                <w:t>Condensed Consolidated and Combined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22">
              <w:r>
                <w:rPr>
                  <w:rStyle w:val="InternetLink"/>
                  <w:rFonts w:ascii="Times New Roman;serif" w:hAnsi="Times New Roman;serif"/>
                  <w:b w:val="false"/>
                  <w:color w:val="0000FF"/>
                  <w:sz w:val="20"/>
                  <w:u w:val="single"/>
                </w:rPr>
                <w:t>5</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25">
              <w:r>
                <w:rPr>
                  <w:rStyle w:val="InternetLink"/>
                  <w:rFonts w:ascii="Times New Roman;serif" w:hAnsi="Times New Roman;serif"/>
                  <w:b w:val="false"/>
                  <w:color w:val="0000FF"/>
                  <w:sz w:val="20"/>
                  <w:u w:val="single"/>
                </w:rPr>
                <w:t>Condensed Consolidated and Combined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25">
              <w:r>
                <w:rPr>
                  <w:rStyle w:val="InternetLink"/>
                  <w:rFonts w:ascii="Times New Roman;serif" w:hAnsi="Times New Roman;serif"/>
                  <w:b w:val="false"/>
                  <w:color w:val="0000FF"/>
                  <w:sz w:val="20"/>
                  <w:u w:val="single"/>
                </w:rPr>
                <w:t>6</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28">
              <w:r>
                <w:rPr>
                  <w:rStyle w:val="InternetLink"/>
                  <w:rFonts w:ascii="Times New Roman;serif" w:hAnsi="Times New Roman;serif"/>
                  <w:b w:val="false"/>
                  <w:color w:val="0000FF"/>
                  <w:sz w:val="20"/>
                  <w:u w:val="single"/>
                </w:rPr>
                <w:t>Condensed Consolidated and Combined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28">
              <w:r>
                <w:rPr>
                  <w:rStyle w:val="InternetLink"/>
                  <w:rFonts w:ascii="Times New Roman;serif" w:hAnsi="Times New Roman;serif"/>
                  <w:b w:val="false"/>
                  <w:color w:val="0000FF"/>
                  <w:sz w:val="20"/>
                  <w:u w:val="single"/>
                </w:rPr>
                <w:t>7</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31">
              <w:r>
                <w:rPr>
                  <w:rStyle w:val="InternetLink"/>
                  <w:rFonts w:ascii="Times New Roman;serif" w:hAnsi="Times New Roman;serif"/>
                  <w:b w:val="false"/>
                  <w:color w:val="0000FF"/>
                  <w:sz w:val="20"/>
                  <w:u w:val="single"/>
                </w:rPr>
                <w:t>Condensed Consolidated and Combined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31">
              <w:r>
                <w:rPr>
                  <w:rStyle w:val="InternetLink"/>
                  <w:rFonts w:ascii="Times New Roman;serif" w:hAnsi="Times New Roman;serif"/>
                  <w:b w:val="false"/>
                  <w:color w:val="0000FF"/>
                  <w:sz w:val="20"/>
                  <w:u w:val="single"/>
                </w:rPr>
                <w:t>8</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34">
              <w:r>
                <w:rPr>
                  <w:rStyle w:val="InternetLink"/>
                  <w:rFonts w:ascii="Times New Roman;serif" w:hAnsi="Times New Roman;serif"/>
                  <w:b w:val="false"/>
                  <w:color w:val="0000FF"/>
                  <w:sz w:val="20"/>
                  <w:u w:val="single"/>
                </w:rPr>
                <w:t>Condensed Consolidated and Combined Statements of Changes in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34">
              <w:r>
                <w:rPr>
                  <w:rStyle w:val="InternetLink"/>
                  <w:rFonts w:ascii="Times New Roman;serif" w:hAnsi="Times New Roman;serif"/>
                  <w:b w:val="false"/>
                  <w:color w:val="0000FF"/>
                  <w:sz w:val="20"/>
                  <w:u w:val="single"/>
                </w:rPr>
                <w:t>9</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37">
              <w:r>
                <w:rPr>
                  <w:rStyle w:val="InternetLink"/>
                  <w:rFonts w:ascii="Times New Roman;serif" w:hAnsi="Times New Roman;serif"/>
                  <w:b w:val="false"/>
                  <w:color w:val="0000FF"/>
                  <w:sz w:val="20"/>
                  <w:u w:val="single"/>
                </w:rPr>
                <w:t xml:space="preserve">Notes to Condensed Consolidated and Combined Financial Statements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37">
              <w:r>
                <w:rPr>
                  <w:rStyle w:val="InternetLink"/>
                  <w:rFonts w:ascii="Times New Roman;serif" w:hAnsi="Times New Roman;serif"/>
                  <w:b w:val="false"/>
                  <w:color w:val="0000FF"/>
                  <w:sz w:val="20"/>
                  <w:u w:val="single"/>
                </w:rPr>
                <w:t>10</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40">
              <w:r>
                <w:rPr>
                  <w:rStyle w:val="InternetLink"/>
                  <w:rFonts w:ascii="Times New Roman;serif" w:hAnsi="Times New Roman;serif"/>
                  <w:b w:val="false"/>
                  <w:color w:val="0000FF"/>
                  <w:sz w:val="20"/>
                  <w:u w:val="single"/>
                </w:rPr>
                <w:t>Note 1. Business, Basis of Presentation and Significant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40">
              <w:r>
                <w:rPr>
                  <w:rStyle w:val="InternetLink"/>
                  <w:rFonts w:ascii="Times New Roman;serif" w:hAnsi="Times New Roman;serif"/>
                  <w:b w:val="false"/>
                  <w:color w:val="0000FF"/>
                  <w:sz w:val="20"/>
                  <w:u w:val="single"/>
                </w:rPr>
                <w:t>10</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43">
              <w:r>
                <w:rPr>
                  <w:rStyle w:val="InternetLink"/>
                  <w:rFonts w:ascii="Times New Roman;serif" w:hAnsi="Times New Roman;serif"/>
                  <w:b w:val="false"/>
                  <w:color w:val="0000FF"/>
                  <w:sz w:val="20"/>
                  <w:u w:val="single"/>
                </w:rPr>
                <w:t>Note 2. Revenue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43">
              <w:r>
                <w:rPr>
                  <w:rStyle w:val="InternetLink"/>
                  <w:rFonts w:ascii="Times New Roman;serif" w:hAnsi="Times New Roman;serif"/>
                  <w:b w:val="false"/>
                  <w:color w:val="0000FF"/>
                  <w:sz w:val="20"/>
                  <w:u w:val="single"/>
                </w:rPr>
                <w:t>12</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46">
              <w:r>
                <w:rPr>
                  <w:rStyle w:val="InternetLink"/>
                  <w:rFonts w:ascii="Times New Roman;serif" w:hAnsi="Times New Roman;serif"/>
                  <w:b w:val="false"/>
                  <w:color w:val="0000FF"/>
                  <w:sz w:val="20"/>
                  <w:u w:val="single"/>
                </w:rPr>
                <w:t>Note 3. Costs of Revenue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46">
              <w:r>
                <w:rPr>
                  <w:rStyle w:val="InternetLink"/>
                  <w:rFonts w:ascii="Times New Roman;serif" w:hAnsi="Times New Roman;serif"/>
                  <w:b w:val="false"/>
                  <w:color w:val="0000FF"/>
                  <w:sz w:val="20"/>
                  <w:u w:val="single"/>
                </w:rPr>
                <w:t>12</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099511628571">
              <w:r>
                <w:rPr>
                  <w:rStyle w:val="InternetLink"/>
                  <w:rFonts w:ascii="Times New Roman;serif" w:hAnsi="Times New Roman;serif"/>
                  <w:b w:val="false"/>
                  <w:color w:val="0000FF"/>
                  <w:sz w:val="20"/>
                  <w:u w:val="single"/>
                </w:rPr>
                <w:t>Note 4. Acquisitions and Divestitures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099511628571">
              <w:r>
                <w:rPr>
                  <w:rStyle w:val="InternetLink"/>
                  <w:rFonts w:ascii="Times New Roman;serif" w:hAnsi="Times New Roman;serif"/>
                  <w:b w:val="false"/>
                  <w:color w:val="0000FF"/>
                  <w:sz w:val="20"/>
                  <w:u w:val="single"/>
                </w:rPr>
                <w:t>13</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24">
              <w:r>
                <w:rPr>
                  <w:rStyle w:val="InternetLink"/>
                  <w:rFonts w:ascii="Times New Roman;serif" w:hAnsi="Times New Roman;serif"/>
                  <w:b w:val="false"/>
                  <w:color w:val="0000FF"/>
                  <w:sz w:val="20"/>
                  <w:u w:val="single"/>
                </w:rPr>
                <w:t>Note 5. Investments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24">
              <w:r>
                <w:rPr>
                  <w:rStyle w:val="InternetLink"/>
                  <w:rFonts w:ascii="Times New Roman;serif" w:hAnsi="Times New Roman;serif"/>
                  <w:b w:val="false"/>
                  <w:color w:val="0000FF"/>
                  <w:sz w:val="20"/>
                  <w:u w:val="single"/>
                </w:rPr>
                <w:t>14</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49">
              <w:r>
                <w:rPr>
                  <w:rStyle w:val="InternetLink"/>
                  <w:rFonts w:ascii="Times New Roman;serif" w:hAnsi="Times New Roman;serif"/>
                  <w:b w:val="false"/>
                  <w:color w:val="0000FF"/>
                  <w:sz w:val="20"/>
                  <w:u w:val="single"/>
                </w:rPr>
                <w:t>Note 6. Goodwill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49">
              <w:r>
                <w:rPr>
                  <w:rStyle w:val="InternetLink"/>
                  <w:rFonts w:ascii="Times New Roman;serif" w:hAnsi="Times New Roman;serif"/>
                  <w:b w:val="false"/>
                  <w:color w:val="0000FF"/>
                  <w:sz w:val="20"/>
                  <w:u w:val="single"/>
                </w:rPr>
                <w:t>15</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52">
              <w:r>
                <w:rPr>
                  <w:rStyle w:val="InternetLink"/>
                  <w:rFonts w:ascii="Times New Roman;serif" w:hAnsi="Times New Roman;serif"/>
                  <w:b w:val="false"/>
                  <w:color w:val="0000FF"/>
                  <w:sz w:val="20"/>
                  <w:u w:val="single"/>
                </w:rPr>
                <w:t>Note 7. Debt Obligations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52">
              <w:r>
                <w:rPr>
                  <w:rStyle w:val="InternetLink"/>
                  <w:rFonts w:ascii="Times New Roman;serif" w:hAnsi="Times New Roman;serif"/>
                  <w:b w:val="false"/>
                  <w:color w:val="0000FF"/>
                  <w:sz w:val="20"/>
                  <w:u w:val="single"/>
                </w:rPr>
                <w:t>15</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55">
              <w:r>
                <w:rPr>
                  <w:rStyle w:val="InternetLink"/>
                  <w:rFonts w:ascii="Times New Roman;serif" w:hAnsi="Times New Roman;serif"/>
                  <w:b w:val="false"/>
                  <w:color w:val="0000FF"/>
                  <w:sz w:val="20"/>
                  <w:u w:val="single"/>
                </w:rPr>
                <w:t>Note 8.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55">
              <w:r>
                <w:rPr>
                  <w:rStyle w:val="InternetLink"/>
                  <w:rFonts w:ascii="Times New Roman;serif" w:hAnsi="Times New Roman;serif"/>
                  <w:b w:val="false"/>
                  <w:color w:val="0000FF"/>
                  <w:sz w:val="20"/>
                  <w:u w:val="single"/>
                </w:rPr>
                <w:t>16</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58">
              <w:r>
                <w:rPr>
                  <w:rStyle w:val="InternetLink"/>
                  <w:rFonts w:ascii="Times New Roman;serif" w:hAnsi="Times New Roman;serif"/>
                  <w:b w:val="false"/>
                  <w:color w:val="0000FF"/>
                  <w:sz w:val="20"/>
                  <w:u w:val="single"/>
                </w:rPr>
                <w:t>Note 9.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58">
              <w:r>
                <w:rPr>
                  <w:rStyle w:val="InternetLink"/>
                  <w:rFonts w:ascii="Times New Roman;serif" w:hAnsi="Times New Roman;serif"/>
                  <w:b w:val="false"/>
                  <w:color w:val="0000FF"/>
                  <w:sz w:val="20"/>
                  <w:u w:val="single"/>
                </w:rPr>
                <w:t>17</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64">
              <w:r>
                <w:rPr>
                  <w:rStyle w:val="InternetLink"/>
                  <w:rFonts w:ascii="Times New Roman;serif" w:hAnsi="Times New Roman;serif"/>
                  <w:b w:val="false"/>
                  <w:color w:val="0000FF"/>
                  <w:sz w:val="20"/>
                  <w:u w:val="single"/>
                </w:rPr>
                <w:t>Note 10. Share-Based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64">
              <w:r>
                <w:rPr>
                  <w:rStyle w:val="InternetLink"/>
                  <w:rFonts w:ascii="Times New Roman;serif" w:hAnsi="Times New Roman;serif"/>
                  <w:b w:val="false"/>
                  <w:color w:val="0000FF"/>
                  <w:sz w:val="20"/>
                  <w:u w:val="single"/>
                </w:rPr>
                <w:t>18</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67">
              <w:r>
                <w:rPr>
                  <w:rStyle w:val="InternetLink"/>
                  <w:rFonts w:ascii="Times New Roman;serif" w:hAnsi="Times New Roman;serif"/>
                  <w:b w:val="false"/>
                  <w:color w:val="0000FF"/>
                  <w:sz w:val="20"/>
                  <w:u w:val="single"/>
                </w:rPr>
                <w:t>Note 11. Additional 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67">
              <w:r>
                <w:rPr>
                  <w:rStyle w:val="InternetLink"/>
                  <w:rFonts w:ascii="Times New Roman;serif" w:hAnsi="Times New Roman;serif"/>
                  <w:b w:val="false"/>
                  <w:color w:val="0000FF"/>
                  <w:sz w:val="20"/>
                  <w:u w:val="single"/>
                </w:rPr>
                <w:t>20</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70">
              <w:r>
                <w:rPr>
                  <w:rStyle w:val="InternetLink"/>
                  <w:rFonts w:ascii="Times New Roman;serif" w:hAnsi="Times New Roman;serif"/>
                  <w:b w:val="false"/>
                  <w:color w:val="0000FF"/>
                  <w:sz w:val="20"/>
                  <w:u w:val="single"/>
                </w:rPr>
                <w:t>Note 12. Related Parties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70">
              <w:r>
                <w:rPr>
                  <w:rStyle w:val="InternetLink"/>
                  <w:rFonts w:ascii="Times New Roman;serif" w:hAnsi="Times New Roman;serif"/>
                  <w:b w:val="false"/>
                  <w:color w:val="0000FF"/>
                  <w:sz w:val="20"/>
                  <w:u w:val="single"/>
                </w:rPr>
                <w:t>20</w:t>
              </w:r>
            </w:hyperlink>
          </w:p>
        </w:tc>
      </w:tr>
      <w:tr>
        <w:tc>
          <w:tcPr>
            <w:tcW w:w="976"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76">
              <w:r>
                <w:rPr>
                  <w:rStyle w:val="InternetLink"/>
                  <w:rFonts w:ascii="Times New Roman;serif" w:hAnsi="Times New Roman;serif"/>
                  <w:b w:val="false"/>
                  <w:color w:val="0000FF"/>
                  <w:sz w:val="20"/>
                  <w:u w:val="single"/>
                </w:rPr>
                <w:t>22</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91">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91">
              <w:r>
                <w:rPr>
                  <w:rStyle w:val="InternetLink"/>
                  <w:rFonts w:ascii="Times New Roman;serif" w:hAnsi="Times New Roman;serif"/>
                  <w:b w:val="false"/>
                  <w:color w:val="0000FF"/>
                  <w:sz w:val="20"/>
                  <w:u w:val="single"/>
                </w:rPr>
                <w:t>35</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94">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94">
              <w:r>
                <w:rPr>
                  <w:rStyle w:val="InternetLink"/>
                  <w:rFonts w:ascii="Times New Roman;serif" w:hAnsi="Times New Roman;serif"/>
                  <w:b w:val="false"/>
                  <w:color w:val="0000FF"/>
                  <w:sz w:val="20"/>
                  <w:u w:val="single"/>
                </w:rPr>
                <w:t>35</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97">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97">
              <w:r>
                <w:rPr>
                  <w:rStyle w:val="InternetLink"/>
                  <w:rFonts w:ascii="Times New Roman;serif" w:hAnsi="Times New Roman;serif"/>
                  <w:b w:val="false"/>
                  <w:color w:val="0000FF"/>
                  <w:sz w:val="20"/>
                  <w:u w:val="single"/>
                </w:rPr>
                <w:t>36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00">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00">
              <w:r>
                <w:rPr>
                  <w:rStyle w:val="InternetLink"/>
                  <w:rFonts w:ascii="Times New Roman;serif" w:hAnsi="Times New Roman;serif"/>
                  <w:b w:val="false"/>
                  <w:color w:val="0000FF"/>
                  <w:sz w:val="20"/>
                  <w:u w:val="single"/>
                </w:rPr>
                <w:t>36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03">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03">
              <w:r>
                <w:rPr>
                  <w:rStyle w:val="InternetLink"/>
                  <w:rFonts w:ascii="Times New Roman;serif" w:hAnsi="Times New Roman;serif"/>
                  <w:b w:val="false"/>
                  <w:color w:val="0000FF"/>
                  <w:sz w:val="20"/>
                  <w:u w:val="single"/>
                </w:rPr>
                <w:t>36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06">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06">
              <w:r>
                <w:rPr>
                  <w:rStyle w:val="InternetLink"/>
                  <w:rFonts w:ascii="Times New Roman;serif" w:hAnsi="Times New Roman;serif"/>
                  <w:b w:val="false"/>
                  <w:color w:val="0000FF"/>
                  <w:sz w:val="20"/>
                  <w:u w:val="single"/>
                </w:rPr>
                <w:t>36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09">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09">
              <w:r>
                <w:rPr>
                  <w:rStyle w:val="InternetLink"/>
                  <w:rFonts w:ascii="Times New Roman;serif" w:hAnsi="Times New Roman;serif"/>
                  <w:b w:val="false"/>
                  <w:color w:val="0000FF"/>
                  <w:sz w:val="20"/>
                  <w:u w:val="single"/>
                </w:rPr>
                <w:t>36</w:t>
              </w:r>
            </w:hyperlink>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12">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12">
              <w:r>
                <w:rPr>
                  <w:rStyle w:val="InternetLink"/>
                  <w:rFonts w:ascii="Times New Roman;serif" w:hAnsi="Times New Roman;serif"/>
                  <w:b w:val="false"/>
                  <w:color w:val="0000FF"/>
                  <w:sz w:val="20"/>
                  <w:u w:val="single"/>
                </w:rPr>
                <w:t>37</w:t>
              </w:r>
            </w:hyperlink>
          </w:p>
        </w:tc>
      </w:tr>
      <w:t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de194be3e9b4736a9309075323d9b33_115">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de194be3e9b4736a9309075323d9b33_115">
              <w:r>
                <w:rPr>
                  <w:rStyle w:val="InternetLink"/>
                  <w:rFonts w:ascii="Times New Roman;serif" w:hAnsi="Times New Roman;serif"/>
                  <w:b w:val="false"/>
                  <w:color w:val="0000FF"/>
                  <w:sz w:val="20"/>
                  <w:u w:val="single"/>
                </w:rPr>
                <w:t>38</w:t>
              </w:r>
            </w:hyperlink>
          </w:p>
        </w:tc>
      </w:tr>
    </w:tbl>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pPr>
                      <w:r/>
                    </w:p>
                  </w:txbxContent>
                </v:textbox>
                <w10:wrap type="none"/>
              </v:rect>
            </w:pict>
          </mc:Fallback>
        </mc:AlternateContent>
      </w:r>
    </w:p>
    <w:p>
      <w:pPr>
        <w:pStyle w:val="TextBody"/>
        <w:bidi w:val="0"/>
        <w:spacing w:before="0" w:after="120"/>
        <w:jc w:val="both"/>
      </w:p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60"/>
        <w:jc w:val="both"/>
        <w:rPr>
          <w:color w:val="000000"/>
        </w:rPr>
      </w:pPr>
      <w:r>
        <w:rPr>
          <w:color w:val="000000"/>
        </w:rPr>
        <w:t>“</w:t>
      </w:r>
      <w:r>
        <w:rPr>
          <w:rFonts w:ascii="Times New Roman;serif" w:hAnsi="Times New Roman;serif"/>
          <w:b w:val="false"/>
          <w:color w:val="000000"/>
          <w:sz w:val="20"/>
        </w:rPr>
        <w:t xml:space="preserve">We,” “us,” “our,” “Company,” and “Versant” refer to Versant Media Group, Inc., and its consolidated subsidiaries. </w:t>
      </w:r>
    </w:p>
    <w:p>
      <w:pPr>
        <w:pStyle w:val="TextBody"/>
        <w:bidi w:val="0"/>
        <w:spacing w:before="0" w:after="60"/>
        <w:jc w:val="left"/>
      </w:p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Rounding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3</w:t>
                      </w:r>
                    </w:p>
                  </w:txbxContent>
                </v:textbox>
                <w10:wrap type="none"/>
              </v:rect>
            </w:pict>
          </mc:Fallback>
        </mc:AlternateContent>
      </w:r>
    </w:p>
    <w:p>
      <w:pPr>
        <w:pStyle w:val="TextBody"/>
        <w:bidi w:val="0"/>
        <w:spacing w:before="0" w:after="120"/>
        <w:jc w:val="both"/>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risks and uncertainties discussed under the caption entitled “Risk Factors” in our Annual Report on Form 10-K for the year ended December 31, 2025, our subsequently filed Quarterly Reports on Form 10-Q, and in other reports we file with the U.S. Securities and Exchange Commission (“SEC”).</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Our businesses may be affected by, among other things, changes in and/or risks associated with the following:</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the competitive environment;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consumer behavior;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distribution agreements;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the advertising market;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our brands and reputation;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consumer acceptance of our content;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growth of our digital platforms;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use and protection of our intellectual property;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cyber-attacks or incidents, information or security breaches or technology disruptions;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weak economic conditions;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personnel;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labor disputes;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laws and regulations;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network rebrands;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adverse decisions in litigation or governmental investigations;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investments and acquisitions;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our separation from Comcast Corporation;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obligations associated with being a public company;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our indebtedness; and </w:t>
      </w:r>
    </w:p>
    <w:p>
      <w:pPr>
        <w:pStyle w:val="TextBody"/>
        <w:bidi w:val="0"/>
        <w:spacing w:lineRule="auto" w:line="288" w:before="0" w:after="60"/>
        <w:jc w:val="both"/>
      </w:pPr>
      <w:r>
        <w:rPr>
          <w:color w:val="000000"/>
        </w:rPr>
        <w:t>•</w:t>
      </w:r>
      <w:r>
        <w:rPr>
          <w:rFonts w:ascii="Times New Roman;serif" w:hAnsi="Times New Roman;serif"/>
          <w:b w:val="false"/>
          <w:color w:val="000000"/>
          <w:sz w:val="20"/>
        </w:rPr>
        <w:t xml:space="preserve">other risks described from time to time in reports and other documents we file with the SEC. </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18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4</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INCOME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99"/>
        <w:gridCol w:w="1578"/>
        <w:gridCol w:w="1570"/>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5"/>
      </w:tblGrid>
      <w:tr>
        <w:tc>
          <w:tcPr>
            <w:tcW w:w="189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w:t>
            </w:r>
          </w:p>
        </w:tc>
      </w:tr>
      <w:t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 except per share data)</w:t>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Revenue</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5,078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Costs of revenue (exclusive of depreciation and amortization)</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1,073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Basic earnings per common share attributable to Versant shareholders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5.19</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Diluted earnings per common share attributable to Versant shareholders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related party revenues totaling $184 million and $757 million, and related party costs of revenue totaling $464 million and $969 million, respectively, for the three and nine months ended September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12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5</w:t>
                      </w:r>
                    </w:p>
                  </w:txbxContent>
                </v:textbox>
                <w10:wrap type="none"/>
              </v:rect>
            </w:pict>
          </mc:Fallback>
        </mc:AlternateContent>
      </w: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2117"/>
        <w:gridCol w:w="1734"/>
        <w:gridCol w:w="1761"/>
        <w:gridCol w:w="109"/>
        <w:gridCol w:w="109"/>
        <w:gridCol w:w="109"/>
        <w:gridCol w:w="232"/>
        <w:gridCol w:w="414"/>
        <w:gridCol w:w="119"/>
        <w:gridCol w:w="119"/>
        <w:gridCol w:w="119"/>
        <w:gridCol w:w="119"/>
        <w:gridCol w:w="232"/>
        <w:gridCol w:w="414"/>
        <w:gridCol w:w="119"/>
        <w:gridCol w:w="109"/>
        <w:gridCol w:w="109"/>
        <w:gridCol w:w="109"/>
        <w:gridCol w:w="218"/>
        <w:gridCol w:w="497"/>
        <w:gridCol w:w="112"/>
        <w:gridCol w:w="112"/>
        <w:gridCol w:w="112"/>
        <w:gridCol w:w="112"/>
        <w:gridCol w:w="218"/>
        <w:gridCol w:w="497"/>
        <w:gridCol w:w="174"/>
      </w:tblGrid>
      <w:tr>
        <w:tc>
          <w:tcPr>
            <w:tcW w:w="2117"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w:t>
            </w:r>
          </w:p>
        </w:tc>
      </w:tr>
      <w:t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deferred taxes of $0 for each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cash flow hedges, net of taxes of $5 million and $8 million, respectively, in the three and nine months ended September 30, 2026 and $0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Comprehensive income attributable to Versant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62</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79</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751</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12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6</w:t>
                      </w:r>
                    </w:p>
                  </w:txbxContent>
                </v:textbox>
                <w10:wrap type="none"/>
              </v:rect>
            </w:pict>
          </mc:Fallback>
        </mc:AlternateContent>
      </w: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CASH FLOWS (UNAUDITED)</w:t>
      </w:r>
    </w:p>
    <w:p>
      <w:pPr>
        <w:pStyle w:val="TextBody"/>
        <w:bidi w:val="0"/>
        <w:spacing w:before="0" w:after="180"/>
        <w:jc w:val="left"/>
      </w:pPr>
      <w:r/>
    </w:p>
    <w:tbl>
      <w:tblPr>
        <w:tblW w:w="9683" w:type="dxa"/>
        <w:jc w:val="left"/>
        <w:tblInd w:w="0" w:type="dxa"/>
        <w:tblLayout w:type="fixed"/>
        <w:tblCellMar>
          <w:top w:w="28" w:type="dxa"/>
          <w:left w:w="28" w:type="dxa"/>
          <w:bottom w:w="28" w:type="dxa"/>
          <w:right w:w="28" w:type="dxa"/>
        </w:tblCellMar>
      </w:tblPr>
      <w:tblGrid>
        <w:gridCol w:w="2434"/>
        <w:gridCol w:w="2137"/>
        <w:gridCol w:w="2148"/>
        <w:gridCol w:w="109"/>
        <w:gridCol w:w="109"/>
        <w:gridCol w:w="109"/>
        <w:gridCol w:w="262"/>
        <w:gridCol w:w="784"/>
        <w:gridCol w:w="135"/>
        <w:gridCol w:w="135"/>
        <w:gridCol w:w="135"/>
        <w:gridCol w:w="135"/>
        <w:gridCol w:w="262"/>
        <w:gridCol w:w="598"/>
        <w:gridCol w:w="191"/>
      </w:tblGrid>
      <w:t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749</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investment activity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Net cash provided by operating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1,313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1,546</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of businesses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Net cash used in investing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Comcast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payment from NBCUniversal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Net cash used in financing activities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1,051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12 for related party transactions.</w:t>
      </w:r>
    </w:p>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7</w:t>
                      </w:r>
                    </w:p>
                  </w:txbxContent>
                </v:textbox>
                <w10:wrap type="none"/>
              </v:rect>
            </w:pict>
          </mc:Fallback>
        </mc:AlternateContent>
      </w: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BALANCE SHEETS (UNAUDITED)</w:t>
      </w:r>
    </w:p>
    <w:tbl>
      <w:tblPr>
        <w:tblW w:w="10205" w:type="dxa"/>
        <w:jc w:val="left"/>
        <w:tblInd w:w="0" w:type="dxa"/>
        <w:tblLayout w:type="fixed"/>
        <w:tblCellMar>
          <w:top w:w="28" w:type="dxa"/>
          <w:left w:w="28" w:type="dxa"/>
          <w:bottom w:w="28" w:type="dxa"/>
          <w:right w:w="28" w:type="dxa"/>
        </w:tblCellMar>
      </w:tblPr>
      <w:tblGrid>
        <w:gridCol w:w="2762"/>
        <w:gridCol w:w="2287"/>
        <w:gridCol w:w="2273"/>
        <w:gridCol w:w="109"/>
        <w:gridCol w:w="109"/>
        <w:gridCol w:w="109"/>
        <w:gridCol w:w="220"/>
        <w:gridCol w:w="770"/>
        <w:gridCol w:w="113"/>
        <w:gridCol w:w="109"/>
        <w:gridCol w:w="109"/>
        <w:gridCol w:w="109"/>
        <w:gridCol w:w="215"/>
        <w:gridCol w:w="751"/>
        <w:gridCol w:w="160"/>
      </w:tblGrid>
      <w:tr>
        <w:tc>
          <w:tcPr>
            <w:tcW w:w="276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 except share data)</w:t>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Content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$656 million and $615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$9,384 million and $8,848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19"/>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9"/>
              </w:rPr>
              <w:t>12,656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9"/>
              </w:rPr>
              <w:t>12,333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Noncurrent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no par value — authorized 20 million shares; none issued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common stock, $0.01 par value — authorized 7.5 billion shares; issued and outstanding 136,247,945 shares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B common stock, $0.01 par value — authorized 75 million shares; issued and outstanding 377,775 shares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Comcast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 attributable to Versant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19"/>
              </w:rPr>
              <w:t>Total liabilities and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9"/>
              </w:rPr>
              <w:t>12,656</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9"/>
              </w:rPr>
              <w:t>12,333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12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8</w:t>
                      </w:r>
                    </w:p>
                  </w:txbxContent>
                </v:textbox>
                <w10:wrap type="none"/>
              </v:rect>
            </w:pict>
          </mc:Fallback>
        </mc:AlternateContent>
      </w: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CHANGES IN EQUITY (UNAUDITED)</w:t>
      </w:r>
    </w:p>
    <w:tbl>
      <w:tblPr>
        <w:tblW w:w="11111" w:type="dxa"/>
        <w:jc w:val="left"/>
        <w:tblInd w:w="0" w:type="dxa"/>
        <w:tblLayout w:type="fixed"/>
        <w:tblCellMar>
          <w:top w:w="28" w:type="dxa"/>
          <w:left w:w="28" w:type="dxa"/>
          <w:bottom w:w="28" w:type="dxa"/>
          <w:right w:w="28" w:type="dxa"/>
        </w:tblCellMar>
      </w:tblPr>
      <w:tblGrid>
        <w:gridCol w:w="940"/>
        <w:gridCol w:w="220"/>
        <w:gridCol w:w="221"/>
        <w:gridCol w:w="109"/>
        <w:gridCol w:w="109"/>
        <w:gridCol w:w="109"/>
        <w:gridCol w:w="375"/>
        <w:gridCol w:w="376"/>
        <w:gridCol w:w="196"/>
        <w:gridCol w:w="109"/>
        <w:gridCol w:w="109"/>
        <w:gridCol w:w="109"/>
        <w:gridCol w:w="196"/>
        <w:gridCol w:w="406"/>
        <w:gridCol w:w="109"/>
        <w:gridCol w:w="109"/>
        <w:gridCol w:w="109"/>
        <w:gridCol w:w="109"/>
        <w:gridCol w:w="196"/>
        <w:gridCol w:w="571"/>
        <w:gridCol w:w="109"/>
        <w:gridCol w:w="109"/>
        <w:gridCol w:w="109"/>
        <w:gridCol w:w="109"/>
        <w:gridCol w:w="198"/>
        <w:gridCol w:w="441"/>
        <w:gridCol w:w="112"/>
        <w:gridCol w:w="109"/>
        <w:gridCol w:w="109"/>
        <w:gridCol w:w="109"/>
        <w:gridCol w:w="196"/>
        <w:gridCol w:w="661"/>
        <w:gridCol w:w="109"/>
        <w:gridCol w:w="109"/>
        <w:gridCol w:w="109"/>
        <w:gridCol w:w="109"/>
        <w:gridCol w:w="196"/>
        <w:gridCol w:w="346"/>
        <w:gridCol w:w="109"/>
        <w:gridCol w:w="109"/>
        <w:gridCol w:w="109"/>
        <w:gridCol w:w="109"/>
        <w:gridCol w:w="317"/>
        <w:gridCol w:w="706"/>
        <w:gridCol w:w="178"/>
        <w:gridCol w:w="109"/>
        <w:gridCol w:w="109"/>
        <w:gridCol w:w="109"/>
        <w:gridCol w:w="196"/>
        <w:gridCol w:w="661"/>
        <w:gridCol w:w="154"/>
      </w:tblGrid>
      <w:tr>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139,151</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7,723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388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111</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8,224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($0.375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136,626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382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110</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8,147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10,402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Separation-related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($1.125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136,626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7,637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382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8,147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10,463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120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10,578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Transactions with Comcast,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119</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10,289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118</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10,915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Transactions with Comcast,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10,176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119</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10,289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Includes Class A and Class B common stock</w:t>
      </w:r>
    </w:p>
    <w:p>
      <w:pPr>
        <w:pStyle w:val="TextBody"/>
        <w:bidi w:val="0"/>
        <w:spacing w:lineRule="auto" w:line="288" w:before="0" w:after="180"/>
        <w:jc w:val="left"/>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shd w:fill="FFFFFF" w:val="clear"/>
        </w:rPr>
        <w:t>Accumulated other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12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9</w:t>
                      </w:r>
                    </w:p>
                  </w:txbxContent>
                </v:textbox>
                <w10:wrap type="none"/>
              </v:rect>
            </w:pict>
          </mc:Fallback>
        </mc:AlternateContent>
      </w: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and Combined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Basis of Presentation and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Description of the Company </w:t>
      </w:r>
    </w:p>
    <w:p>
      <w:pPr>
        <w:pStyle w:val="TextBody"/>
        <w:bidi w:val="0"/>
        <w:spacing w:lineRule="auto" w:line="288" w:before="180" w:after="283"/>
        <w:jc w:val="both"/>
      </w:pPr>
      <w:r>
        <w:rPr>
          <w:rFonts w:ascii="Times New Roman;serif" w:hAnsi="Times New Roman;serif"/>
          <w:b w:val="false"/>
          <w:color w:val="000000"/>
          <w:sz w:val="20"/>
        </w:rPr>
        <w:t>Versant Media Group, Inc. (“Versant”, the “Company”, “we”, “us”, “our”) is a media and entertainment business that operates in four core markets: political news and opinion, business news and personal finance, golf, and sports and genre entertainment. We serve these markets primarily through a portfolio of brands comprised of networks, including USA Network, CNBC, MS NOW, Oxygen, E!, Syfy, and Golf Channel, and digital platforms, including Fandango, Rotten Tomatoes, GolfNow and Full Swing</w:t>
      </w:r>
      <w:r>
        <w:rPr>
          <w:rFonts w:ascii="Times New Roman;serif" w:hAnsi="Times New Roman;serif"/>
          <w:b w:val="false"/>
          <w:color w:val="000000"/>
          <w:sz w:val="20"/>
          <w:shd w:fill="FFFFFF" w:val="clear"/>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January 2, 2026, the separation (the “Separation”) of Versant from Comcast Corporation (“Comcast”) was completed. In connection with the completion of the Separation, the assets related to certain of Comcast’s cable television networks and digital platforms were contributed to, and the related liabilities were assumed by Versant in accordance with the separation and distribution agreement and other agreements entered into in connection with the Separation. These agreements, among other things, effected the Separation and provide a framework for our relationship with Comcast after the Separation, including the separation and distribution agreement, the transition service agreement, the tax matters agreement and certain other agreements related to employee matters, intellectual property, and certain commercial arrangements. On January 5, 2026, our common stock began trading on The Nasdaq Stock Market LLC (“Nasdaq”) under the ticker symbol “VSNT”.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Separation, we issued approximately $3.0 billion of total debt, including borrowings under term loans drawn upon the Separation, as well as senior notes issued in October 2025 (see Note 7). The proceeds from the senior notes were initially placed in escrow and presented as restricted cash as of December 31, 2025. A portion of the proceeds from these borrowings, including the amounts in escrow, which were released in connection with the Separation, was used to fund a cash payment to Comcast of $2.25 billion at the time of the Separation as consideration for assets that were contributed to us in connection with the Separation.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prepared these interim condensed consolidated and combined financial statements in accordance with generally accepted accounting principles in the United States (“GAAP”) and pursuant to the rules and regulations of the U.S. Securities and Exchange Commission (“SEC”), which permit reduced disclosures for interim periods. These financial statements include all adjustments that are necessary for a fair presentation of our condensed consolidated and combined results of operations, cash flows and financial condition for the periods shown, including normal, recurring accruals and other items. The condensed consolidated and combined results of operations for the interim periods presented are not necessarily indicative of results for the full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Separation, our financial statements are presented on a consolidated basis and include all entities in which we have a controlling voting interest.</w:t>
      </w:r>
    </w:p>
    <w:p>
      <w:pPr>
        <w:pStyle w:val="TextBody"/>
        <w:bidi w:val="0"/>
        <w:spacing w:before="0" w:after="0"/>
        <w:jc w:val="both"/>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Versant businesses were operated as part of Comcast’s Media segment. Accordingly, our financial statements for those periods are presented on a combined basis derived from Comcast’s historical accounting records as if Versant operations had been conducted independently from Comcast. The combined financial statements reflect the historical cost basis of assets and liabilities, which did not reflect all of the assets and liabilities of Versant following the Separation and included certain assets and liabilities that were retained by Comcast following the Separation. The combined financial statements also reflect the historical revenues, direct costs, and allocations of indirect costs for administrative functions and services performed on our behalf by other centralized functions within Comcast and allocations of costs for the use of shared assets (see Note 12). These expenses were allocated on a pro rata basis using an applicable measure of revenue. All allocations and estimates reflected in the combined financial statements were based on assumptions that management believes are reasonable. However, the condensed combined financial statements do not purport to reflect what our results of operations, comprehensive income, financial position, or cash flows would have been had we operated as a separate, stand-alone entity during the periods prior to the Separation.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10</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and combined financial statements should be read in conjunction with the Company’s audited combined financial statements and notes included in our Annual Report on Form 10-K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present our operations in one reportable business segment and our Chief Executive Officer is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consolidated and combined financial statements, with further details included throughout the footnotes, including certain of our significant operating expenses in Note 3.</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with our Annual Report on Form 10-K for the year ended December 31, 2027.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Government Grants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in the process of evaluating the impact of this accounting guidance on our financial statements.</w:t>
      </w:r>
    </w:p>
    <w:p>
      <w:pPr>
        <w:pStyle w:val="TextBody"/>
        <w:bidi w:val="0"/>
        <w:spacing w:before="18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11</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 Revenue </w:t>
      </w:r>
    </w:p>
    <w:tbl>
      <w:tblPr>
        <w:tblW w:w="8358" w:type="dxa"/>
        <w:jc w:val="left"/>
        <w:tblInd w:w="0" w:type="dxa"/>
        <w:tblLayout w:type="fixed"/>
        <w:tblCellMar>
          <w:top w:w="28" w:type="dxa"/>
          <w:left w:w="28" w:type="dxa"/>
          <w:bottom w:w="28" w:type="dxa"/>
          <w:right w:w="28" w:type="dxa"/>
        </w:tblCellMar>
      </w:tblPr>
      <w:tblGrid>
        <w:gridCol w:w="863"/>
        <w:gridCol w:w="759"/>
        <w:gridCol w:w="763"/>
        <w:gridCol w:w="109"/>
        <w:gridCol w:w="109"/>
        <w:gridCol w:w="109"/>
        <w:gridCol w:w="254"/>
        <w:gridCol w:w="760"/>
        <w:gridCol w:w="131"/>
        <w:gridCol w:w="131"/>
        <w:gridCol w:w="131"/>
        <w:gridCol w:w="131"/>
        <w:gridCol w:w="254"/>
        <w:gridCol w:w="760"/>
        <w:gridCol w:w="131"/>
        <w:gridCol w:w="109"/>
        <w:gridCol w:w="109"/>
        <w:gridCol w:w="109"/>
        <w:gridCol w:w="245"/>
        <w:gridCol w:w="732"/>
        <w:gridCol w:w="126"/>
        <w:gridCol w:w="126"/>
        <w:gridCol w:w="126"/>
        <w:gridCol w:w="126"/>
        <w:gridCol w:w="245"/>
        <w:gridCol w:w="732"/>
        <w:gridCol w:w="178"/>
      </w:tblGrid>
      <w:t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1,663</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4,925</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5,078</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a commercial agreement entered into with Comcast in connection with the Separation, NBCUniversal Media, LLC (“NBCUniversal”) sells domestic linear and related digital advertising inventory on our behalf. We continue to recognize revenue for the amount earned from advertisers as advertisements are aired or delivered, net of agency commissions. Under the commercial agreement, Versant is generally paid based on impressions delivered and is not responsible for guaranteed audience ratings. Fees owed to NBCUniversal for the services under this arrangement are presented within selling, general and administrative expenses in our condensed consolidated statement of income for the periods following the Separation.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future revenue to be earned related to fixed price contracts with advertisers in excess of one year totaled $233 million as of September 30, 2026, which will be recognized over the next 5 years.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Balance Sheets</w:t>
      </w:r>
    </w:p>
    <w:tbl>
      <w:tblPr>
        <w:tblW w:w="5693" w:type="dxa"/>
        <w:jc w:val="left"/>
        <w:tblInd w:w="0" w:type="dxa"/>
        <w:tblLayout w:type="fixed"/>
        <w:tblCellMar>
          <w:top w:w="28" w:type="dxa"/>
          <w:left w:w="28" w:type="dxa"/>
          <w:bottom w:w="28" w:type="dxa"/>
          <w:right w:w="28" w:type="dxa"/>
        </w:tblCellMar>
      </w:tblPr>
      <w:tblGrid>
        <w:gridCol w:w="1000"/>
        <w:gridCol w:w="879"/>
        <w:gridCol w:w="881"/>
        <w:gridCol w:w="109"/>
        <w:gridCol w:w="109"/>
        <w:gridCol w:w="109"/>
        <w:gridCol w:w="253"/>
        <w:gridCol w:w="757"/>
        <w:gridCol w:w="130"/>
        <w:gridCol w:w="109"/>
        <w:gridCol w:w="109"/>
        <w:gridCol w:w="109"/>
        <w:gridCol w:w="241"/>
        <w:gridCol w:w="722"/>
        <w:gridCol w:w="176"/>
      </w:tblGrid>
      <w:t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Receivables,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1,241</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1,151</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most significant accounts receivable balances relate to our linear distribution agreements with large multichannel video providers. As of September 30, 2026 and December 31, 2025, our ten largest multichannel video provider customers accounted for approximately 52% and 56%, respectively, of our total accounts receivable.</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gift card liability for our Fandango and GolfNow platforms was $47 million and $51 million, respectively, including $30 million and $36 million, respectively, within accrued expenses and other current liabilities, and the remainder presented within other noncurrent liabilities. Revenue recorded related to breakage on these gift cards was $3 million and $9 million for the three and nine months ended September 30, 2026, respectively, and $2 million and $9 million for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Costs of Revenue</w:t>
      </w:r>
    </w:p>
    <w:tbl>
      <w:tblPr>
        <w:tblW w:w="8473"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93"/>
        <w:gridCol w:w="669"/>
        <w:gridCol w:w="151"/>
        <w:gridCol w:w="151"/>
        <w:gridCol w:w="151"/>
        <w:gridCol w:w="151"/>
        <w:gridCol w:w="293"/>
        <w:gridCol w:w="669"/>
        <w:gridCol w:w="151"/>
        <w:gridCol w:w="109"/>
        <w:gridCol w:w="109"/>
        <w:gridCol w:w="109"/>
        <w:gridCol w:w="245"/>
        <w:gridCol w:w="732"/>
        <w:gridCol w:w="126"/>
        <w:gridCol w:w="126"/>
        <w:gridCol w:w="126"/>
        <w:gridCol w:w="126"/>
        <w:gridCol w:w="245"/>
        <w:gridCol w:w="732"/>
        <w:gridCol w:w="178"/>
      </w:tblGrid>
      <w:t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879</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873</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2,167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2,227</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12</w:t>
                      </w:r>
                    </w:p>
                  </w:txbxContent>
                </v:textbox>
                <w10:wrap type="none"/>
              </v:rect>
            </w:pict>
          </mc:Fallback>
        </mc:AlternateContent>
      </w:r>
    </w:p>
    <w:p>
      <w:pPr>
        <w:pStyle w:val="TextBody"/>
        <w:bidi w:val="0"/>
        <w:spacing w:before="0" w:after="180"/>
        <w:jc w:val="left"/>
      </w:pPr>
      <w:r/>
    </w:p>
    <w:p>
      <w:pPr>
        <w:pStyle w:val="TextBody"/>
        <w:bidi w:val="0"/>
        <w:spacing w:lineRule="auto" w:line="280" w:before="0" w:after="0"/>
        <w:jc w:val="left"/>
        <w:rPr>
          <w:rFonts w:ascii="Times New Roman;serif" w:hAnsi="Times New Roman;serif"/>
          <w:b/>
          <w:i/>
          <w:color w:val="000000"/>
          <w:sz w:val="20"/>
        </w:rPr>
      </w:pPr>
      <w:r>
        <w:rPr>
          <w:rFonts w:ascii="Times New Roman;serif" w:hAnsi="Times New Roman;serif"/>
          <w:b/>
          <w:i/>
          <w:color w:val="000000"/>
          <w:sz w:val="20"/>
        </w:rPr>
        <w:t>Programming and Production Costs</w:t>
      </w:r>
    </w:p>
    <w:tbl>
      <w:tblPr>
        <w:tblW w:w="9643" w:type="dxa"/>
        <w:jc w:val="left"/>
        <w:tblInd w:w="0" w:type="dxa"/>
        <w:tblLayout w:type="fixed"/>
        <w:tblCellMar>
          <w:top w:w="28" w:type="dxa"/>
          <w:left w:w="28" w:type="dxa"/>
          <w:bottom w:w="28" w:type="dxa"/>
          <w:right w:w="28" w:type="dxa"/>
        </w:tblCellMar>
      </w:tblPr>
      <w:tblGrid>
        <w:gridCol w:w="1329"/>
        <w:gridCol w:w="1171"/>
        <w:gridCol w:w="1174"/>
        <w:gridCol w:w="109"/>
        <w:gridCol w:w="109"/>
        <w:gridCol w:w="109"/>
        <w:gridCol w:w="293"/>
        <w:gridCol w:w="669"/>
        <w:gridCol w:w="151"/>
        <w:gridCol w:w="151"/>
        <w:gridCol w:w="151"/>
        <w:gridCol w:w="151"/>
        <w:gridCol w:w="293"/>
        <w:gridCol w:w="669"/>
        <w:gridCol w:w="151"/>
        <w:gridCol w:w="109"/>
        <w:gridCol w:w="109"/>
        <w:gridCol w:w="109"/>
        <w:gridCol w:w="245"/>
        <w:gridCol w:w="732"/>
        <w:gridCol w:w="126"/>
        <w:gridCol w:w="126"/>
        <w:gridCol w:w="126"/>
        <w:gridCol w:w="126"/>
        <w:gridCol w:w="245"/>
        <w:gridCol w:w="732"/>
        <w:gridCol w:w="178"/>
      </w:tblGrid>
      <w:t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including sports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Total programming and production costs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736</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744</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1,777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1,864</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180" w:after="60"/>
        <w:jc w:val="both"/>
        <w:rPr>
          <w:rFonts w:ascii="Times New Roman;serif" w:hAnsi="Times New Roman;serif"/>
          <w:b w:val="false"/>
          <w:i/>
          <w:color w:val="000000"/>
          <w:sz w:val="20"/>
        </w:rPr>
      </w:pPr>
      <w:r>
        <w:rPr>
          <w:rFonts w:ascii="Times New Roman;serif" w:hAnsi="Times New Roman;serif"/>
          <w:b w:val="false"/>
          <w:i/>
          <w:color w:val="000000"/>
          <w:sz w:val="20"/>
        </w:rPr>
        <w:t>Capitalized Content Costs</w:t>
      </w:r>
    </w:p>
    <w:tbl>
      <w:tblPr>
        <w:tblW w:w="5993"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99"/>
        <w:gridCol w:w="685"/>
        <w:gridCol w:w="155"/>
        <w:gridCol w:w="109"/>
        <w:gridCol w:w="109"/>
        <w:gridCol w:w="109"/>
        <w:gridCol w:w="284"/>
        <w:gridCol w:w="648"/>
        <w:gridCol w:w="208"/>
      </w:tblGrid>
      <w:t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including sports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production and in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Released, less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570</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539</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Acquisitions and Divestitures</w:t>
      </w:r>
    </w:p>
    <w:p>
      <w:pPr>
        <w:pStyle w:val="TextBody"/>
        <w:bidi w:val="0"/>
        <w:spacing w:lineRule="auto" w:line="280" w:before="0" w:after="120"/>
        <w:jc w:val="left"/>
        <w:rPr>
          <w:rFonts w:ascii="Times New Roman;serif" w:hAnsi="Times New Roman;serif"/>
          <w:b/>
          <w:i/>
          <w:color w:val="000000"/>
          <w:sz w:val="20"/>
        </w:rPr>
      </w:pPr>
      <w:r>
        <w:rPr>
          <w:rFonts w:ascii="Times New Roman;serif" w:hAnsi="Times New Roman;serif"/>
          <w:b/>
          <w:i/>
          <w:color w:val="000000"/>
          <w:sz w:val="20"/>
        </w:rPr>
        <w:t>Acquisition of Full Swing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we acquired Full Swing, a leading sports technology company with patented hardware and integrated software used by consumers, competitive athletes, coaches, and commercial venues, for $536 million in cash paid at closing, subject to customary purchase price adjustments.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preliminary allocation of the purchase price to the identifiable assets and liabilities based on their estimated fair values as of the acquisition date was as follows:</w:t>
      </w:r>
    </w:p>
    <w:tbl>
      <w:tblPr>
        <w:tblW w:w="5260"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310"/>
        <w:gridCol w:w="708"/>
        <w:gridCol w:w="226"/>
      </w:tblGrid>
      <w:t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 2026</w:t>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536</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acquisition was accounted for as a business combination and the results of operations for Full Swing have been included in our consolidated results of operations since the acquisition date and did not have a material impact on the Company’s revenue or net income for the three and nine months ended September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values of assets acquired and liabilities assumed are preliminary and subject to change upon finalization of the valuation, which primarily relates to intangible assets. The preliminary fair values of intangible assets consist of developed technology of $78 million, tradenames of $65 million and customer relationships of $61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13</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million, which are being amortized on a straight-line basis over their estimated useful lives of between 5 and 15 years. The excess of the purchase price over the aggregate fair value of the identifiable assets acquired was recorded as goodwill and is primarily attributable to assembled workforce and anticipated operating synergies following the acquisition. Goodwill is not expected to be deductible for tax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acquired businesses with aggregate purchase consideration of $215 million, which included cash of $170 million and estimated contingent consideration of approximately $44 million, which is presented within accrued expenses and other current liabilities and other noncurrent liabilities in our condensed consolidated balance sheet. The preliminary purchase price allocation resulted in approximately $193 million of non-tax deductible goodwill and $30 million of amortizable intangible assets, subject to finalization of the related valuations. The related financial results have been included in our condensed consolidated financial statements from their respective acquisition dates and did not have a material impact on the Company’s revenue or net income for the three and nine months ended September 30, 2026.</w:t>
      </w:r>
    </w:p>
    <w:p>
      <w:pPr>
        <w:pStyle w:val="TextBody"/>
        <w:bidi w:val="0"/>
        <w:spacing w:lineRule="auto" w:line="288" w:before="240" w:after="180"/>
        <w:jc w:val="both"/>
        <w:rPr>
          <w:rFonts w:ascii="Times New Roman;serif" w:hAnsi="Times New Roman;serif"/>
          <w:b/>
          <w:i/>
          <w:color w:val="000000"/>
          <w:sz w:val="20"/>
        </w:rPr>
      </w:pPr>
      <w:r>
        <w:rPr>
          <w:rFonts w:ascii="Times New Roman;serif" w:hAnsi="Times New Roman;serif"/>
          <w:b/>
          <w:i/>
          <w:color w:val="000000"/>
          <w:sz w:val="20"/>
        </w:rPr>
        <w:t>Divestiture of SportsEngine</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completed the sale of our SportsEngine business with an aggregate sale price totaling $143 million, subject to customary adjustments. As of December 31, 2025, the assets and liabilities associated with SportsEngine met the criteria to be classified as held for sale. Assets held for sale were primarily comprised of goodwill of $149 million, property and equipment of $17 million and intangible assets of $14 million. Liabilities held for sale of $18 million were included within other current liabilities in our combined balance sheets. During the nine months ended September 30, 2026, we recognized pre-tax losses of $39 million in connection with the divestiture, which were recorded within depreciation and amortization expense in our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Investments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Marketable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we invested $75 million in mutual funds held in a trust established to support the payment of benefits under a legacy deferred compensation plan assumed in the Separation. Fair value adjustments on marketable securities were not material for the three and nine months ended September 30, 2026. The fair values of our marketable securities are based on Level 1 inputs that use quoted market prices, and totaled $75 million as of September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equity securities are investments with readily determinable fair values that are not accounted for under the equity method. Changes in fair value between the measurement dates are recorded in investment and other income (loss), net in our condensed consolidated statement of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received a $60 million cash distribution from a nonmarketable equity security, which was classified as a return of investment within investing activities in our condensed consolidated statement of cash flows. The cumulative amount of downward adjustments to our nonmarketable equity securities totaled $165 million for investments that continued to be held as of September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we recorded an unrealized impairment loss of $40 million for one of our investments within investment and other income (loss), net in our condensed combined statement of income. The related estimated fair value of $94 million was determined based on an analysis that leveraged multiples of earnings from comparable public companies, which are Level 2 inputs. </w:t>
      </w:r>
    </w:p>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14</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our goodwill balance were as follows:</w:t>
      </w:r>
    </w:p>
    <w:tbl>
      <w:tblPr>
        <w:tblW w:w="5562" w:type="dxa"/>
        <w:jc w:val="left"/>
        <w:tblInd w:w="0" w:type="dxa"/>
        <w:tblLayout w:type="fixed"/>
        <w:tblCellMar>
          <w:top w:w="28" w:type="dxa"/>
          <w:left w:w="28" w:type="dxa"/>
          <w:bottom w:w="28" w:type="dxa"/>
          <w:right w:w="28" w:type="dxa"/>
        </w:tblCellMar>
      </w:tblPr>
      <w:tblGrid>
        <w:gridCol w:w="1320"/>
        <w:gridCol w:w="1158"/>
        <w:gridCol w:w="1167"/>
        <w:gridCol w:w="109"/>
        <w:gridCol w:w="109"/>
        <w:gridCol w:w="109"/>
        <w:gridCol w:w="342"/>
        <w:gridCol w:w="999"/>
        <w:gridCol w:w="249"/>
      </w:tblGrid>
      <w:t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4 for additional information relating to acquisitions completed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Debt Obligations</w:t>
      </w:r>
    </w:p>
    <w:tbl>
      <w:tblPr>
        <w:tblW w:w="7316" w:type="dxa"/>
        <w:jc w:val="left"/>
        <w:tblInd w:w="0" w:type="dxa"/>
        <w:tblLayout w:type="fixed"/>
        <w:tblCellMar>
          <w:top w:w="28" w:type="dxa"/>
          <w:left w:w="28" w:type="dxa"/>
          <w:bottom w:w="28" w:type="dxa"/>
          <w:right w:w="28" w:type="dxa"/>
        </w:tblCellMar>
      </w:tblPr>
      <w:tblGrid>
        <w:gridCol w:w="1704"/>
        <w:gridCol w:w="1497"/>
        <w:gridCol w:w="1509"/>
        <w:gridCol w:w="257"/>
        <w:gridCol w:w="750"/>
        <w:gridCol w:w="132"/>
        <w:gridCol w:w="109"/>
        <w:gridCol w:w="109"/>
        <w:gridCol w:w="109"/>
        <w:gridCol w:w="245"/>
        <w:gridCol w:w="716"/>
        <w:gridCol w:w="179"/>
      </w:tblGrid>
      <w:t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Secured Notes due 2031 (“Senior Notes”)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long-term debt obligations was $2.97 billion and $1.03 billion as of September 30, 2026 and December 31, 2025, respectively. Fair values of our Senior Notes were estimated using Level 2 inputs, based on external market data for debt with similar terms and maturities. The fair values of our variable rate term loans were estimated to approximate their face values.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 2026, in connection with the Separation, we borrowed $1.0 billion under a term loan due January 2031 provided for in our October 2025 credit agreement (the “Term Loan A Facility”). On January 2, 2026, we also entered into a credit agreement providing for an additional term loan of $1.0 billion due January 2031 (the “Term Loan B Facility” and together with the Term Loan A Facility, the “Term Loans”), which was fully funded on that date. The Term Loans and our $750 million revolving credit facility (the “Revolving Credit Facility” and together with the Term Loans, the “Senior Credit Facilities”) are secured by substantially all the assets of the Company and its material, wholly-owned U.S. subsidiaries, subject to certain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Term Loan A Facility and Term Loan B Facility require repayment of initial amounts borrowed of 5.00% and 7.00%, respectively, per annum payable in quarterly installments beginning on September 30, 2026, with the balance being payable at maturity. Contractual maturities of our debt obligations as of September 30, 2026 totaled $30 million for the remainder of 2026 and approximately $120 million per year from 2027 to 2030, with the remainder payable in 2031.</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Term Loan A Facility and the Revolving Credit Facility contain a financial covenant that requires us to maintain a maximum consolidated first lien net leverage ratio, as defined in the credit agreement governing the Term Loan A Facility and the Revolving Credit Facility, of not greater than 3.50:1.00, beginning with the third quarter of 2026. As of September 30, 2026, we were in compliance with the financial covenants related to our debt obligations.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15</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and Hedging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interest rate swaps designated as cash flow hedges to manage our exposure to interest rate risk related to variable-rate debt obligations. As of September 30, 2026, the notional amount of these derivatives was $975 million, and the fair values totaled $33 million, of which $10 million was recorded within other current assets and the remainder within other noncurrent assets in our consolidated balance sheet as of September 30, 2026. The fair values of these financial instruments are primarily based on Level 2 inputs derived from valuation models that use observable market data. Changes in fair value of derivative instruments classified as cash flow hedges are recognized in accumulated other comprehensive income until the hedged item affects earnings. During the three and nine months ended September 30, 2026, derivative gains (losses) recognized within interest expense on our consolidated statement of income were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related to derivative instruments designated as cash flow hedges are classified in our consolidated statements of cash flows based on the classifications of the underlying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an amendment to a lease agreement for our corporate offices in New York City, New York. The amendment provides for an extended initial term of 18 years for both existing and additional leased space, which we obtained access to in the third quarter of 2026, and includes options to extend the term for up to an additional 10 years. During the nine months ended September 30, 2026, we recorded a right of use asset of $108 million and current and noncurrent liabilities of $4 million and $104 million, respectively, which were recognized based on the present value of the future minimum lease payments over the lease term, excluding optional periods, using a weighted average incremental borrowing rate of 7.3%.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future minimum lease payments related to the lease amendment for both the extension and the additional leased space, net of lease incentives, total $243 million, including $2 million for the remainder of 2026, $9 million for 2027, $3 million for 2028, $11 million for 2029, $17 million for 2030 and $199 million thereafter.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16</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Separation from Comcast was completed on January 2, 2026 through the distribution of 100% of the shares of Versant Class A common stock and Versant Class B common stock to holders of Comcast Class A common stock and Comcast Class B common stock as of the close of business on the record date of December 16, 2025. Comcast’s shareholders of record received one share of Versant Class A common stock or Versant Class B common stock for every 25 shares of Comcast Class A common stock or Class B common stock, respectively, held as of the record date. Immediately following the Separation, holders of Comcast’s common stock prior to the Separation owned 100% of our issued and outstanding shares.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of Incorporation were amended and restated following the Separation to provide us with the authority to issue up to 7.5 billion shares of $0.01 par value per share Class A common stock, up to 75 million shares of $0.01 par value per share of Class B common stock, and up to 20 million shares of preferred stock with no par value. The number of votes that each share of Class A common stock has at any given time depends on the number of shares of Class A common stock and Class B common stock then outstanding, with each share of Class B common stock having 15 votes per share, and shareholders of our common stock are entitled to any dividends when and as declared without regard to class. The Class B common stock represents 33 1/3% of the combined voting power of our common stock. On each matter to be voted on, the holders of Class A common stock and Class B common stock will vote together. Each share of Class B common stock is convertible at the option of the holder into one share of Class A common stock.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paid dividends of $106 million. On August 6, 2026, our Board of Directors declared our third quarter dividend of $0.375 per share, paid on October 22, 2026 to shareholders of record as of the close of business on October 1, 2026. On November 3, 2026, our Board of Directors declared our fourth quarter dividend of $0.375 per share, payable on January 25, 2027 to shareholders of record as of the close of business on January 4, 2027.</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Repurchases of common stock include shares repurchased in open market transactions and under accelerated share repurchase (“ASR”) programs. We executed and settled a $100 million ASR program with financial institutions during each of the second and third quarters of 2026. The ASR programs were accounted for as equity transactions and the number of shares purchased was based on the volume-weighted average share price of our common stock over the term of the respective ASR agreement less a discount.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(“AOCI”) by component, net of income taxes, for the nine months ended September 30, 2026 were as follows:</w:t>
      </w:r>
    </w:p>
    <w:tbl>
      <w:tblPr>
        <w:tblW w:w="10205" w:type="dxa"/>
        <w:jc w:val="left"/>
        <w:tblInd w:w="0" w:type="dxa"/>
        <w:tblLayout w:type="fixed"/>
        <w:tblCellMar>
          <w:top w:w="28" w:type="dxa"/>
          <w:left w:w="28" w:type="dxa"/>
          <w:bottom w:w="28" w:type="dxa"/>
          <w:right w:w="28" w:type="dxa"/>
        </w:tblCellMar>
      </w:tblPr>
      <w:tblGrid>
        <w:gridCol w:w="2000"/>
        <w:gridCol w:w="1578"/>
        <w:gridCol w:w="1588"/>
        <w:gridCol w:w="109"/>
        <w:gridCol w:w="109"/>
        <w:gridCol w:w="109"/>
        <w:gridCol w:w="714"/>
        <w:gridCol w:w="918"/>
        <w:gridCol w:w="371"/>
        <w:gridCol w:w="109"/>
        <w:gridCol w:w="109"/>
        <w:gridCol w:w="109"/>
        <w:gridCol w:w="331"/>
        <w:gridCol w:w="639"/>
        <w:gridCol w:w="171"/>
        <w:gridCol w:w="109"/>
        <w:gridCol w:w="109"/>
        <w:gridCol w:w="109"/>
        <w:gridCol w:w="264"/>
        <w:gridCol w:w="452"/>
        <w:gridCol w:w="198"/>
      </w:tblGrid>
      <w:tr>
        <w:tc>
          <w:tcPr>
            <w:tcW w:w="20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AOCI</w:t>
            </w:r>
          </w:p>
        </w:tc>
      </w:tr>
      <w:t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before reclasses, net of taxes of $9 million for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Reclasses from accumulated 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17</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Weighted-Average Common Shares Outstanding</w:t>
      </w:r>
    </w:p>
    <w:tbl>
      <w:tblPr>
        <w:tblW w:w="10205" w:type="dxa"/>
        <w:jc w:val="left"/>
        <w:tblInd w:w="0" w:type="dxa"/>
        <w:tblLayout w:type="fixed"/>
        <w:tblCellMar>
          <w:top w:w="28" w:type="dxa"/>
          <w:left w:w="28" w:type="dxa"/>
          <w:bottom w:w="28" w:type="dxa"/>
          <w:right w:w="28" w:type="dxa"/>
        </w:tblCellMar>
      </w:tblPr>
      <w:tblGrid>
        <w:gridCol w:w="1430"/>
        <w:gridCol w:w="1255"/>
        <w:gridCol w:w="1260"/>
        <w:gridCol w:w="109"/>
        <w:gridCol w:w="109"/>
        <w:gridCol w:w="109"/>
        <w:gridCol w:w="573"/>
        <w:gridCol w:w="278"/>
        <w:gridCol w:w="216"/>
        <w:gridCol w:w="216"/>
        <w:gridCol w:w="216"/>
        <w:gridCol w:w="216"/>
        <w:gridCol w:w="593"/>
        <w:gridCol w:w="269"/>
        <w:gridCol w:w="216"/>
        <w:gridCol w:w="109"/>
        <w:gridCol w:w="109"/>
        <w:gridCol w:w="109"/>
        <w:gridCol w:w="573"/>
        <w:gridCol w:w="268"/>
        <w:gridCol w:w="206"/>
        <w:gridCol w:w="206"/>
        <w:gridCol w:w="206"/>
        <w:gridCol w:w="206"/>
        <w:gridCol w:w="593"/>
        <w:gridCol w:w="259"/>
        <w:gridCol w:w="296"/>
      </w:tblGrid>
      <w:tr>
        <w:tc>
          <w:tcPr>
            <w:tcW w:w="14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2025</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2025</w:t>
            </w:r>
            <w:r>
              <w:rPr>
                <w:rFonts w:ascii="Times New Roman;serif" w:hAnsi="Times New Roman;serif"/>
                <w:b/>
                <w:color w:val="000000"/>
                <w:sz w:val="10"/>
              </w:rPr>
              <w:t>(a)</w:t>
            </w:r>
          </w:p>
        </w:tc>
      </w:tr>
      <w:t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Weighted-average number of common shares outstanding - basic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Weighted-average number of common shares outstanding - diluted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180"/>
        <w:jc w:val="both"/>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For periods prior to the Separation on January 2, 2026, the computation of basic and diluted earnings per share was calculated using shares of Versant common stock outstanding on the date of the Separation. </w:t>
      </w:r>
    </w:p>
    <w:p>
      <w:pPr>
        <w:pStyle w:val="TextBody"/>
        <w:bidi w:val="0"/>
        <w:spacing w:lineRule="auto" w:line="288" w:before="60" w:after="283"/>
        <w:ind w:left="0" w:right="0" w:hanging="180"/>
        <w:jc w:val="both"/>
      </w:pPr>
      <w:r>
        <w:rPr>
          <w:rFonts w:ascii="Times New Roman;serif" w:hAnsi="Times New Roman;serif"/>
          <w:b w:val="false"/>
          <w:color w:val="000000"/>
          <w:sz w:val="13"/>
        </w:rPr>
        <w:t xml:space="preserve">(b) </w:t>
      </w:r>
      <w:r>
        <w:rPr>
          <w:rFonts w:ascii="Times New Roman;serif" w:hAnsi="Times New Roman;serif"/>
          <w:b w:val="false"/>
          <w:color w:val="000000"/>
          <w:sz w:val="20"/>
        </w:rPr>
        <w:t>Includes Class A and Class B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is calculated using the treasury stock method and includes the impact of unvested share-based compensation awards (see Note 10) to the extent dilutive. Antidilutive securities represent the number of potential common shares related to share-based compensation awards that were excluded from diluted earnings per share because their effect would have been antidilutive.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2026, in connection with the Separation, our Board of Directors adopted our Omnibus Equity Incentive Plan (the “Plan”). A total of 19 million shares of the Company’s Class A common stock were initially reserved for issuance under the Plan, subject to certain adjustments. The Plan may be used to grant awards in the form of restricted stock, restricted stock units, stock options, stock appreciation right awards or other share-based awards. As of September 30, 2026, 16,061,573 shares were available for future issuances.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restricted stock units (“RSUs”) originally granted to our employees under Comcast’s equity incentive plans were converted into Versant RSUs in accordance with the employee matters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granted RSUs to eligible employees, which vest ratably over a three-year service period. In addition, we granted RSUs to our board of directors, which vest annually on the shareholder meeting date. The fair value of RSUs is measured based on the closing price of our Class A common stock on the date of grant and the associated expense is recognized on a straight-line basis over the requisite service period.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also granted performance stock units (“PSUs”) to certain of our senior executives, which vest at the end of a three-year service period, and the number of shares that ultimately vest is subject to either market conditions or a combination of market and performance conditions. We estimate the fair value of PSUs using a Monte Carlo simulation and the fair values of PSUs granted during the nine months ended September 30, 2026 were estimated using a weighted average expected volatility of 30.5% and a weighted average risk-free interest rate of 4.1%. Compensation expense for awards subject only to market conditions is recognized based on the grant date fair value on a straight-line basis over the requisite service period. Our PSUs with performance conditions include provisions whereby performance targets are not yet approved or are subject to adjustment, and as such compensation expense is recognized over the requisite service period based on fair value determined at the end of each reporting period and the probable outcome of the performance conditions.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18</w:t>
                      </w:r>
                    </w:p>
                  </w:txbxContent>
                </v:textbox>
                <w10:wrap type="none"/>
              </v:rect>
            </w:pict>
          </mc:Fallback>
        </mc:AlternateContent>
      </w:r>
    </w:p>
    <w:p>
      <w:pPr>
        <w:pStyle w:val="TextBody"/>
        <w:bidi w:val="0"/>
        <w:spacing w:before="0" w:after="180"/>
        <w:jc w:val="left"/>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of our unvested RSU and PSU awards that is held as of a dividend record date is entitled to a dividend equivalent equal to the amount paid with respect to one share of Class A common stock, which will be paid upon vesting of the underlying awards. Certain equity awards also contain accelerated vesting provisions upon meeting certain retirement eligibility provisions, based on age and service. We recognize forfeitures as they occur.</w:t>
      </w:r>
    </w:p>
    <w:tbl>
      <w:tblPr>
        <w:tblW w:w="8957" w:type="dxa"/>
        <w:jc w:val="left"/>
        <w:tblInd w:w="0" w:type="dxa"/>
        <w:tblLayout w:type="fixed"/>
        <w:tblCellMar>
          <w:top w:w="28" w:type="dxa"/>
          <w:left w:w="28" w:type="dxa"/>
          <w:bottom w:w="28" w:type="dxa"/>
          <w:right w:w="28" w:type="dxa"/>
        </w:tblCellMar>
      </w:tblPr>
      <w:tblGrid>
        <w:gridCol w:w="1082"/>
        <w:gridCol w:w="949"/>
        <w:gridCol w:w="954"/>
        <w:gridCol w:w="109"/>
        <w:gridCol w:w="109"/>
        <w:gridCol w:w="109"/>
        <w:gridCol w:w="357"/>
        <w:gridCol w:w="612"/>
        <w:gridCol w:w="184"/>
        <w:gridCol w:w="184"/>
        <w:gridCol w:w="184"/>
        <w:gridCol w:w="184"/>
        <w:gridCol w:w="357"/>
        <w:gridCol w:w="434"/>
        <w:gridCol w:w="184"/>
        <w:gridCol w:w="109"/>
        <w:gridCol w:w="109"/>
        <w:gridCol w:w="109"/>
        <w:gridCol w:w="321"/>
        <w:gridCol w:w="549"/>
        <w:gridCol w:w="166"/>
        <w:gridCol w:w="166"/>
        <w:gridCol w:w="166"/>
        <w:gridCol w:w="166"/>
        <w:gridCol w:w="321"/>
        <w:gridCol w:w="549"/>
        <w:gridCol w:w="234"/>
      </w:tblGrid>
      <w:t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share-based compensation activity for the nine months ended September 30, 2026:</w:t>
      </w:r>
    </w:p>
    <w:tbl>
      <w:tblPr>
        <w:tblW w:w="10205" w:type="dxa"/>
        <w:jc w:val="left"/>
        <w:tblInd w:w="0" w:type="dxa"/>
        <w:tblLayout w:type="fixed"/>
        <w:tblCellMar>
          <w:top w:w="28" w:type="dxa"/>
          <w:left w:w="28" w:type="dxa"/>
          <w:bottom w:w="28" w:type="dxa"/>
          <w:right w:w="28" w:type="dxa"/>
        </w:tblCellMar>
      </w:tblPr>
      <w:tblGrid>
        <w:gridCol w:w="711"/>
        <w:gridCol w:w="551"/>
        <w:gridCol w:w="555"/>
        <w:gridCol w:w="109"/>
        <w:gridCol w:w="109"/>
        <w:gridCol w:w="109"/>
        <w:gridCol w:w="504"/>
        <w:gridCol w:w="484"/>
        <w:gridCol w:w="350"/>
        <w:gridCol w:w="109"/>
        <w:gridCol w:w="109"/>
        <w:gridCol w:w="109"/>
        <w:gridCol w:w="500"/>
        <w:gridCol w:w="1462"/>
        <w:gridCol w:w="259"/>
        <w:gridCol w:w="109"/>
        <w:gridCol w:w="109"/>
        <w:gridCol w:w="109"/>
        <w:gridCol w:w="504"/>
        <w:gridCol w:w="393"/>
        <w:gridCol w:w="350"/>
        <w:gridCol w:w="109"/>
        <w:gridCol w:w="109"/>
        <w:gridCol w:w="109"/>
        <w:gridCol w:w="486"/>
        <w:gridCol w:w="1423"/>
        <w:gridCol w:w="365"/>
      </w:tblGrid>
      <w:tr>
        <w:tc>
          <w:tcPr>
            <w:tcW w:w="7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8"/>
              </w:rPr>
              <w:t xml:space="preserve">PSUs </w:t>
            </w:r>
            <w:r>
              <w:rPr>
                <w:rFonts w:ascii="Times New Roman;serif" w:hAnsi="Times New Roman;serif"/>
                <w:b/>
                <w:color w:val="000000"/>
                <w:sz w:val="12"/>
              </w:rPr>
              <w:t>(a)</w:t>
            </w:r>
          </w:p>
        </w:tc>
      </w:tr>
      <w:t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r>
      <w:t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Converted at Separation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1,561,168 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2,086,268 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3,443,842 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60" w:after="60"/>
        <w:jc w:val="both"/>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Amounts represent the number of PSUs in agreements with senior executives. For awards with performance targets not yet approved or subject to adjustment, fair values are presented at the time agreements are approved and as of the end of the period. </w:t>
      </w:r>
    </w:p>
    <w:p>
      <w:pPr>
        <w:pStyle w:val="TextBody"/>
        <w:bidi w:val="0"/>
        <w:spacing w:lineRule="auto" w:line="288" w:before="0" w:after="180"/>
        <w:jc w:val="both"/>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Amounts represent awards outstanding prior to the Separation with the number of shares and fair value adjusted to reflect the impacts of the conversion formula as outlined in the employee matters agreement.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unrecognized compensation expense related to unvested RSUs was $105 million, and is expected to be recognized over a weighted-average period of approximately 2.5 years. As of September 30, 2026, unrecognized compensation expense related to unvested PSUs is based on the number of PSUs presented in the table above and was $27 million, which is expected to be recognized over a weighted-average period of approximately 2.3 years.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April 2026, our Board of Directors approved an Employee Stock Purchase Plan, authorizing approximately 2,000,000 shares of our Class A common stock for future issuances. The plan, as amended by the Board in June 2026, was approved by shareholders at our 2026 annual meeting of shareholders on June 25, 2026. The plan is not yet active and no shares have been issued thereunder.</w:t>
      </w:r>
    </w:p>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19</w:t>
                      </w:r>
                    </w:p>
                  </w:txbxContent>
                </v:textbox>
                <w10:wrap type="none"/>
              </v:rect>
            </w:pict>
          </mc:Fallback>
        </mc:AlternateContent>
      </w:r>
    </w:p>
    <w:p>
      <w:pPr>
        <w:pStyle w:val="TextBody"/>
        <w:bidi w:val="0"/>
        <w:spacing w:before="0" w:after="180"/>
        <w:jc w:val="left"/>
      </w:p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Additional Financial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Supplemental Cash Flow Information</w:t>
      </w:r>
    </w:p>
    <w:tbl>
      <w:tblPr>
        <w:tblW w:w="9909" w:type="dxa"/>
        <w:jc w:val="left"/>
        <w:tblInd w:w="0" w:type="dxa"/>
        <w:tblLayout w:type="fixed"/>
        <w:tblCellMar>
          <w:top w:w="28" w:type="dxa"/>
          <w:left w:w="28" w:type="dxa"/>
          <w:bottom w:w="28" w:type="dxa"/>
          <w:right w:w="28" w:type="dxa"/>
        </w:tblCellMar>
      </w:tblPr>
      <w:tblGrid>
        <w:gridCol w:w="2369"/>
        <w:gridCol w:w="2080"/>
        <w:gridCol w:w="2091"/>
        <w:gridCol w:w="109"/>
        <w:gridCol w:w="109"/>
        <w:gridCol w:w="109"/>
        <w:gridCol w:w="257"/>
        <w:gridCol w:w="750"/>
        <w:gridCol w:w="132"/>
        <w:gridCol w:w="109"/>
        <w:gridCol w:w="109"/>
        <w:gridCol w:w="109"/>
        <w:gridCol w:w="247"/>
        <w:gridCol w:w="721"/>
        <w:gridCol w:w="127"/>
        <w:gridCol w:w="109"/>
        <w:gridCol w:w="109"/>
        <w:gridCol w:w="109"/>
        <w:gridCol w:w="154"/>
      </w:tblGrid>
      <w:tr>
        <w:tc>
          <w:tcPr>
            <w:tcW w:w="23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and cash equivalents and restricted cash on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made cash payments for interest of $149 million and cash payments for income taxes of $266 million.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As a result of our divestiture of SportsEngine during the second quarter of 2026, we recognized income tax expense of $31 million, primarily resulting from the differences in the book and tax basis for goodwill, which increased our effective tax rate for the nine months ended September 30, 2026 by 3.9% (see Note 4).</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As a result of the nonmarketable equity security impairment recognized during the third quarter of 2025, we recorded a valuation allowance for $10 million on deferred tax assets (see Note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Related Parties</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our transactions with Comcast and its subsidiaries were considered related party transactions. Following the Separation, transactions with Comcast are not considered related party transactions.</w:t>
      </w:r>
    </w:p>
    <w:p>
      <w:pPr>
        <w:pStyle w:val="TextBody"/>
        <w:bidi w:val="0"/>
        <w:spacing w:lineRule="auto" w:line="280" w:before="0" w:after="180"/>
        <w:jc w:val="both"/>
        <w:rPr>
          <w:rFonts w:ascii="Times New Roman;serif" w:hAnsi="Times New Roman;serif"/>
          <w:b/>
          <w:i/>
          <w:color w:val="000000"/>
          <w:sz w:val="20"/>
        </w:rPr>
      </w:pPr>
      <w:r>
        <w:rPr>
          <w:rFonts w:ascii="Times New Roman;serif" w:hAnsi="Times New Roman;serif"/>
          <w:b/>
          <w:i/>
          <w:color w:val="000000"/>
          <w:sz w:val="20"/>
        </w:rPr>
        <w:t>Transactions</w:t>
      </w:r>
    </w:p>
    <w:p>
      <w:pPr>
        <w:pStyle w:val="TextBody"/>
        <w:bidi w:val="0"/>
        <w:spacing w:lineRule="auto" w:line="280"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Separation, Comcast provided us with significant corporate, infrastructure and shared services, including the license of content for use on our networks, the distribution of our television networks and purchases and sales of advertising. The nature of these services was similar to services that we purchase from or provide to third-parties. In addition, certain costs related to production activities that use centralized Comcast operations were directly charged to us based on usage. The following disclosures summarize related party activity between us and Comcast, which occurred prior to our Separation, and are included in the condensed combined financial statements for the three and nine months ended September 30, 2025 and as of December 31, 2025.</w:t>
      </w:r>
    </w:p>
    <w:p>
      <w:pPr>
        <w:pStyle w:val="TextBody"/>
        <w:bidi w:val="0"/>
        <w:spacing w:lineRule="auto" w:line="280" w:before="180" w:after="180"/>
        <w:jc w:val="both"/>
        <w:rPr>
          <w:rFonts w:ascii="Times New Roman;serif" w:hAnsi="Times New Roman;serif"/>
          <w:b w:val="false"/>
          <w:color w:val="000000"/>
          <w:sz w:val="20"/>
        </w:rPr>
      </w:pPr>
      <w:r>
        <w:rPr>
          <w:rFonts w:ascii="Times New Roman;serif" w:hAnsi="Times New Roman;serif"/>
          <w:b w:val="false"/>
          <w:color w:val="000000"/>
          <w:sz w:val="20"/>
        </w:rPr>
        <w:t>Sales to related parties were $184 million and $757 million for the three and nine months ended September 30, 2025, respectively. Accounts receivable due for these transactions were $123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Costs of revenue from related parties were $398 million and $751 million for the three and nine months ended September 30, 2025, respectively. Capitalized content costs related to these costs were $302 million as of December 31, 2025. Content obligations related to these costs were $94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Costs of advertising purchased from related parties were $2 million and $6 million for the three and nine months ended September 30, 2025, respectively, and are presented in selling, general and administrative expenses. </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third quarter of 2025, we had related party loan balances associated with the participation of certain of our subsidiaries in Comcast’s centralized cash management programs. Activity related to loans receivable and payable is presented in the combined statements of cash flows in other investing and other financing activities,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20</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Shared Services and Other Allocated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combined financial statements for the three and nine months ended September 30, 2025 and as of December 31, 2025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Comcast investment. These amounts represent management’s reasonable estimate of the costs incurred; however, they are not necessarily representative of the costs required for us to operate as an independent, publicly traded company.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amounts recorded in cost of revenue and selling, general and administrative expenses for these services were $66 million and $214 million, respectively. For the nine months ended September 30, 2025, amounts recorded in cost of revenue and selling, general and administrative expenses for these services were $218 million and $673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21</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both"/>
      </w:pPr>
      <w:r>
        <w:rPr>
          <w:rFonts w:ascii="Times New Roman;serif" w:hAnsi="Times New Roman;serif"/>
          <w:b w:val="false"/>
          <w:i/>
          <w:color w:val="000000"/>
          <w:sz w:val="20"/>
        </w:rPr>
        <w:t>The following discussion of our financial condition and results of operations should be read in conjunction with our interim condensed consolidated and combined financial statements and the accompanying notes included elsewhere in this Quarterly Report on Form 10-Q. For more information about our company’s operations, see “Part I, Item 1. Business” in our Annual Report on Form 10-K for the year ended December 31, 2025.</w:t>
      </w:r>
      <w:r>
        <w:rPr>
          <w:color w:val="000000"/>
        </w:rPr>
        <w:t xml:space="preserve"> </w:t>
      </w:r>
      <w:r>
        <w:rPr>
          <w:rFonts w:ascii="Times New Roman;serif" w:hAnsi="Times New Roman;serif"/>
          <w:b w:val="false"/>
          <w:i/>
          <w:color w:val="000000"/>
          <w:sz w:val="20"/>
        </w:rPr>
        <w:t>The following discussion and analysis includes forward-looking statements. These forward-looking statements are based on our current expectations and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in “Part I, Item 1A. Risk Factors” in our Annual Report on Form 10-K for the year ended December 31, 2025, as well as those discussed below and elsewhere in this report, particularly in “Special Note Regarding Forward Looking Statements” and “Part II,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media and entertainment business that operates in four core markets: political news and opinion, business news and personal finance, golf, and sports and genre entertainment. We serve these markets primarily through a strong portfolio of brands comprised of renowned networks and complementary digital platforms.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our financial performance: </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Revenue of $1.59 billion and $1.66 billion for the three months ended September 30, 2026 and 2025, respectively, and $4.92 billion and $5.08 billion for the nine months ended September 30, 2026 and 2025, respectively.</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Net income attributable to Versant of $47 million and $80 million for the three months ended September 30, 2026 and 2025, respectively, and $544 million and $749 million for the nine months ended September 30, 2026 and 2025, respectively.</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Adjusted EBITDA of $353 million and $445 million for the three months ended September 30, 2026 and 2025, respectively, and $1,681 million and $1,888 million for the nine months ended September 30, 2026 and 2025, respectively. Adjusted EBITDA is a financial measure not defined by GAAP. See “Non-GAAP Financial Measures” below for additional information, including our definition and use of Adjusted EBITDA and for a reconciliation from net income attributable to Versant to Adjusted EBITDA.</w:t>
      </w:r>
    </w:p>
    <w:p>
      <w:pPr>
        <w:pStyle w:val="TextBody"/>
        <w:bidi w:val="0"/>
        <w:spacing w:lineRule="auto" w:line="288" w:before="0" w:after="240"/>
        <w:ind w:left="0" w:right="0" w:hanging="360"/>
        <w:jc w:val="both"/>
      </w:pPr>
      <w:r>
        <w:rPr>
          <w:color w:val="000000"/>
        </w:rPr>
        <w:t>•</w:t>
      </w:r>
      <w:r>
        <w:rPr>
          <w:rFonts w:ascii="Times New Roman;serif" w:hAnsi="Times New Roman;serif"/>
          <w:b w:val="false"/>
          <w:color w:val="000000"/>
          <w:sz w:val="20"/>
        </w:rPr>
        <w:t>Cash flows from operations of $1,313 million and $1,546 million for the nine months ended September 30, 2026 and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Events and Factors Affecting Results of Operations and Comparability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Separation and Transition to Standalone Company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Versant became a standalone public company following the Separation from Comcast on January 2, 2026. We have incurred and will continue to incur incremental costs related to operating as a public company, including external reporting, internal audit, treasury, investor relations, board of directors, and stock administration, and expanding the services of existing functions such as information technology, finance, supply chain, human resources, legal, tax, facilities and insurance. These costs are higher than operating costs in our combined financial statements for periods prior to the Separation, which were generally allocated on a pro rata basis using an applicable measure of revenue. Accordingly, the combined financial statements for periods prior to the Separation do not reflect our results of operations, financial position, and cash flows had we been a separate, standalone company during those historical periods. See Note 1 to our consolidated and combined financial statements for additional information on the basis of presentation of the financial statements included in this report.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incurred approximately $3.0 billion of debt, including our Senior Notes and Term Loans (see Note 7). A portion of the proceeds from these borrowings were used to fund a cash payment to Comcast of $2.25 billion.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Acquisition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3, 2026, we acquired Full Swing, a leading sports technology company with patented hardware and integrated software used by consumers, competitive athletes, coaches, and commercial venues, for approximately $536 million in cash, subject to customary purchase price adjustments. Total revenue from Full Swing for the three and nine months ended September 30, 2026 was $24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completed the sale of our SportsEngine business, resulting in decreases in revenue and operating expenses for periods following the sale. Total revenue generated from SportsEngine through the end of the second quarter of 2026 was $48 million. Total revenue from SportsEngine for the three and nine months ended September 30, 2025 was $36 million and $102 million,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Business</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We believe the key business and marketplace factors that are impacting our business include the following:</w:t>
      </w:r>
    </w:p>
    <w:p>
      <w:pPr>
        <w:pStyle w:val="TextBody"/>
        <w:bidi w:val="0"/>
        <w:spacing w:lineRule="auto" w:line="288" w:before="0" w:after="180"/>
        <w:ind w:left="0" w:right="0" w:hanging="360"/>
        <w:jc w:val="both"/>
      </w:pPr>
      <w:r>
        <w:rPr>
          <w:color w:val="000000"/>
        </w:rPr>
        <w:t>•</w:t>
      </w:r>
      <w:r>
        <w:rPr>
          <w:rFonts w:ascii="Times New Roman;serif" w:hAnsi="Times New Roman;serif"/>
          <w:b/>
          <w:color w:val="000000"/>
          <w:sz w:val="20"/>
        </w:rPr>
        <w:t>Consumer Demand for Cable Television.</w:t>
      </w:r>
      <w:r>
        <w:rPr>
          <w:color w:val="000000"/>
        </w:rPr>
        <w:t xml:space="preserve"> </w:t>
      </w:r>
      <w:r>
        <w:rPr>
          <w:rFonts w:ascii="Times New Roman;serif" w:hAnsi="Times New Roman;serif"/>
          <w:b w:val="false"/>
          <w:color w:val="000000"/>
          <w:sz w:val="20"/>
        </w:rPr>
        <w:t>The amount of revenue we earn from multichannel video programming distributors (“MVPDs”) for the distribution of our networks has declined in recent years, 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 on favorable terms.</w:t>
      </w:r>
    </w:p>
    <w:p>
      <w:pPr>
        <w:pStyle w:val="TextBody"/>
        <w:bidi w:val="0"/>
        <w:spacing w:lineRule="auto" w:line="288" w:before="0" w:after="180"/>
        <w:ind w:left="0" w:right="0" w:hanging="360"/>
        <w:jc w:val="both"/>
      </w:pPr>
      <w:r>
        <w:rPr>
          <w:color w:val="000000"/>
        </w:rPr>
        <w:t>•</w:t>
      </w:r>
      <w:r>
        <w:rPr>
          <w:rFonts w:ascii="Times New Roman;serif" w:hAnsi="Times New Roman;serif"/>
          <w:b/>
          <w:color w:val="000000"/>
          <w:sz w:val="20"/>
        </w:rPr>
        <w:t>Advertising.</w:t>
      </w:r>
      <w:r>
        <w:rPr>
          <w:color w:val="000000"/>
        </w:rPr>
        <w:t xml:space="preserve"> </w:t>
      </w:r>
      <w:r>
        <w:rPr>
          <w:rFonts w:ascii="Times New Roman;serif" w:hAnsi="Times New Roman;serif"/>
          <w:b w:val="false"/>
          <w:color w:val="000000"/>
          <w:sz w:val="20"/>
        </w:rPr>
        <w:t>We derive significant revenue from selling advertising on our networks, and have experienced in recent years, and expect to continue to experience, declines in advertising revenue caused by changes in advertiser priorities primarily due to increased competition for the leisure time of viewers and increased audience fragmentation primarily from greater use of streaming and digital platforms (all of which we expect will continue in the foreseeable future), as well as by cyclical factors, such as election cycles and the timing of sporting events and macroeconomic conditions. In addition, lower audience ratings and reduced viewership, which our networks have experienced, and likely will experience in the future, affect pricing and the willingness of advertisers to purchase advertising.</w:t>
      </w:r>
    </w:p>
    <w:p>
      <w:pPr>
        <w:pStyle w:val="TextBody"/>
        <w:bidi w:val="0"/>
        <w:spacing w:lineRule="auto" w:line="288" w:before="0" w:after="180"/>
        <w:ind w:left="0" w:right="0" w:hanging="360"/>
        <w:jc w:val="both"/>
      </w:pPr>
      <w:r>
        <w:rPr>
          <w:color w:val="000000"/>
        </w:rPr>
        <w:t>•</w:t>
      </w:r>
      <w:r>
        <w:rPr>
          <w:rFonts w:ascii="Times New Roman;serif" w:hAnsi="Times New Roman;serif"/>
          <w:b/>
          <w:color w:val="000000"/>
          <w:sz w:val="20"/>
        </w:rPr>
        <w:t>Growth of Digital Platforms.</w:t>
      </w:r>
      <w:r>
        <w:rPr>
          <w:color w:val="000000"/>
        </w:rPr>
        <w:t xml:space="preserve"> </w:t>
      </w:r>
      <w:r>
        <w:rPr>
          <w:rFonts w:ascii="Times New Roman;serif" w:hAnsi="Times New Roman;serif"/>
          <w:b w:val="false"/>
          <w:color w:val="000000"/>
          <w:sz w:val="20"/>
        </w:rPr>
        <w:t xml:space="preserve">Our digital platforms generate revenue from selling advertising, providing services directly to consumers 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 </w:t>
      </w:r>
    </w:p>
    <w:p>
      <w:pPr>
        <w:pStyle w:val="TextBody"/>
        <w:bidi w:val="0"/>
        <w:spacing w:lineRule="auto" w:line="288" w:before="0" w:after="180"/>
        <w:ind w:left="0" w:right="0" w:hanging="360"/>
        <w:jc w:val="both"/>
      </w:pPr>
      <w:r>
        <w:rPr>
          <w:color w:val="000000"/>
        </w:rPr>
        <w:t>•</w:t>
      </w:r>
      <w:r>
        <w:rPr>
          <w:rFonts w:ascii="Times New Roman;serif" w:hAnsi="Times New Roman;serif"/>
          <w:b/>
          <w:color w:val="000000"/>
          <w:sz w:val="20"/>
        </w:rPr>
        <w:t>Competition for Programming.</w:t>
      </w:r>
      <w:r>
        <w:rPr>
          <w:color w:val="000000"/>
        </w:rPr>
        <w:t xml:space="preserve"> </w:t>
      </w:r>
      <w:r>
        <w:rPr>
          <w:rFonts w:ascii="Times New Roman;serif" w:hAnsi="Times New Roman;serif"/>
          <w:b w:val="false"/>
          <w:color w:val="000000"/>
          <w:sz w:val="20"/>
        </w:rPr>
        <w:t>The market for programming has been, and we expect will continue to be, very competitive. In recent 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pStyle w:val="TextBody"/>
        <w:bidi w:val="0"/>
        <w:spacing w:lineRule="auto" w:line="288" w:before="0" w:after="180"/>
        <w:ind w:left="0" w:right="0" w:hanging="360"/>
        <w:jc w:val="both"/>
      </w:pPr>
      <w:r>
        <w:rPr>
          <w:color w:val="000000"/>
        </w:rPr>
        <w:t>•</w:t>
      </w:r>
      <w:r>
        <w:rPr>
          <w:rFonts w:ascii="Times New Roman;serif" w:hAnsi="Times New Roman;serif"/>
          <w:b/>
          <w:color w:val="000000"/>
          <w:sz w:val="20"/>
        </w:rPr>
        <w:t>Impact of Macroeconomic Conditions.</w:t>
      </w:r>
      <w:r>
        <w:rPr>
          <w:color w:val="000000"/>
        </w:rPr>
        <w:t xml:space="preserve"> </w:t>
      </w:r>
      <w:r>
        <w:rPr>
          <w:rFonts w:ascii="Times New Roman;serif" w:hAnsi="Times New Roman;serif"/>
          <w:b w:val="false"/>
          <w:color w:val="000000"/>
          <w:sz w:val="20"/>
        </w:rPr>
        <w:t>A substantial portion of our revenue is impacted by consumer spending patterns, which are 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pPr>
      <w:r/>
    </w:p>
    <w:p>
      <w:pPr>
        <w:pStyle w:val="TextBody"/>
        <w:bidi w:val="0"/>
        <w:spacing w:lineRule="auto" w:line="288" w:before="0" w:after="240"/>
        <w:ind w:left="0" w:right="0" w:hanging="360"/>
        <w:jc w:val="both"/>
      </w:pPr>
      <w:r>
        <w:rPr>
          <w:color w:val="000000"/>
        </w:rPr>
        <w:t>•</w:t>
      </w:r>
      <w:r>
        <w:rPr>
          <w:rFonts w:ascii="Times New Roman;serif" w:hAnsi="Times New Roman;serif"/>
          <w:b/>
          <w:color w:val="000000"/>
          <w:sz w:val="20"/>
        </w:rPr>
        <w:t>Brand Value and Reputation.</w:t>
      </w:r>
      <w:r>
        <w:rPr>
          <w:color w:val="000000"/>
        </w:rPr>
        <w:t xml:space="preserve"> </w:t>
      </w:r>
      <w:r>
        <w:rPr>
          <w:rFonts w:ascii="Times New Roman;serif" w:hAnsi="Times New Roman;serif"/>
          <w:b w:val="false"/>
          <w:color w:val="000000"/>
          <w:sz w:val="20"/>
        </w:rPr>
        <w:t>Our brand image, awareness and reputation strengthen our relationship with our audiences and can be important drivers of consumer and advertiser engagement. We are establishing the Versant brand as a standalone public company and elevated public scrutiny, geopolitical tensions and rapid consumer reaction have heightened reputational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these and other factors as we develop and execute our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Results</w:t>
      </w:r>
    </w:p>
    <w:tbl>
      <w:tblPr>
        <w:tblW w:w="10205" w:type="dxa"/>
        <w:jc w:val="center"/>
        <w:tblInd w:w="0" w:type="dxa"/>
        <w:tblLayout w:type="fixed"/>
        <w:tblCellMar>
          <w:top w:w="28" w:type="dxa"/>
          <w:left w:w="28" w:type="dxa"/>
          <w:bottom w:w="28" w:type="dxa"/>
          <w:right w:w="28" w:type="dxa"/>
        </w:tblCellMar>
      </w:tblPr>
      <w:tblGrid>
        <w:gridCol w:w="1057"/>
        <w:gridCol w:w="651"/>
        <w:gridCol w:w="656"/>
        <w:gridCol w:w="109"/>
        <w:gridCol w:w="109"/>
        <w:gridCol w:w="109"/>
        <w:gridCol w:w="220"/>
        <w:gridCol w:w="659"/>
        <w:gridCol w:w="113"/>
        <w:gridCol w:w="113"/>
        <w:gridCol w:w="113"/>
        <w:gridCol w:w="113"/>
        <w:gridCol w:w="220"/>
        <w:gridCol w:w="659"/>
        <w:gridCol w:w="113"/>
        <w:gridCol w:w="109"/>
        <w:gridCol w:w="109"/>
        <w:gridCol w:w="109"/>
        <w:gridCol w:w="268"/>
        <w:gridCol w:w="270"/>
        <w:gridCol w:w="385"/>
        <w:gridCol w:w="109"/>
        <w:gridCol w:w="109"/>
        <w:gridCol w:w="109"/>
        <w:gridCol w:w="218"/>
        <w:gridCol w:w="653"/>
        <w:gridCol w:w="112"/>
        <w:gridCol w:w="112"/>
        <w:gridCol w:w="112"/>
        <w:gridCol w:w="112"/>
        <w:gridCol w:w="218"/>
        <w:gridCol w:w="653"/>
        <w:gridCol w:w="112"/>
        <w:gridCol w:w="109"/>
        <w:gridCol w:w="109"/>
        <w:gridCol w:w="109"/>
        <w:gridCol w:w="268"/>
        <w:gridCol w:w="270"/>
        <w:gridCol w:w="447"/>
      </w:tblGrid>
      <w:tr>
        <w:tc>
          <w:tcPr>
            <w:tcW w:w="105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 except per share data)</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1,663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4,925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5,078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919</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1,073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Versant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0.34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0.56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Versant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0.34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0.56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Adjusted EBITDA</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353</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445</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1,681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1,888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Percentage changes that are considered not meaningful are denoted with NM.</w:t>
      </w:r>
    </w:p>
    <w:p>
      <w:pPr>
        <w:pStyle w:val="TextBody"/>
        <w:bidi w:val="0"/>
        <w:spacing w:lineRule="auto" w:line="288" w:before="60" w:after="240"/>
        <w:ind w:left="0" w:right="0" w:hanging="270"/>
        <w:jc w:val="both"/>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Adjusted EBITDA is a non-GAAP financial measure. Refer to “Non-GAAP Financial Measures” for additional information, including our definition and our use of Adjusted EBITDA, and for a reconciliation from net income attributable to Versant to Adjusted EBITDA.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10205" w:type="dxa"/>
        <w:jc w:val="center"/>
        <w:tblInd w:w="0" w:type="dxa"/>
        <w:tblLayout w:type="fixed"/>
        <w:tblCellMar>
          <w:top w:w="28" w:type="dxa"/>
          <w:left w:w="28" w:type="dxa"/>
          <w:bottom w:w="28" w:type="dxa"/>
          <w:right w:w="28" w:type="dxa"/>
        </w:tblCellMar>
      </w:tblPr>
      <w:tblGrid>
        <w:gridCol w:w="703"/>
        <w:gridCol w:w="622"/>
        <w:gridCol w:w="624"/>
        <w:gridCol w:w="137"/>
        <w:gridCol w:w="137"/>
        <w:gridCol w:w="138"/>
        <w:gridCol w:w="239"/>
        <w:gridCol w:w="717"/>
        <w:gridCol w:w="123"/>
        <w:gridCol w:w="123"/>
        <w:gridCol w:w="123"/>
        <w:gridCol w:w="123"/>
        <w:gridCol w:w="239"/>
        <w:gridCol w:w="717"/>
        <w:gridCol w:w="123"/>
        <w:gridCol w:w="109"/>
        <w:gridCol w:w="109"/>
        <w:gridCol w:w="109"/>
        <w:gridCol w:w="281"/>
        <w:gridCol w:w="284"/>
        <w:gridCol w:w="367"/>
        <w:gridCol w:w="109"/>
        <w:gridCol w:w="109"/>
        <w:gridCol w:w="109"/>
        <w:gridCol w:w="233"/>
        <w:gridCol w:w="699"/>
        <w:gridCol w:w="120"/>
        <w:gridCol w:w="120"/>
        <w:gridCol w:w="120"/>
        <w:gridCol w:w="120"/>
        <w:gridCol w:w="233"/>
        <w:gridCol w:w="699"/>
        <w:gridCol w:w="120"/>
        <w:gridCol w:w="109"/>
        <w:gridCol w:w="109"/>
        <w:gridCol w:w="109"/>
        <w:gridCol w:w="254"/>
        <w:gridCol w:w="257"/>
        <w:gridCol w:w="429"/>
      </w:tblGrid>
      <w:tr>
        <w:tc>
          <w:tcPr>
            <w:tcW w:w="7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3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1,663</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4,925</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5,078</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pPr>
      <w:r/>
    </w:p>
    <w:p>
      <w:pPr>
        <w:pStyle w:val="TextBody"/>
        <w:bidi w:val="0"/>
        <w:spacing w:lineRule="auto" w:line="288" w:before="0" w:after="240"/>
        <w:jc w:val="both"/>
      </w:pPr>
      <w:r>
        <w:rPr>
          <w:rFonts w:ascii="Times New Roman;serif" w:hAnsi="Times New Roman;serif"/>
          <w:b/>
          <w:color w:val="000000"/>
          <w:sz w:val="20"/>
        </w:rPr>
        <w:t>Linear distribution revenue</w:t>
      </w:r>
      <w:r>
        <w:rPr>
          <w:color w:val="000000"/>
        </w:rPr>
        <w:t xml:space="preserve"> </w:t>
      </w:r>
      <w:r>
        <w:rPr>
          <w:rFonts w:ascii="Times New Roman;serif" w:hAnsi="Times New Roman;serif"/>
          <w:b w:val="false"/>
          <w:color w:val="000000"/>
          <w:sz w:val="20"/>
        </w:rPr>
        <w:t>decreased for the three and nine months ended September 30, 2026</w:t>
      </w:r>
      <w:r>
        <w:rPr>
          <w:color w:val="000000"/>
        </w:rPr>
        <w:t xml:space="preserve"> </w:t>
      </w:r>
      <w:r>
        <w:rPr>
          <w:rFonts w:ascii="Times New Roman;serif" w:hAnsi="Times New Roman;serif"/>
          <w:b w:val="false"/>
          <w:color w:val="000000"/>
          <w:sz w:val="20"/>
        </w:rPr>
        <w:t>as compared to the corresponding prior year periods, primarily due to continued declines in subscribers, which were partially offset by contractual rate increases.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experience continued declines in the number of subscribers and linear distribution revenue, as further discussed in “Key Factors Affecting Our Business.” </w:t>
      </w:r>
    </w:p>
    <w:p>
      <w:pPr>
        <w:pStyle w:val="TextBody"/>
        <w:bidi w:val="0"/>
        <w:spacing w:lineRule="auto" w:line="288" w:before="0" w:after="180"/>
        <w:jc w:val="both"/>
      </w:pPr>
      <w:r>
        <w:rPr>
          <w:rFonts w:ascii="Times New Roman;serif" w:hAnsi="Times New Roman;serif"/>
          <w:b/>
          <w:color w:val="000000"/>
          <w:sz w:val="20"/>
        </w:rPr>
        <w:t xml:space="preserve">Advertising revenue </w:t>
      </w:r>
      <w:r>
        <w:rPr>
          <w:rFonts w:ascii="Times New Roman;serif" w:hAnsi="Times New Roman;serif"/>
          <w:b w:val="false"/>
          <w:color w:val="000000"/>
          <w:sz w:val="20"/>
        </w:rPr>
        <w:t>decreased for the three and nine months ended September 30, 2026</w:t>
      </w:r>
      <w:r>
        <w:rPr>
          <w:color w:val="000000"/>
        </w:rPr>
        <w:t xml:space="preserve"> </w:t>
      </w:r>
      <w:r>
        <w:rPr>
          <w:rFonts w:ascii="Times New Roman;serif" w:hAnsi="Times New Roman;serif"/>
          <w:b w:val="false"/>
          <w:color w:val="000000"/>
          <w:sz w:val="20"/>
        </w:rPr>
        <w:t>as compared to the corresponding prior year periods, as decreases at our networks, including the impact of the Ryder Cup in the prior year, were partially offset by incremental revenue from a recent acquisition. These results reflect improvements in recent trends including favorable ratings at our networks.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experience declines in advertising revenues in future periods as a result of the trends discussed in “Key Factors Affecting Our Business.”</w:t>
      </w:r>
    </w:p>
    <w:p>
      <w:pPr>
        <w:pStyle w:val="TextBody"/>
        <w:bidi w:val="0"/>
        <w:spacing w:lineRule="auto" w:line="288" w:before="0" w:after="180"/>
        <w:jc w:val="both"/>
      </w:pPr>
      <w:r>
        <w:rPr>
          <w:rFonts w:ascii="Times New Roman;serif" w:hAnsi="Times New Roman;serif"/>
          <w:b/>
          <w:color w:val="000000"/>
          <w:sz w:val="20"/>
        </w:rPr>
        <w:t>Platforms revenue</w:t>
      </w:r>
      <w:r>
        <w:rPr>
          <w:color w:val="000000"/>
        </w:rPr>
        <w:t xml:space="preserve"> </w:t>
      </w:r>
      <w:r>
        <w:rPr>
          <w:rFonts w:ascii="Times New Roman;serif" w:hAnsi="Times New Roman;serif"/>
          <w:b w:val="false"/>
          <w:color w:val="000000"/>
          <w:sz w:val="20"/>
        </w:rPr>
        <w:t xml:space="preserve">increased for the three and nine months ended September 30, 2026 as compared to the corresponding prior year periods, primarily due to increased revenue at Fandango, as well as $23 million of revenue related to Full Swing, which was acquired in August 2026. The increased revenue at Fandango primarily related to movie ticket purchases through our platform, which reflect underlying box office performance, as well as incremental revenue from our new cinema operating platform. The platforms revenue increase for the nine months ended September 30, 2026 was also attributable to GolfNow, reflecting higher transactional volumes related to services provided to golf courses, including tee time reservations and on-site payment facilitation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increases for the three and nine months ended September 30, 2026 were partially offset by the impact of our divestiture of SportsEngine during the second quarter of 2026. Platforms revenue generated from SportsEngine prior to its sale totaled $46 million for the nine months ended September 30, 2026, and was $35 million and $97 million, respectively, for the three and nine months ended September 30, 2025.</w:t>
      </w:r>
    </w:p>
    <w:p>
      <w:pPr>
        <w:pStyle w:val="TextBody"/>
        <w:bidi w:val="0"/>
        <w:spacing w:lineRule="auto" w:line="288" w:before="0" w:after="180"/>
        <w:jc w:val="both"/>
      </w:pPr>
      <w:r>
        <w:rPr>
          <w:rFonts w:ascii="Times New Roman;serif" w:hAnsi="Times New Roman;serif"/>
          <w:b/>
          <w:color w:val="000000"/>
          <w:sz w:val="20"/>
        </w:rPr>
        <w:t>Content licensing and other revenue</w:t>
      </w:r>
      <w:r>
        <w:rPr>
          <w:color w:val="000000"/>
        </w:rPr>
        <w:t xml:space="preserve"> </w:t>
      </w:r>
      <w:r>
        <w:rPr>
          <w:rFonts w:ascii="Times New Roman;serif" w:hAnsi="Times New Roman;serif"/>
          <w:b w:val="false"/>
          <w:color w:val="000000"/>
          <w:sz w:val="20"/>
        </w:rPr>
        <w:t>decreased for the three months ended September 30, 2026 and increased for the nine months ended September 30, 2026, as compared to the corresponding prior year periods, reflecting the timing of content licensing agreements. The year-to-date period includes the impact of a large licensing agreement recognized during the first quarter of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60" w:after="180"/>
        <w:jc w:val="both"/>
        <w:rPr>
          <w:rFonts w:ascii="Times New Roman;serif" w:hAnsi="Times New Roman;serif"/>
          <w:b/>
          <w:i/>
          <w:color w:val="000000"/>
          <w:sz w:val="20"/>
        </w:rPr>
      </w:pPr>
      <w:r>
        <w:rPr>
          <w:rFonts w:ascii="Times New Roman;serif" w:hAnsi="Times New Roman;serif"/>
          <w:b/>
          <w:i/>
          <w:color w:val="000000"/>
          <w:sz w:val="20"/>
        </w:rPr>
        <w:t>Costs of Revenue</w:t>
      </w:r>
    </w:p>
    <w:tbl>
      <w:tblPr>
        <w:tblW w:w="10205" w:type="dxa"/>
        <w:jc w:val="left"/>
        <w:tblInd w:w="0" w:type="dxa"/>
        <w:tblLayout w:type="fixed"/>
        <w:tblCellMar>
          <w:top w:w="28" w:type="dxa"/>
          <w:left w:w="28" w:type="dxa"/>
          <w:bottom w:w="28" w:type="dxa"/>
          <w:right w:w="28" w:type="dxa"/>
        </w:tblCellMar>
      </w:tblPr>
      <w:tblGrid>
        <w:gridCol w:w="782"/>
        <w:gridCol w:w="688"/>
        <w:gridCol w:w="691"/>
        <w:gridCol w:w="109"/>
        <w:gridCol w:w="109"/>
        <w:gridCol w:w="109"/>
        <w:gridCol w:w="271"/>
        <w:gridCol w:w="619"/>
        <w:gridCol w:w="139"/>
        <w:gridCol w:w="139"/>
        <w:gridCol w:w="139"/>
        <w:gridCol w:w="139"/>
        <w:gridCol w:w="271"/>
        <w:gridCol w:w="619"/>
        <w:gridCol w:w="139"/>
        <w:gridCol w:w="109"/>
        <w:gridCol w:w="109"/>
        <w:gridCol w:w="109"/>
        <w:gridCol w:w="254"/>
        <w:gridCol w:w="257"/>
        <w:gridCol w:w="367"/>
        <w:gridCol w:w="109"/>
        <w:gridCol w:w="109"/>
        <w:gridCol w:w="109"/>
        <w:gridCol w:w="236"/>
        <w:gridCol w:w="706"/>
        <w:gridCol w:w="121"/>
        <w:gridCol w:w="121"/>
        <w:gridCol w:w="121"/>
        <w:gridCol w:w="121"/>
        <w:gridCol w:w="236"/>
        <w:gridCol w:w="706"/>
        <w:gridCol w:w="121"/>
        <w:gridCol w:w="109"/>
        <w:gridCol w:w="109"/>
        <w:gridCol w:w="109"/>
        <w:gridCol w:w="231"/>
        <w:gridCol w:w="233"/>
        <w:gridCol w:w="430"/>
      </w:tblGrid>
      <w:t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5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879</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873</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2,167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2,227</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pPr>
      <w:r>
        <w:rPr>
          <w:rFonts w:ascii="Times New Roman;serif" w:hAnsi="Times New Roman;serif"/>
          <w:b/>
          <w:color w:val="000000"/>
          <w:sz w:val="20"/>
        </w:rPr>
        <w:t>Programming and production costs</w:t>
      </w:r>
      <w:r>
        <w:rPr>
          <w:color w:val="000000"/>
        </w:rPr>
        <w:t xml:space="preserve"> </w:t>
      </w:r>
      <w:r>
        <w:rPr>
          <w:rFonts w:ascii="Times New Roman;serif" w:hAnsi="Times New Roman;serif"/>
          <w:b w:val="false"/>
          <w:color w:val="000000"/>
          <w:sz w:val="20"/>
        </w:rPr>
        <w:t>decreased for the three and nine months ended September 30, 2026, as compared to the corresponding prior year periods, primarily due to allocated costs from Comcast in the prior year period, which were higher than our actual costs incurred following the Separation, as well as reductions in costs for licensed and owned entertainment programming. These declines were partially offset by increased costs related to new sports rights agreements. In addition, the decrease in costs for the nine months ended September 30, 2026 was offset in part by costs related to a large content licensing agreement recognized during the first quarter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are our most significant costs of revenue and are further discussed in “Key Factors Affecting Our Business” above.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both"/>
      </w:pPr>
      <w:r>
        <w:rPr>
          <w:rFonts w:ascii="Times New Roman;serif" w:hAnsi="Times New Roman;serif"/>
          <w:b/>
          <w:color w:val="000000"/>
          <w:sz w:val="20"/>
        </w:rPr>
        <w:t>Other costs of revenue</w:t>
      </w:r>
      <w:r>
        <w:rPr>
          <w:color w:val="000000"/>
        </w:rPr>
        <w:t xml:space="preserve"> </w:t>
      </w:r>
      <w:r>
        <w:rPr>
          <w:rFonts w:ascii="Times New Roman;serif" w:hAnsi="Times New Roman;serif"/>
          <w:b w:val="false"/>
          <w:color w:val="000000"/>
          <w:sz w:val="20"/>
        </w:rPr>
        <w:t>increased for the three and nine months ended September 30, 2026, as compared to the corresponding prior year periods</w:t>
      </w:r>
      <w:r>
        <w:rPr>
          <w:rFonts w:ascii="Arial;sans-serif" w:hAnsi="Arial;sans-serif"/>
          <w:b w:val="false"/>
          <w:color w:val="000000"/>
          <w:sz w:val="16"/>
        </w:rPr>
        <w:t xml:space="preserve">, </w:t>
      </w:r>
      <w:r>
        <w:rPr>
          <w:rFonts w:ascii="Times New Roman;serif" w:hAnsi="Times New Roman;serif"/>
          <w:b w:val="false"/>
          <w:color w:val="000000"/>
          <w:sz w:val="20"/>
        </w:rPr>
        <w:t xml:space="preserve">primarily due to higher transactional volumes related to our digital platforms and costs related to Full Swing, partially offset by decreased costs as a result of our divestiture of SportsEngine during the second quarter of 2026.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for the three months ended September 30, 2026 and increased for the nine months ended September 30, 2026, as compared to the corresponding prior year periods. The decrease in the third quarter of 2026 was primarily driven by transaction and transaction-related expenses of $27 million recorded during the three months ended September 30, 2025 and the impact of the SportsEngine divestiture in the second quarter of 2026. These decreases were partially offset by incremental costs of operating as an independent public company, costs associated with our commercial agreements with NBCUniversal following the Separation primarily related to the sale of advertising, and incremental costs from newly acquired businesses. Costs of operating as an independent public company include standalone corporate administrative, facilities and support functions following the Separation.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selling, general and administrative expense increased as compared to the corresponding prior-year period primarily driven by incremental costs of operating as an independent public company and costs associated with our commercial agreements with NBCUniversal, as noted above, as well as incremental costs from newly acquired businesses. These increases were partially offset by transaction and transaction-related costs of $71 million, recorded during the nine months ended September 30, 2025, and the impact of the SportsEngine divestiture.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our combined financial statements reflected direct costs, and allocations of indirect costs for administrative functions and services performed on our behalf by centralized functions within Comcast and allocations of costs for the use of shared assets, allocated on a pro rata basis using an applicable measure based on revenue applied to the relevant pool of costs. As such, our historical costs were not representative of our operating costs as a standalone company following the Separation.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decreased for the three months ended September 30, 2026 and increased for the nine months ended September 30, 2026, as compared to the corresponding prior year periods. The decrease for the three months ended September 30, 2026 is primarily due to lower amortization expense related to the acceleration of amortization on the MSNBC tradename due to the rebranding of the network in the prior year and certain intangible assets that did not transfer to Versant following the Separation, partially offset by depreciation on facilities and related assets, which were transferred to Versant in connection with the Separation and the impact of new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nine months ended September 30, 2026 increased primarily due to the pre-tax loss of $39 million recognized in connection with the divestiture of SportsEngine in the second quarter of 2026, as well as increases previously discussed related to depreciation on new facilities and related assets transferred at Separation, partially offset by lower amortization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pPr>
      <w:r>
        <w:rPr>
          <w:rFonts w:ascii="Times New Roman;serif" w:hAnsi="Times New Roman;serif"/>
          <w:b w:val="false"/>
          <w:color w:val="000000"/>
          <w:sz w:val="20"/>
        </w:rPr>
        <w:t xml:space="preserve">Interest expense for the three and nine months ended September 30, 2026 was primarily attributable to interest on our Senior Notes and Term Loans, which were issued in connection with the Separation. </w:t>
      </w:r>
      <w:r>
        <w:rPr>
          <w:rFonts w:ascii="Times New Roman;serif" w:hAnsi="Times New Roman;serif"/>
          <w:b w:val="false"/>
          <w:color w:val="000000"/>
          <w:sz w:val="20"/>
          <w:shd w:fill="FFFFFF" w:val="clear"/>
        </w:rPr>
        <w:t>See Note</w:t>
      </w:r>
      <w:r>
        <w:rPr>
          <w:color w:val="000000"/>
        </w:rPr>
        <w:t xml:space="preserve"> </w:t>
      </w:r>
      <w:r>
        <w:rPr>
          <w:rFonts w:ascii="Times New Roman;serif" w:hAnsi="Times New Roman;serif"/>
          <w:b w:val="false"/>
          <w:color w:val="000000"/>
          <w:sz w:val="20"/>
        </w:rPr>
        <w:t>7 to our condensed consolidated and combined financial statements for additional information on our debt obligations.</w:t>
      </w:r>
    </w:p>
    <w:p>
      <w:pPr>
        <w:pStyle w:val="TextBody"/>
        <w:bidi w:val="0"/>
        <w:spacing w:lineRule="auto" w:line="264" w:before="0" w:after="180"/>
        <w:jc w:val="both"/>
        <w:rPr>
          <w:rFonts w:ascii="Times New Roman;serif" w:hAnsi="Times New Roman;serif"/>
          <w:b/>
          <w:i/>
          <w:color w:val="000000"/>
          <w:sz w:val="20"/>
        </w:rPr>
      </w:pPr>
      <w:r>
        <w:rPr>
          <w:rFonts w:ascii="Times New Roman;serif" w:hAnsi="Times New Roman;serif"/>
          <w:b/>
          <w:i/>
          <w:color w:val="000000"/>
          <w:sz w:val="20"/>
        </w:rPr>
        <w:t xml:space="preserve">Investment and Other Income (Loss), Net </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and other income (loss), net, for the three and nine months ended September 30, 2026 was primarily comprised of interest income on cash and cash equivalents. Investment and other income (loss), net, for the three and nine months ended September 30, 2025 was primarily attributable to the $40 million impairment loss related to nonmarketable equity securities (see Note 5).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p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was 28.8% and 36.2% for the three months ended September 30, 2026 and 2025, respectively, and 30.8% and 27.4% for the nine months ended September 30, 2026 and 2025, respectively. The increase in the effective tax rate for the nine months ended September 30, 2026 is largely due to $31 million of income tax expense associated with the SportsEngine divestiture, primarily resulting from the differences in the book and tax basis for goodwill (see Note 11). In the third quarter of 2025, we recorded a valuation allowance for $10 million of deferred tax assets resulting from the nonmarketable equity security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is a key measure used to assess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make adjustments to Adjusted EBITDA for the impact of certain other events, gains, losses or other charges that affect the period-to-period comparability of our operating performance.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from Net Income Attributable to Versant to Adjusted EBITDA</w:t>
      </w:r>
    </w:p>
    <w:tbl>
      <w:tblPr>
        <w:tblW w:w="9928" w:type="dxa"/>
        <w:jc w:val="left"/>
        <w:tblInd w:w="0" w:type="dxa"/>
        <w:tblLayout w:type="fixed"/>
        <w:tblCellMar>
          <w:top w:w="28" w:type="dxa"/>
          <w:left w:w="28" w:type="dxa"/>
          <w:bottom w:w="28" w:type="dxa"/>
          <w:right w:w="28" w:type="dxa"/>
        </w:tblCellMar>
      </w:tblPr>
      <w:tblGrid>
        <w:gridCol w:w="1435"/>
        <w:gridCol w:w="1258"/>
        <w:gridCol w:w="1266"/>
        <w:gridCol w:w="109"/>
        <w:gridCol w:w="109"/>
        <w:gridCol w:w="109"/>
        <w:gridCol w:w="293"/>
        <w:gridCol w:w="669"/>
        <w:gridCol w:w="151"/>
        <w:gridCol w:w="151"/>
        <w:gridCol w:w="151"/>
        <w:gridCol w:w="151"/>
        <w:gridCol w:w="293"/>
        <w:gridCol w:w="669"/>
        <w:gridCol w:w="151"/>
        <w:gridCol w:w="109"/>
        <w:gridCol w:w="109"/>
        <w:gridCol w:w="109"/>
        <w:gridCol w:w="245"/>
        <w:gridCol w:w="732"/>
        <w:gridCol w:w="126"/>
        <w:gridCol w:w="126"/>
        <w:gridCol w:w="126"/>
        <w:gridCol w:w="126"/>
        <w:gridCol w:w="245"/>
        <w:gridCol w:w="732"/>
        <w:gridCol w:w="178"/>
      </w:tblGrid>
      <w:tr>
        <w:tc>
          <w:tcPr>
            <w:tcW w:w="143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749</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Adjustments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353</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445</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1,681</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1,888</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40"/>
        <w:ind w:left="0" w:right="0" w:hanging="360"/>
        <w:jc w:val="both"/>
      </w:pPr>
      <w:r>
        <w:rPr>
          <w:rFonts w:ascii="Times New Roman;serif" w:hAnsi="Times New Roman;serif"/>
          <w:b w:val="false"/>
          <w:color w:val="000000"/>
          <w:sz w:val="12"/>
        </w:rPr>
        <w:t xml:space="preserve">(a) </w:t>
      </w:r>
      <w:r>
        <w:rPr>
          <w:rFonts w:ascii="Times New Roman;serif" w:hAnsi="Times New Roman;serif"/>
          <w:b w:val="false"/>
          <w:color w:val="000000"/>
          <w:sz w:val="18"/>
        </w:rPr>
        <w:t xml:space="preserve">Amounts represent the impact of certain events, gains, losses or other charges that are adjusted in our definition of Adjusted EBITDA. For the periods presented, Adjusted EBITDA excludes transaction and transaction-related costs associated with the Separation, and includes fair value adjustments associated with a legacy deferred compensation plan assumed in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 The legacy deferred compensation program is frozen and has been funded with investments held in a trust. As such, we include the investment gains and losses, presented in investment and other income (loss), net in Adjusted EBITDA to offset gains and losses on the deferred compensation plan liability included in selling general and administrative expenses. </w:t>
      </w:r>
    </w:p>
    <w:p>
      <w:pPr>
        <w:pStyle w:val="TextBody"/>
        <w:bidi w:val="0"/>
        <w:spacing w:before="0" w:after="0"/>
        <w:ind w:left="0" w:right="0" w:hanging="36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pPr>
      <w:r/>
    </w:p>
    <w:tbl>
      <w:tblPr>
        <w:tblW w:w="10205" w:type="dxa"/>
        <w:jc w:val="left"/>
        <w:tblInd w:w="0" w:type="dxa"/>
        <w:tblLayout w:type="fixed"/>
        <w:tblCellMar>
          <w:top w:w="28" w:type="dxa"/>
          <w:left w:w="28" w:type="dxa"/>
          <w:bottom w:w="28" w:type="dxa"/>
          <w:right w:w="28" w:type="dxa"/>
        </w:tblCellMar>
      </w:tblPr>
      <w:tblGrid>
        <w:gridCol w:w="1582"/>
        <w:gridCol w:w="1392"/>
        <w:gridCol w:w="1404"/>
        <w:gridCol w:w="109"/>
        <w:gridCol w:w="109"/>
        <w:gridCol w:w="109"/>
        <w:gridCol w:w="315"/>
        <w:gridCol w:w="606"/>
        <w:gridCol w:w="162"/>
        <w:gridCol w:w="162"/>
        <w:gridCol w:w="162"/>
        <w:gridCol w:w="162"/>
        <w:gridCol w:w="315"/>
        <w:gridCol w:w="561"/>
        <w:gridCol w:w="162"/>
        <w:gridCol w:w="109"/>
        <w:gridCol w:w="109"/>
        <w:gridCol w:w="109"/>
        <w:gridCol w:w="325"/>
        <w:gridCol w:w="418"/>
        <w:gridCol w:w="168"/>
        <w:gridCol w:w="168"/>
        <w:gridCol w:w="168"/>
        <w:gridCol w:w="168"/>
        <w:gridCol w:w="325"/>
        <w:gridCol w:w="580"/>
        <w:gridCol w:w="246"/>
      </w:tblGrid>
      <w:tr>
        <w:tc>
          <w:tcPr>
            <w:tcW w:w="158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related to 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27</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71</w:t>
            </w:r>
            <w:r>
              <w:rPr>
                <w:color w:val="000000"/>
              </w:rPr>
              <w:t>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4870" w:type="dxa"/>
        <w:jc w:val="left"/>
        <w:tblInd w:w="0" w:type="dxa"/>
        <w:tblLayout w:type="fixed"/>
        <w:tblCellMar>
          <w:top w:w="28" w:type="dxa"/>
          <w:left w:w="28" w:type="dxa"/>
          <w:bottom w:w="28" w:type="dxa"/>
          <w:right w:w="28" w:type="dxa"/>
        </w:tblCellMar>
      </w:tblPr>
      <w:tblGrid>
        <w:gridCol w:w="820"/>
        <w:gridCol w:w="720"/>
        <w:gridCol w:w="724"/>
        <w:gridCol w:w="257"/>
        <w:gridCol w:w="750"/>
        <w:gridCol w:w="132"/>
        <w:gridCol w:w="109"/>
        <w:gridCol w:w="109"/>
        <w:gridCol w:w="109"/>
        <w:gridCol w:w="245"/>
        <w:gridCol w:w="716"/>
        <w:gridCol w:w="179"/>
      </w:tblGrid>
      <w:t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significant cash flows from operating activities. Prior to the Separation, we operated within Comcast’s cash management structure, which used a centralized approach to cash management and financing of our operations. This arrangement is not reflective of the manner in which we would have financed our operations had we been an independent, publicly traded company prior to the Separation.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issued $3.0 billion of total debt, including the Senior Notes issued in October 2025 and borrowings under the Term Loans drawn at the time of the Separation. In addition, we entered into a $750 million Revolving Credit Facility in connection with the Separation, which remains undrawn. As of September 30, 2026, we had variable-to-fixed interest rate swaps totaling $975 million, which effectively converted a portion of our variable-rate borrowings to fixed rates. As a result, as of September 30, 2026, approximately 66% of the aggregate principal amount of our total debt portfolio consisted of fixed-rate indebtedness, including the effect of interest rate swap agreements designated as hedges and approximately 34% remained variable.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Term Loan A Facility and the Revolving Credit Facility contain a financial covenant that requires us to maintain a maximum consolidated first lien net leverage ratio, as defined in the credit agreement governing the Term Loan A Facility and the Revolving Credit Facility, of not greater than 3.50:1.00, beginning with our third quarter of 2026. As of September 30, 2026, we were in compliance with the financial covenants related to our debt obligations. See Note 7 to the condensed consolidated and combined financial statements for additional information relating to our debt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time of the Separation, a portion of the proceeds from our borrowings, including the restricted cash on our balance sheet as of December 31, 2025, was used to fund a cash payment to Comcast of $2.25 billion as consideration for assets that were contributed to us in connection with the Separation. We also received a separate $70 million payment from NBCUniversal in connection with the Separation. Certain net working capital amounts, including outstanding advertising sales receivables, were retained by Comcast following the Separation, which negatively impacted net cash provided by operating activities in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available cash and cash flows from our operating activities, along with our borrowing capacity and access to capital markets, taken as a whole, will provide adequate liquidity to meet our current and long-term obligations when due, including our third-party debt, and to fund capital expenditures, while also providing flexibility to fund investment opportunities that may arise, such as our acquisition of Full Swing in August 2026. However, there can be no assurances that we will be able to obtain debt or equity financing on acceptable terms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utilize our cash flows to continue to invest across our business, whether through organic or inorganic growth strategies, as well as to repay our indebtedness over time and return value to our shareholders through dividends and repurchases of our common stock.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Cash Flow Information </w:t>
      </w:r>
    </w:p>
    <w:p>
      <w:pPr>
        <w:pStyle w:val="TextBody"/>
        <w:bidi w:val="0"/>
        <w:spacing w:before="0" w:after="0"/>
        <w:jc w:val="both"/>
      </w:pPr>
      <w:r/>
    </w:p>
    <w:tbl>
      <w:tblPr>
        <w:tblW w:w="6148" w:type="dxa"/>
        <w:jc w:val="left"/>
        <w:tblInd w:w="0" w:type="dxa"/>
        <w:tblLayout w:type="fixed"/>
        <w:tblCellMar>
          <w:top w:w="28" w:type="dxa"/>
          <w:left w:w="28" w:type="dxa"/>
          <w:bottom w:w="28" w:type="dxa"/>
          <w:right w:w="28" w:type="dxa"/>
        </w:tblCellMar>
      </w:tblPr>
      <w:tblGrid>
        <w:gridCol w:w="1270"/>
        <w:gridCol w:w="1118"/>
        <w:gridCol w:w="1122"/>
        <w:gridCol w:w="240"/>
        <w:gridCol w:w="701"/>
        <w:gridCol w:w="124"/>
        <w:gridCol w:w="124"/>
        <w:gridCol w:w="124"/>
        <w:gridCol w:w="124"/>
        <w:gridCol w:w="240"/>
        <w:gridCol w:w="786"/>
        <w:gridCol w:w="175"/>
      </w:tblGrid>
      <w:t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for the nine months ended September 30, 2026 as compared to the nine months ended September 30, 2025, primarily due to a net unfavorable change in net income after noncash adjustments, as well as a decrease related to operating assets and liabilities. The decrease related to operating assets and liabilities was primarily due to increases in accounts receivable, due to lower collections in the current year primarily as a result of Comcast retaining advertising sales receivables following the Separation. This decrease was partially offset by increases in other operating assets and liabilities and accounts payable, resulting from timing of compensation and benefits related payments and other liabilities incurred as a standalone entity, including income taxes payable, compared to periods prior to the Separation during which we were allocated costs and participated in Comcast’s centralized cash management processes.</w:t>
      </w:r>
    </w:p>
    <w:p>
      <w:pPr>
        <w:pStyle w:val="TextBody"/>
        <w:bidi w:val="0"/>
        <w:spacing w:lineRule="auto" w:line="288" w:before="0" w:after="180"/>
        <w:jc w:val="both"/>
      </w:pPr>
      <w:r>
        <w:rPr>
          <w:rFonts w:ascii="Times New Roman;serif" w:hAnsi="Times New Roman;serif"/>
          <w:b w:val="false"/>
          <w:color w:val="000000"/>
          <w:sz w:val="20"/>
          <w:shd w:fill="FFFFFF" w:val="clear"/>
        </w:rPr>
        <w:t xml:space="preserve">As described above, prior to the Separation, we participated in Comcast’s centralized cash management process, and as a result, our results for the </w:t>
      </w:r>
      <w:r>
        <w:rPr>
          <w:rFonts w:ascii="Times New Roman;serif" w:hAnsi="Times New Roman;serif"/>
          <w:b w:val="false"/>
          <w:color w:val="000000"/>
          <w:sz w:val="20"/>
        </w:rPr>
        <w:t>nine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are not comparable to the amounts and timing of operating receipts and payments for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In addition, o</w:t>
      </w:r>
      <w:r>
        <w:rPr>
          <w:rFonts w:ascii="Times New Roman;serif" w:hAnsi="Times New Roman;serif"/>
          <w:b w:val="false"/>
          <w:color w:val="000000"/>
          <w:sz w:val="20"/>
        </w:rPr>
        <w:t xml:space="preserve">perating assets and liabilities in our combined statements of cash flows generally fluctuate based on the timing of amortization and related payments for our content costs and the timing of collections of receivables.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during the nine months ended September 30, 2026 as compared to the nine months ended September 30, 2025, primarily due to cash spent for business acquisitions and investments during the nine months ended September 30, 2026, including purchases of investments related to a legacy deferred compensation plan. These increases were partially offset by proceeds from the sale of our SportsEngine business, as well as the return of capital from our investment in nonmarketable equity securities and lower capital expenditures compared to the prior-year period.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nine months ended September 30, 2026 primarily included a $2.25 billion cash payment to Comcast as consideration for assets that were contributed to us in connection with the Separation, share repurchases of $300 million, dividends of $106 million, and scheduled principal payments relating to Term Loans of $30 million. These cash outflows were partially offset by net proceeds from the Term Loans of $1.97 billion and a $70 million payment we received from NBCUniversal at the time of the Separation. Net transfers to Comcast of $1.40 billion in the prior year period primarily resulted from cash generated from operating activities and swept to Comcast, partially offset by increased capital expenditures funded through Comcast’s centralized cash management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repurchased 7.6 million of our Class A common shares for approximately $300 million under our $1.0 billion share repurchase program authorized by our Board of Directors on March 3, 2026 (“2026 Share Repurchase Program”), through a combination of open market repurchases and a $100 million ASR program with financial institutions during each of the second and third quarters of 2026. As of September 30, 2026, the remaining repurchase availability under our share repurchase program was $700 million. In November 2026, we announced that we expect to enter into a $100 million ASR agreement commencing 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November 4, 2026 to repurchase $100 million of Class A common stock under our 2026 Share Repurchase Program. We anticipate completing the transaction during the fourth quarter of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specific number of common shares, and the program may be suspended, extended, modified or discontinued at any time. </w:t>
      </w:r>
    </w:p>
    <w:p>
      <w:pPr>
        <w:pStyle w:val="TextBody"/>
        <w:bidi w:val="0"/>
        <w:spacing w:before="0" w:after="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paid dividends of $106 million. Our third quarter dividend of $0.375 per share was paid on October 22, 2026. Our fourth quarter dividend of $0.375 per share was declared by our Board of Directors on November 3, 2026, and is payable on January 25, 2027 to shareholders of record as of the close of business on January 4, 2027.</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an amended lease agreement for corporate offices in New York City, New York. See Note 8 for additional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the disclosure under the “Contractual Obligations” caption within the “Liquidity and Capital Resources” section of our Annual Report on Form 10-K for the year ended December 31, 2025 for information on our other material cash obligations.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and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judgments and related estimates associated with the valuation and impairment testing of goodwill are critical in the preparation of our condensed consolidated financial statements. We performed our annual impairment testing of goodwill as of July 1, 2026 using a quantitative assessment for the reporting unit comprised primarily of our television networks (“networks reporting unit”), which includes $6.68 billion of goodwill, and qualitative assessments for our other reporting units and concluded there was no impairment. When performing the quantitative assessment for our networks reporting unit, we estimated the fair value of the reporting unit primarily based on a discounted cash flow analysis using Level 3 inputs that involved significant judgment, including market participant estimates of future cash flows expected to be generated by the business and the selection of discount rates. When performing this analysis, we also considered multiples of earnings from comparable public companies and recent market transactions to corroborate the reasonableness of the discounted cash flow analysis. In connection with this assessment, we concluded that the estimated fair value of our television networks reporting unit exceeded its carrying value by approximately 11%.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Continued declines in cash flows for our networks reporting unit are expected to result in reduced fair values in future periods. In addition, changes in market conditions, laws and regulations and key assumptions made in future quantitative assessments, such as expected cash flows, competitive factors, discount rates and value indications from market transactions, including the market price of our Class A common stock, could negatively impact our estimates of fair value. Macroeconomic conditions have recently resulted in increased interest rates in the United States, which may negatively impact our assumed discount rate. A hypothetical 100 basis point increase in the discount rate used in our discounted cash flow analysis, while holding all other assumptions constant, would result in a reduction in fair value of approximately $660 million as of July 1, 2026, which would significantly reduce the excess of fair value over the carrying value for the networks reporting unit. Further declines in fair value could negatively impact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results of future impairment testing and could result in the recognition of an impairment charge to the extent the fair value is below the carrying value of the assets assigned to the reporting unit.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other material updates to our critical accounting estimates as compared to those described in “Management’s Discussion and Analysis of Financial Condition and Results of Operations” in our Annual Report on Form 10-K for the year ended December 31, 2025.</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Recently Adopted and Recently Issued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and combined financial statements for recently issued and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primarily relates to interest rate changes on our debt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debt obligations consist of our $1.0 billion in aggregate principal amount of 7.250% Senior Notes due in January 2031 and $2.0 billion of borrowings under Term Loans due January 2031, which bear interest at a benchmark rate plus a borrowing margin. As a result, we are exposed to market risk of adverse changes in interest rates related to these arrangements.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manage the cost and volatility relating to the interest cost of our variable rate debt, we use interest rate risk management derivative transactions in accordance with our policy. We do not engage in any speculative or leveraged derivative transactions. As of September 30, 2026, we had interest rate swaps outstanding with a notional amount of $975 million, which effectively convert a portion of our variable-rate borrowings to fixed rates. These interest rate swaps have been designated as cash flow hedges. The effect of our interest rate derivative financial instruments on our consolidated interest expense for the three and nine months ended September 30, 2026 was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approximately 66% of the aggregate principal amount of our total debt portfolio consisted of fixed-rate indebtedness, including the effect of interest rate swap agreements and approximately 34% remained variable. The impact of a 100 basis point change in interest rates affecting our floating rate debt would result in a change in our interest expense, including the effects of our interest rate swap agreements, of approximately $3 million and $8 million for the three and nine months ended September 30, 2026.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Counterparty Credit Risk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the credit risks associated with our derivative financial instruments through diversification and evaluation and monitoring of creditworthiness of counterparties. Although we may be exposed to losses in the event of nonperformance by counterparties, we do not expect such losses, if any, to be significant. As of September 30, 2026, we were not required to post collateral under the terms of our agreements, nor did we hold any collateral under the terms of our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Discussion of Financial Responsibility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senior management, including our Chief Executive Officer (“CEO”) and Chief Financial Officer (“CFO”), we conducted an evaluation of the effectiveness of our disclosure controls and procedures, as defined in Rules 13a-15(e) and 15d-15(e) under the Exchange Act, as of September 30, 2026. Based on this evaluation, our CEO and CFO concluded that as of September 30, 2026, our disclosure controls and procedures were effective such that the information required to be disclosed by us in the reports that we file or submit under the Exchange Act (i) is recorded, processed, summarized and reported within the time periods specified in SEC rules and forms, and (ii)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2026 that have materially affected, or are reasonably likely to materially affect, our internal control over financial reporting. Prior to the Separation, we relied on certain business processes and internal controls over financial reporting performed by Comcast. Upon the Separation, we assumed responsibility for these processes and internal controls, including those related to information technology, financial reporting, legal and corporate governance. We have also revised and adopted the necessary policies, procedures and processes to meet regulatory requirements of a standalone public company, which we will continue to assess to determine whether our internal controls over financial reporting are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8 included in this Quarterly Report on Form 10-Q for a discussion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Annual Report on Form 10-K for the year ended December 31, 2025, as filed with the SEC on March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Versant’s common stock repurchases during the three months ended September 30, 2026.</w:t>
      </w:r>
    </w:p>
    <w:tbl>
      <w:tblPr>
        <w:tblW w:w="10205" w:type="dxa"/>
        <w:jc w:val="left"/>
        <w:tblInd w:w="0" w:type="dxa"/>
        <w:tblLayout w:type="fixed"/>
        <w:tblCellMar>
          <w:top w:w="28" w:type="dxa"/>
          <w:left w:w="28" w:type="dxa"/>
          <w:bottom w:w="28" w:type="dxa"/>
          <w:right w:w="28" w:type="dxa"/>
        </w:tblCellMar>
      </w:tblPr>
      <w:tblGrid>
        <w:gridCol w:w="611"/>
        <w:gridCol w:w="304"/>
        <w:gridCol w:w="305"/>
        <w:gridCol w:w="109"/>
        <w:gridCol w:w="109"/>
        <w:gridCol w:w="109"/>
        <w:gridCol w:w="500"/>
        <w:gridCol w:w="433"/>
        <w:gridCol w:w="435"/>
        <w:gridCol w:w="109"/>
        <w:gridCol w:w="109"/>
        <w:gridCol w:w="109"/>
        <w:gridCol w:w="285"/>
        <w:gridCol w:w="833"/>
        <w:gridCol w:w="147"/>
        <w:gridCol w:w="109"/>
        <w:gridCol w:w="109"/>
        <w:gridCol w:w="109"/>
        <w:gridCol w:w="770"/>
        <w:gridCol w:w="770"/>
        <w:gridCol w:w="772"/>
        <w:gridCol w:w="109"/>
        <w:gridCol w:w="109"/>
        <w:gridCol w:w="109"/>
        <w:gridCol w:w="370"/>
        <w:gridCol w:w="2085"/>
        <w:gridCol w:w="277"/>
      </w:tblGrid>
      <w:tr>
        <w:tc>
          <w:tcPr>
            <w:tcW w:w="6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8"/>
              </w:rPr>
              <w:t>Dollar Value of Shares that May Yet be Purchased Under the Plans or Programs</w:t>
            </w:r>
            <w:r>
              <w:rPr>
                <w:rFonts w:ascii="Times New Roman;serif" w:hAnsi="Times New Roman;serif"/>
                <w:b w:val="false"/>
                <w:color w:val="000000"/>
                <w:sz w:val="12"/>
              </w:rPr>
              <w:t>(a)</w:t>
            </w:r>
          </w:p>
        </w:tc>
      </w:tr>
      <w:tr>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800,000,037 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720,000,035 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700,000,037 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700,000,037 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On March 3, 2026, the Company announced the 2026 Share Repurchase Program under which the Company is authorized to purchase up to $1 billion of its outstanding shares of Class A common stock, which has no expiration date. The 2026 Share Repurchase Program does not obligate the Company to acquire any particular number of shares, and the program may be suspended, extended, modified, or discontinued at any time. In August 2026, we entered into an accelerated share repurchase agreement (“ASR Agreement”) to repurchase $100 million of our Class A common stock under our 2026 Share Repurchase Program. Pursuant to the ASR Agreement, we repurchased 2,565,666 shares of our Class A common stock, based on the volume-weighted average share price of our Class A common stock over the term of the ASR Agreement, less a discount. In November 2026, the Company announced that it expects to enter into a new $100 million accelerated share repurchase agreement commencing on November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20"/>
        <w:jc w:val="both"/>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752"/>
        <w:gridCol w:w="2608"/>
        <w:gridCol w:w="3726"/>
      </w:tblGrid>
      <w:t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80"/>
                  <w:sz w:val="20"/>
                  <w:u w:val="single"/>
                </w:rPr>
                <w:t>Amended and Restated Articles of Incorporation of Versant Media Group</w:t>
              </w:r>
            </w:hyperlink>
            <w:hyperlink r:id="rId4">
              <w:r>
                <w:rPr>
                  <w:rStyle w:val="InternetLink"/>
                  <w:rFonts w:ascii="Times New Roman;serif" w:hAnsi="Times New Roman;serif"/>
                  <w:b w:val="false"/>
                  <w:color w:val="000080"/>
                  <w:sz w:val="20"/>
                  <w:u w:val="single"/>
                </w:rPr>
                <w:t>,</w:t>
              </w:r>
            </w:hyperlink>
            <w:hyperlink r:id="rId5">
              <w:r>
                <w:rPr>
                  <w:rStyle w:val="InternetLink"/>
                  <w:rFonts w:ascii="Times New Roman;serif" w:hAnsi="Times New Roman;serif"/>
                  <w:b w:val="false"/>
                  <w:color w:val="000080"/>
                  <w:sz w:val="20"/>
                  <w:u w:val="single"/>
                </w:rPr>
                <w:t xml:space="preserve"> Inc. (incorporated by reference to Exhibit 3.1 to Versant’s Current Report on Form 8-K filed on January 5, 2026).</w:t>
              </w:r>
            </w:hyperlink>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80"/>
                  <w:sz w:val="20"/>
                  <w:u w:val="single"/>
                </w:rPr>
                <w:t>Amended and Restated Bylaws of Versant Media Group</w:t>
              </w:r>
            </w:hyperlink>
            <w:hyperlink r:id="rId7">
              <w:r>
                <w:rPr>
                  <w:rStyle w:val="InternetLink"/>
                  <w:rFonts w:ascii="Times New Roman;serif" w:hAnsi="Times New Roman;serif"/>
                  <w:b w:val="false"/>
                  <w:color w:val="000080"/>
                  <w:sz w:val="20"/>
                  <w:u w:val="single"/>
                </w:rPr>
                <w:t>,</w:t>
              </w:r>
            </w:hyperlink>
            <w:hyperlink r:id="rId8">
              <w:r>
                <w:rPr>
                  <w:rStyle w:val="InternetLink"/>
                  <w:rFonts w:ascii="Times New Roman;serif" w:hAnsi="Times New Roman;serif"/>
                  <w:b w:val="false"/>
                  <w:color w:val="000080"/>
                  <w:sz w:val="20"/>
                  <w:u w:val="single"/>
                </w:rPr>
                <w:t xml:space="preserve"> Inc. (incorporated by reference to Exhibit 3.1 to Versant’s Current Report on Form 8-K filed on January 7, 2026).</w:t>
              </w:r>
            </w:hyperlink>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1certificationofc.htm">
              <w:r>
                <w:rPr>
                  <w:rStyle w:val="InternetLink"/>
                  <w:rFonts w:ascii="Times New Roman;serif" w:hAnsi="Times New Roman;serif"/>
                  <w:b w:val="false"/>
                  <w:color w:val="0000FF"/>
                  <w:sz w:val="20"/>
                  <w:u w:val="single"/>
                </w:rPr>
                <w:t>Certification of the Registrant’s Chief Executive Officer pursuant to Rule 13a-14(a)/15d-14(a) of the Securities Exchange Act of 1934, as amended, as adopted pursuant to Section 302 of the Sarbanes-Oxley Act of 2002.</w:t>
              </w:r>
            </w:hyperlink>
          </w:p>
        </w:tc>
      </w:tr>
      <w:t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2certificationofc.htm">
              <w:r>
                <w:rPr>
                  <w:rStyle w:val="InternetLink"/>
                  <w:rFonts w:ascii="Times New Roman;serif" w:hAnsi="Times New Roman;serif"/>
                  <w:b w:val="false"/>
                  <w:color w:val="0000FF"/>
                  <w:sz w:val="20"/>
                  <w:u w:val="single"/>
                </w:rPr>
                <w:t>Certification of the Registrant’s Chief Financial Officer pursuant to Rule 13a-14(a)/15d-14(a) of the Securities Exchange Act of 1934, as amended, as adopted pursuant to Section 302 of the Sarbanes-Oxley Act of 2002.</w:t>
              </w:r>
            </w:hyperlink>
          </w:p>
        </w:tc>
      </w:tr>
      <w:t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1certificationofc.htm">
              <w:r>
                <w:rPr>
                  <w:rStyle w:val="InternetLink"/>
                  <w:rFonts w:ascii="Times New Roman;serif" w:hAnsi="Times New Roman;serif"/>
                  <w:b w:val="false"/>
                  <w:color w:val="0000FF"/>
                  <w:sz w:val="20"/>
                  <w:u w:val="single"/>
                </w:rPr>
                <w:t>Certifications of the Registrant’s Chief Executive Officer and Chief Financial Officer pursuant to 18 U.S.C. 1350, as adopted pursuant to Section 906 of the Sarbanes-Oxley Act of 2002.</w:t>
              </w:r>
            </w:hyperlink>
          </w:p>
        </w:tc>
      </w:tr>
      <w:t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Versant’s Quarterly Report on Form 10-Q for the quarter ended September 30, 2026, filed with the Securities and Exchange Commission on November 3, 2026, formatted in Inline Extensible Business Reporting Language (iXBRL): (1) the Condensed Consolidated and Combined Statements of Income; (2) the Condensed Consolidated and Combined Statements of Comprehensive Income; (3) the Condensed Consolidated and Combined Statements of Cash Flows; (4) the Condensed Consolidated and Combined Balance Sheets; (5) the Condensed Consolidated and Combined Statement of Changes in Equity; and (6) the Notes to the Condensed Consolidated and Combined Financial Statements.</w:t>
            </w:r>
          </w:p>
        </w:tc>
      </w:tr>
      <w:t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719"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109"/>
        <w:gridCol w:w="109"/>
        <w:gridCol w:w="109"/>
        <w:gridCol w:w="1364"/>
        <w:gridCol w:w="1364"/>
        <w:gridCol w:w="193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VERSANT MEDIA GROUP,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Anand M. Kini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Anand M. Kini</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Financial Officer and Chief Operating Officer</w:t>
            </w:r>
          </w:p>
        </w:tc>
      </w:tr>
    </w:tbl>
    <w:p>
      <w:pPr>
        <w:pStyle w:val="TextBody"/>
        <w:bidi w:val="0"/>
        <w:spacing w:before="240" w:after="180"/>
        <w:jc w:val="both"/>
      </w:pPr>
      <w:r/>
    </w:p>
    <w:p>
      <w:pPr>
        <w:pStyle w:val="TextBody"/>
        <w:bidi w:val="0"/>
        <w:spacing w:before="0" w:after="18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Lazarus, certify that:</w:t>
      </w:r>
    </w:p>
    <w:p>
      <w:pPr>
        <w:pStyle w:val="TextBody"/>
        <w:bidi w:val="0"/>
        <w:spacing w:before="0" w:after="0"/>
        <w:jc w:val="left"/>
      </w:pPr>
      <w:r/>
    </w:p>
    <w:p>
      <w:pPr>
        <w:pStyle w:val="TextBody"/>
        <w:bidi w:val="0"/>
        <w:spacing w:lineRule="auto" w:line="288" w:before="0" w:after="120"/>
        <w:jc w:val="left"/>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120"/>
        <w:jc w:val="left"/>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3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604"/>
        <w:gridCol w:w="604"/>
        <w:gridCol w:w="86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Anand M. Kini, certify that:</w:t>
      </w:r>
    </w:p>
    <w:p>
      <w:pPr>
        <w:pStyle w:val="TextBody"/>
        <w:bidi w:val="0"/>
        <w:spacing w:before="0" w:after="0"/>
        <w:jc w:val="left"/>
      </w:pPr>
      <w:r/>
    </w:p>
    <w:p>
      <w:pPr>
        <w:pStyle w:val="TextBody"/>
        <w:bidi w:val="0"/>
        <w:spacing w:lineRule="auto" w:line="288" w:before="0" w:after="120"/>
        <w:jc w:val="left"/>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120"/>
        <w:jc w:val="left"/>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867"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1255"/>
        <w:gridCol w:w="1255"/>
        <w:gridCol w:w="179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0"/>
        <w:jc w:val="center"/>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Versant Media Group, Inc on Form 10-Q for the quarter ended September 30, 2026, as filed with the Securities and Exchange Commission on the date hereof (the “Report”), we, the undersigned officers of Versant Media Group, Inc, certify, pursuant to 18 U.S.C. §1350, as adopted pursuant to §906 of the Sarbanes-Oxley Act of 2002, that, to the best of our knowledge: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Versant Media Group, Inc.</w:t>
      </w:r>
    </w:p>
    <w:p>
      <w:pPr>
        <w:pStyle w:val="TextBody"/>
        <w:bidi w:val="0"/>
        <w:spacing w:before="0" w:after="0"/>
        <w:jc w:val="left"/>
      </w:pPr>
      <w:r/>
    </w:p>
    <w:tbl>
      <w:tblPr>
        <w:tblW w:w="686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1257"/>
        <w:gridCol w:w="1257"/>
        <w:gridCol w:w="179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67876/000095010326000080/dp239186_ex0301.htm" TargetMode="External"/><Relationship Id="rId4" Type="http://schemas.openxmlformats.org/officeDocument/2006/relationships/hyperlink" Target="https://www.sec.gov/Archives/edgar/data/2067876/000095010326000080/dp239186_ex0301.htm" TargetMode="External"/><Relationship Id="rId5" Type="http://schemas.openxmlformats.org/officeDocument/2006/relationships/hyperlink" Target="https://www.sec.gov/Archives/edgar/data/2067876/000095010326000080/dp239186_ex0301.htm" TargetMode="External"/><Relationship Id="rId6" Type="http://schemas.openxmlformats.org/officeDocument/2006/relationships/hyperlink" Target="https://www.sec.gov/Archives/edgar/data/2067876/000095010326000204/dp239578_ex0301.htm" TargetMode="External"/><Relationship Id="rId7" Type="http://schemas.openxmlformats.org/officeDocument/2006/relationships/hyperlink" Target="https://www.sec.gov/Archives/edgar/data/2067876/000095010326000204/dp239578_ex0301.htm" TargetMode="External"/><Relationship Id="rId8" Type="http://schemas.openxmlformats.org/officeDocument/2006/relationships/hyperlink" Target="https://www.sec.gov/Archives/edgar/data/2067876/000095010326000204/dp239578_ex03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15994</Words>
  <Characters>87915</Characters>
  <CharactersWithSpaces>102941</CharactersWithSpaces>
  <Paragraphs>2001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