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3,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001-42856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3 to</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04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148"/>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40" w:type="dxa"/>
            <w:vAlign w:val="bottom"/>
          </w:tcPr>
          <w:p>
            <w:pPr>
              <w:jc w:val="center"/>
              <w:ind w:left="363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2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900 Sylvan Avenue</w:t>
            </w:r>
          </w:p>
        </w:tc>
        <w:tc>
          <w:tcPr>
            <w:tcW w:w="5040" w:type="dxa"/>
            <w:vAlign w:val="bottom"/>
          </w:tcPr>
          <w:p>
            <w:pPr>
              <w:spacing w:after="0"/>
              <w:rPr>
                <w:sz w:val="24"/>
                <w:szCs w:val="24"/>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Englewood Cliffs, New Jersey</w:t>
            </w:r>
          </w:p>
        </w:tc>
        <w:tc>
          <w:tcPr>
            <w:tcW w:w="504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07632</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320" w:type="dxa"/>
            <w:vAlign w:val="bottom"/>
          </w:tcPr>
          <w:p>
            <w:pPr>
              <w:spacing w:after="0"/>
              <w:rPr>
                <w:sz w:val="24"/>
                <w:szCs w:val="24"/>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(201) 735-2622</w:t>
            </w:r>
          </w:p>
        </w:tc>
      </w:tr>
      <w:tr>
        <w:trPr>
          <w:trHeight w:val="188"/>
        </w:trPr>
        <w:tc>
          <w:tcPr>
            <w:tcW w:w="2320" w:type="dxa"/>
            <w:vAlign w:val="bottom"/>
          </w:tcPr>
          <w:p>
            <w:pPr>
              <w:spacing w:after="0"/>
              <w:rPr>
                <w:sz w:val="16"/>
                <w:szCs w:val="16"/>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93"/>
        </w:trPr>
        <w:tc>
          <w:tcPr>
            <w:tcW w:w="2320" w:type="dxa"/>
            <w:vAlign w:val="bottom"/>
          </w:tcPr>
          <w:p>
            <w:pPr>
              <w:spacing w:after="0"/>
              <w:rPr>
                <w:sz w:val="24"/>
                <w:szCs w:val="24"/>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John B. Meade</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Stephen A. Byeff</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Meaghan Kennedy</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r>
      <w:tr>
        <w:trPr>
          <w:trHeight w:val="238"/>
        </w:trPr>
        <w:tc>
          <w:tcPr>
            <w:tcW w:w="2320" w:type="dxa"/>
            <w:vAlign w:val="bottom"/>
          </w:tcPr>
          <w:p>
            <w:pPr>
              <w:spacing w:after="0"/>
              <w:rPr>
                <w:sz w:val="20"/>
                <w:szCs w:val="20"/>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Media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“Risk Factors” and “Special Note Regarding Forward-Looking Statements” of the information statement.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“Capitalization,” “Unaudited Pro Forma Combined Financial Statements,”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“Business—Properties”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“Ownership of Common Stock by Certain Beneficial Owners and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“Compensation Discussion and Analysis” and “Management” of the information statement.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Certain Relationships and Related Transactions, and Director Independence.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“Business—Legal Proceedings”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ind w:right="76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Stock—Distributions of Securities”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66" w:right="719" w:bottom="1440" w:gutter="0" w:footer="0" w:header="0"/>
        </w:sectPr>
      </w:pPr>
    </w:p>
    <w:bookmarkStart w:id="3" w:name="page4"/>
    <w:bookmarkEnd w:id="3"/>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80" w:type="dxa"/>
            <w:vAlign w:val="bottom"/>
            <w:gridSpan w:val="16"/>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8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70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Separation and Distribution Agreement between Comcast and Versant Media Group, Inc.</w:t>
              </w:r>
            </w:hyperlink>
          </w:p>
        </w:tc>
        <w:tc>
          <w:tcPr>
            <w:tcW w:w="27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6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Amended and Restated Articles of Incorporation of Versant Media Group, Inc.</w:t>
              </w:r>
            </w:hyperlink>
          </w:p>
        </w:tc>
        <w:tc>
          <w:tcPr>
            <w:tcW w:w="3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Amended and Restated Bylaws of Versant Media Group, Inc.</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4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Transition Services Agreement between Comcast and Versant Media Group, Inc.</w:t>
              </w:r>
            </w:hyperlink>
          </w:p>
        </w:tc>
        <w:tc>
          <w:tcPr>
            <w:tcW w:w="3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Tax Matters Agreement between Comcast and Versant Media Group, Inc.</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6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Form of Employee Matters Agreement between Comcast and Versant Media Group, Inc.</w:t>
              </w:r>
            </w:hyperlink>
          </w:p>
        </w:tc>
        <w:tc>
          <w:tcPr>
            <w:tcW w:w="3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Versant Media Group, Inc. Omnibus Equity Incentive Plan</w:t>
              </w:r>
            </w:hyperlink>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48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Indemnification Agreement for Non-Employee Directors</w:t>
              </w:r>
            </w:hyperlink>
          </w:p>
        </w:tc>
        <w:tc>
          <w:tcPr>
            <w:tcW w:w="49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37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Executive Employment Agreement of Mark Lazarus</w:t>
              </w:r>
            </w:hyperlink>
          </w:p>
        </w:tc>
        <w:tc>
          <w:tcPr>
            <w:tcW w:w="940" w:type="dxa"/>
            <w:vAlign w:val="bottom"/>
            <w:tcBorders>
              <w:top w:val="single" w:sz="8" w:color="0000EE"/>
            </w:tcBorders>
            <w:gridSpan w:val="4"/>
          </w:tcPr>
          <w:p>
            <w:pPr>
              <w:spacing w:after="0"/>
              <w:rPr>
                <w:sz w:val="24"/>
                <w:szCs w:val="24"/>
                <w:color w:val="auto"/>
              </w:rPr>
            </w:pPr>
          </w:p>
        </w:tc>
        <w:tc>
          <w:tcPr>
            <w:tcW w:w="50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Executive Employment Agreement of Anand M. Kini</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Executive Employment Agreement of Jordan R. Fasbender</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23"/>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Credit and Guaranty Agreement, dated as of October 3, 2025, among Versant Media Group, Inc., as borrower, certain subsidiary</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guarantors party thereto from time to time, the financial institutions party thereto, as lenders and issuing banks, and J.P. Morgan Chase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Bank, N.A., as administrative agent, collateral agent and swingline lender</w:t>
              </w:r>
            </w:hyperlink>
          </w:p>
        </w:tc>
        <w:tc>
          <w:tcPr>
            <w:tcW w:w="4360" w:type="dxa"/>
            <w:vAlign w:val="bottom"/>
            <w:tcBorders>
              <w:top w:val="single" w:sz="8" w:color="0000EE"/>
            </w:tcBorders>
            <w:gridSpan w:val="11"/>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5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Credit and Guaranty Agreement among Versant Media Group, Inc., as borrower, certain subsidiary guarantors party thereto</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0" w:type="dxa"/>
            <w:vAlign w:val="bottom"/>
            <w:gridSpan w:val="23"/>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from time to time, the financial institutions party thereto, as lenders and issuing banks, and Morgan Stanley Senior Funding, Inc.,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administrative agent and collateral agent</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9800" w:type="dxa"/>
            <w:vAlign w:val="bottom"/>
            <w:gridSpan w:val="23"/>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Indenture, dated as of October 29, 2025, between Versant Media Group, Inc., as issuer, and Citibank, N.A., as trustee and notes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33">
              <w:r>
                <w:rPr>
                  <w:rFonts w:ascii="Times New Roman" w:cs="Times New Roman" w:eastAsia="Times New Roman" w:hAnsi="Times New Roman"/>
                  <w:sz w:val="18"/>
                  <w:szCs w:val="18"/>
                  <w:color w:val="0000EE"/>
                  <w:w w:val="97"/>
                </w:rPr>
                <w:t>collateral agent</w:t>
              </w:r>
            </w:hyperlink>
          </w:p>
        </w:tc>
        <w:tc>
          <w:tcPr>
            <w:tcW w:w="8040" w:type="dxa"/>
            <w:vAlign w:val="bottom"/>
            <w:tcBorders>
              <w:top w:val="single" w:sz="8" w:color="0000EE"/>
            </w:tcBorders>
            <w:gridSpan w:val="17"/>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24"/>
                <w:szCs w:val="24"/>
                <w:color w:val="auto"/>
              </w:rPr>
            </w:pPr>
          </w:p>
        </w:tc>
        <w:tc>
          <w:tcPr>
            <w:tcW w:w="2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Subsidiaries of the Registrant</w:t>
              </w:r>
            </w:hyperlink>
          </w:p>
        </w:tc>
        <w:tc>
          <w:tcPr>
            <w:tcW w:w="7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4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Preliminary Information Statement dated December 3, 2025</w:t>
            </w:r>
          </w:p>
        </w:tc>
        <w:tc>
          <w:tcPr>
            <w:tcW w:w="54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40" w:type="dxa"/>
            <w:vAlign w:val="bottom"/>
          </w:tcPr>
          <w:p>
            <w:pPr>
              <w:spacing w:after="0"/>
              <w:rPr>
                <w:sz w:val="24"/>
                <w:szCs w:val="24"/>
                <w:color w:val="auto"/>
              </w:rPr>
            </w:pPr>
          </w:p>
        </w:tc>
        <w:tc>
          <w:tcPr>
            <w:tcW w:w="5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Form of Notice of Internet Availability of Information Statement Materials</w:t>
            </w:r>
          </w:p>
        </w:tc>
        <w:tc>
          <w:tcPr>
            <w:tcW w:w="4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7" w:lineRule="exact"/>
        <w:rPr>
          <w:sz w:val="20"/>
          <w:szCs w:val="20"/>
          <w:color w:val="auto"/>
        </w:rPr>
      </w:pPr>
    </w:p>
    <w:p>
      <w:pPr>
        <w:ind w:left="424" w:right="6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and/or exhibit will be furnished supplementally to the SEC upon request.</w:t>
      </w:r>
    </w:p>
    <w:p>
      <w:pPr>
        <w:spacing w:after="0" w:line="1" w:lineRule="exact"/>
        <w:rPr>
          <w:sz w:val="20"/>
          <w:szCs w:val="20"/>
          <w:color w:val="auto"/>
        </w:rPr>
      </w:pPr>
    </w:p>
    <w:p>
      <w:pPr>
        <w:ind w:left="5464" w:right="1640" w:hanging="5464"/>
        <w:spacing w:after="0" w:line="433" w:lineRule="auto"/>
        <w:tabs>
          <w:tab w:leader="none" w:pos="43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 4</w:t>
      </w:r>
    </w:p>
    <w:p>
      <w:pPr>
        <w:sectPr>
          <w:pgSz w:w="11900" w:h="16838" w:orient="portrait"/>
          <w:cols w:equalWidth="0" w:num="1">
            <w:col w:w="11024"/>
          </w:cols>
          <w:pgMar w:left="436" w:top="266"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3, 2025)</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951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1423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1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6"/>
          <w:szCs w:val="16"/>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76"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6"/>
          <w:szCs w:val="16"/>
          <w:color w:val="auto"/>
        </w:rPr>
        <w:t>All of the shares of Versant Class A common stock, par value $0.01 per share (the “Versant Class A common stock”), and Versant Class B common stock, par value $0.01 per share (the “Versant Class B common stock” and, together with the Versant Class A common stock, the “Versant common stock”), will be distributed, respectively, to the holders of Comcast Class A common stock, par value $0.01 per share (the “Comcast Class A common stock”), and holders of Comcast Class B common stock, par value $0.01 per share (the “Comcast Class B common stock” and, together with the Comcast Class A common stock, the “Comcast common stock”), of record as of the close of business on December 16, 2025, the record date (the “Distribution” and, together with the Transactions, the “Separation”). </w:t>
      </w:r>
    </w:p>
    <w:p>
      <w:pPr>
        <w:spacing w:after="0" w:line="78" w:lineRule="exact"/>
        <w:rPr>
          <w:sz w:val="20"/>
          <w:szCs w:val="20"/>
          <w:color w:val="auto"/>
        </w:rPr>
      </w:pPr>
    </w:p>
    <w:p>
      <w:pPr>
        <w:ind w:left="120" w:right="120" w:firstLine="440"/>
        <w:spacing w:after="0" w:line="298" w:lineRule="auto"/>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 one share of Versant Class A common stock or Versant Class B common stock for every twenty-five shares of Comcast Class A common stock or Comcast Class B common stock, respectively, held by such shareholder on the record date.</w:t>
      </w:r>
    </w:p>
    <w:p>
      <w:pPr>
        <w:spacing w:after="0" w:line="56"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The Distribution is expected to be completed after the close of trading on The Nasdaq Stock Market LLC (“Nasdaq”) on January 2, 2026.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75"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56"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6"/>
          <w:szCs w:val="16"/>
          <w:color w:val="auto"/>
        </w:rPr>
        <w:t>There currently is no trading market for Versant Class A common stock. Versant has been approved to have its shares of Class A common stock listed on Nasdaq under the ticker symbol “VSNT”, subject to official notice of issuance. We anticipate that a limited market, commonly known as a “when-issued” trading market, for Versant Class A common stock will commence on December 15,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23.</w:t>
      </w:r>
    </w:p>
    <w:p>
      <w:pPr>
        <w:spacing w:after="0" w:line="131"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information statement does not constitute an offer to sell or the solicitation of an offer to buy any securities.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 xml:space="preserve">The date of this information statement is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 2025.</w:t>
      </w:r>
    </w:p>
    <w:p>
      <w:pPr>
        <w:spacing w:after="0" w:line="129"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A Notice of Internet Availability of Information Statement Materials containing instructions describing how to access the information statement was first made available to Comcast shareholders on or about         , 2025.</w:t>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Presentation of Financial and Other Information</w:t>
            </w:r>
          </w:p>
        </w:tc>
        <w:tc>
          <w:tcPr>
            <w:tcW w:w="7180" w:type="dxa"/>
            <w:vAlign w:val="bottom"/>
            <w:gridSpan w:val="6"/>
            <w:vMerge w:val="restart"/>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3460" w:type="dxa"/>
            <w:vAlign w:val="bottom"/>
            <w:tcBorders>
              <w:bottom w:val="single" w:sz="8" w:color="0000EE"/>
            </w:tcBorders>
            <w:gridSpan w:val="12"/>
            <w:vMerge w:val="continue"/>
          </w:tcPr>
          <w:p>
            <w:pPr>
              <w:spacing w:after="0"/>
              <w:rPr>
                <w:sz w:val="14"/>
                <w:szCs w:val="14"/>
                <w:color w:val="auto"/>
              </w:rPr>
            </w:pPr>
          </w:p>
        </w:tc>
        <w:tc>
          <w:tcPr>
            <w:tcW w:w="71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9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Separation</w:t>
            </w:r>
          </w:p>
        </w:tc>
        <w:tc>
          <w:tcPr>
            <w:tcW w:w="95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Statements</w:t>
            </w:r>
          </w:p>
        </w:tc>
        <w:tc>
          <w:tcPr>
            <w:tcW w:w="67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96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Ownership of Common Stock by Certain Beneficial Owners and Management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50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9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Combined Financial Statements</w:t>
            </w:r>
          </w:p>
        </w:tc>
        <w:tc>
          <w:tcPr>
            <w:tcW w:w="77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 the following terms to refer to the items indicated:</w:t>
      </w:r>
    </w:p>
    <w:p>
      <w:pPr>
        <w:spacing w:after="0" w:line="131" w:lineRule="exact"/>
        <w:rPr>
          <w:sz w:val="20"/>
          <w:szCs w:val="20"/>
          <w:color w:val="auto"/>
        </w:rPr>
      </w:pPr>
    </w:p>
    <w:p>
      <w:pPr>
        <w:ind w:left="108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 Business” refers to the business, operations, products, services and activities of certain of Comcast’s cable television networks, including My Source News Opinion World (“MS NOW”) (formerly MSNBC), CNBC, USA Network, Golf Channel, E!, SYFY and Oxygen, and complementary digital platforms, including GolfNow, Fandango, Rotten Tomatoes and SportsEngine. See “Business” for more information.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common stock means, together, Comcast Class A common stock and Comcast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common stock means, together, Versant Class A common stock and Versant Class B common stock.</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refers to the distribution of all of the shares of Versant common stock owned by Comcast to the holders of Comcast common stock as of the record date.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Date” means the date on which the Distribution occurs.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47" w:lineRule="auto"/>
        <w:rPr>
          <w:sz w:val="20"/>
          <w:szCs w:val="20"/>
          <w:color w:val="auto"/>
        </w:rPr>
      </w:pPr>
      <w:r>
        <w:rPr>
          <w:rFonts w:ascii="Times New Roman" w:cs="Times New Roman" w:eastAsia="Times New Roman" w:hAnsi="Times New Roman"/>
          <w:sz w:val="17"/>
          <w:szCs w:val="17"/>
          <w:color w:val="auto"/>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Statements,”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unaudited condensed combined financial statements for the nine months ended September 30, 2025 and our audited combined financial statements for the year ended December 31, 2024 (collectively, the “combined financial statements”) and accompanying notes included elsewhere in this information statement, “Summary—Summary Combined Financial and Other Data,” “Management’s Discussion and Analysis of Financial Condition and Results of Operations” and “Unaudited Pro Forma Combined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60"/>
          </w:cols>
          <w:pgMar w:left="320" w:top="455"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0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w:t>
      </w:r>
    </w:p>
    <w:p>
      <w:pPr>
        <w:spacing w:after="0" w:line="67" w:lineRule="exact"/>
        <w:rPr>
          <w:sz w:val="20"/>
          <w:szCs w:val="20"/>
          <w:color w:val="auto"/>
        </w:rPr>
      </w:pPr>
    </w:p>
    <w:p>
      <w:pPr>
        <w:ind w:left="1240" w:right="160" w:hanging="415"/>
        <w:spacing w:after="0" w:line="254"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is a premier destination for politics, news and opinion through informed, distinct perspectives and analysis. MS NOW operates across multiple media platforms: multichannel video programming distributors (“MVPDs”), digital, social platforms, podcasts and live events. With highly loyal and engaged audiences representing over 14 million viewers weekly in 2024 according to Nielsen, MS NOW is home to many of the country’s most influential political news programs that shape daily public discourse. In August 2025, we announced the rebranding of MSNBC as MS NOW. This gives us the opportunity to create a distinct brand that underscores our mission to serve as the destination for domestic and international breaking news and best-in-class opinion journalism. The rebranding became effective in November 2025. We have discontinued use of the MSNBC brand and now use MS NOW for the network and all related platforms and products.</w:t>
      </w:r>
    </w:p>
    <w:p>
      <w:pPr>
        <w:spacing w:after="0" w:line="9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36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40"/>
        <w:spacing w:after="0" w:line="266" w:lineRule="auto"/>
        <w:rPr>
          <w:sz w:val="20"/>
          <w:szCs w:val="20"/>
          <w:color w:val="auto"/>
        </w:rPr>
      </w:pPr>
      <w:r>
        <w:rPr>
          <w:rFonts w:ascii="Times New Roman" w:cs="Times New Roman" w:eastAsia="Times New Roman" w:hAnsi="Times New Roman"/>
          <w:sz w:val="18"/>
          <w:szCs w:val="18"/>
          <w:color w:val="auto"/>
        </w:rPr>
        <w:t>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1" w:lineRule="exact"/>
        <w:rPr>
          <w:sz w:val="20"/>
          <w:szCs w:val="20"/>
          <w:color w:val="auto"/>
        </w:rPr>
      </w:pPr>
    </w:p>
    <w:p>
      <w:pPr>
        <w:ind w:left="1240" w:right="8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 USA Network has been a top-five cable entertainment network each year for the past 30 years.</w:t>
      </w:r>
    </w:p>
    <w:p>
      <w:pPr>
        <w:spacing w:after="0" w:line="85" w:lineRule="exact"/>
        <w:rPr>
          <w:rFonts w:ascii="Times New Roman" w:cs="Times New Roman" w:eastAsia="Times New Roman" w:hAnsi="Times New Roman"/>
          <w:sz w:val="18"/>
          <w:szCs w:val="18"/>
          <w:color w:val="auto"/>
        </w:rPr>
      </w:pPr>
    </w:p>
    <w:p>
      <w:pPr>
        <w:ind w:left="1240" w:right="500" w:hanging="415"/>
        <w:spacing w:after="0" w:line="266"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9" w:lineRule="auto"/>
        <w:tabs>
          <w:tab w:leader="none" w:pos="12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63"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85"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81"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85" w:lineRule="exact"/>
        <w:rPr>
          <w:rFonts w:ascii="Times New Roman" w:cs="Times New Roman" w:eastAsia="Times New Roman" w:hAnsi="Times New Roman"/>
          <w:sz w:val="18"/>
          <w:szCs w:val="18"/>
          <w:color w:val="auto"/>
        </w:rPr>
      </w:pPr>
    </w:p>
    <w:p>
      <w:pPr>
        <w:ind w:left="1240" w:hanging="415"/>
        <w:spacing w:after="0" w:line="230"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Fandango Media includes Rotten Tomatoes, one of the world’s most trusted sources of movie and television reviews.</w:t>
      </w:r>
    </w:p>
    <w:p>
      <w:pPr>
        <w:spacing w:after="0" w:line="169" w:lineRule="exact"/>
        <w:rPr>
          <w:rFonts w:ascii="Times New Roman" w:cs="Times New Roman" w:eastAsia="Times New Roman" w:hAnsi="Times New Roman"/>
          <w:sz w:val="18"/>
          <w:szCs w:val="18"/>
          <w:color w:val="auto"/>
        </w:rPr>
      </w:pPr>
    </w:p>
    <w:p>
      <w:pPr>
        <w:ind w:left="500" w:right="220" w:hanging="203"/>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i w:val="1"/>
          <w:iCs w:val="1"/>
          <w:color w:val="auto"/>
        </w:rPr>
        <w:t xml:space="preserve"> Source: Comscore Media Metrix Multi-Platform, July 2024 – August 2024, Desktop &amp; Mobile excluding Social Incremental, Monthly Unique Visitors, Desktop 2+ and Total Mobile 18+, [C] Fandango Sites.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w:t>
      </w: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Our sports programming and related content is typically licensed under multiyear contractual agreements with the relevant sports leagues, and is produced by a combination of in-house and third-party teams. Following</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81" w:lineRule="auto"/>
        <w:rPr>
          <w:sz w:val="20"/>
          <w:szCs w:val="20"/>
          <w:color w:val="auto"/>
        </w:rPr>
      </w:pPr>
      <w:r>
        <w:rPr>
          <w:rFonts w:ascii="Times New Roman" w:cs="Times New Roman" w:eastAsia="Times New Roman" w:hAnsi="Times New Roman"/>
          <w:sz w:val="17"/>
          <w:szCs w:val="17"/>
          <w:color w:val="auto"/>
        </w:rPr>
        <w:t>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Content—Sports Programming” and “The Separation—Agreements with Comcast—Certain Commercial Arrangements” for more information.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 NOW (formerly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(since rebranded to MS NOW) was the number one news brand on YouTube in 2024, while CNBC has had the number one business</w:t>
      </w:r>
    </w:p>
    <w:p>
      <w:pPr>
        <w:spacing w:after="0" w:line="3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website, based on total minutes of consumption, for four consecutive years as of 2024. Also in 2024, E! News Digital was the most followed pop culture news brand on social platforms.</w:t>
      </w:r>
    </w:p>
    <w:p>
      <w:pPr>
        <w:spacing w:after="0" w:line="162"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MS NOW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8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 NOW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investing across our business, whether through organic or inorganic growth strategies. Following the Separation, we expect to have the capacity to return capital to shareholders.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 NOW (formerly MSNBC)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December 16, 2025 (the “Distribution” and, together with the Transactions,</w:t>
      </w:r>
    </w:p>
    <w:p>
      <w:pPr>
        <w:spacing w:after="0" w:line="3"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the “Separation”). Each of Comcast’s shareholders as of the record date will be entitled to receive one share of Versant Class A common stock or Versant Class B common stock for every twenty-five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7" w:lineRule="exact"/>
        <w:rPr>
          <w:sz w:val="20"/>
          <w:szCs w:val="20"/>
          <w:color w:val="auto"/>
        </w:rPr>
      </w:pPr>
    </w:p>
    <w:p>
      <w:pPr>
        <w:ind w:left="1240" w:right="80" w:hanging="415"/>
        <w:spacing w:after="0" w:line="257"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Versant 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240" w:right="20" w:hanging="415"/>
        <w:spacing w:after="0" w:line="254"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87"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240" w:right="200" w:hanging="415"/>
        <w:spacing w:after="0" w:line="25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430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6998970" cy="2430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62"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The Distribution is subject to the satisfaction or waiver of certain conditions. For more information, see “Risk Factors—Spin-Related Risk Factors” and “The Separation—Conditions to the Distribution” included elsewhere in this information statement.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Versant was incorporated in Pennsylvania on May 1, 2025.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 In connection with the completion of the Transactions,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900 Sylvan Avenue, Englewood Cliffs, New Jersey 07632 and our telephone number is (201) 735-2622. Our Internet site will be www.versantmedia.com. Our website and the information contained therein or connected thereto is not incorporated into this information statement or the registration statement of which it forms a part.</w:t>
      </w:r>
    </w:p>
    <w:p>
      <w:pPr>
        <w:spacing w:after="0" w:line="31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320" w:top="455"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Please see “The Separation” for a more detailed description of the matters summarized below.</w:t>
      </w:r>
    </w:p>
    <w:p>
      <w:pPr>
        <w:spacing w:after="0" w:line="133" w:lineRule="exact"/>
        <w:rPr>
          <w:sz w:val="20"/>
          <w:szCs w:val="20"/>
          <w:color w:val="auto"/>
        </w:rPr>
      </w:pPr>
    </w:p>
    <w:p>
      <w:pPr>
        <w:ind w:left="720" w:hanging="422"/>
        <w:spacing w:after="0"/>
        <w:tabs>
          <w:tab w:leader="none" w:pos="72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am I receiving this document?</w:t>
      </w:r>
    </w:p>
    <w:p>
      <w:pPr>
        <w:spacing w:after="0" w:line="133" w:lineRule="exact"/>
        <w:rPr>
          <w:sz w:val="20"/>
          <w:szCs w:val="20"/>
          <w:color w:val="auto"/>
        </w:rPr>
      </w:pPr>
    </w:p>
    <w:p>
      <w:pPr>
        <w:jc w:val="both"/>
        <w:ind w:left="720" w:right="20" w:hanging="422"/>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26" w:lineRule="exact"/>
        <w:rPr>
          <w:sz w:val="20"/>
          <w:szCs w:val="20"/>
          <w:color w:val="auto"/>
        </w:rPr>
      </w:pPr>
    </w:p>
    <w:p>
      <w:pPr>
        <w:ind w:left="720" w:hanging="422"/>
        <w:spacing w:after="0"/>
        <w:tabs>
          <w:tab w:leader="none" w:pos="72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do I have to do to participate in the Separation?</w:t>
      </w:r>
    </w:p>
    <w:p>
      <w:pPr>
        <w:spacing w:after="0" w:line="133" w:lineRule="exact"/>
        <w:rPr>
          <w:sz w:val="20"/>
          <w:szCs w:val="20"/>
          <w:color w:val="auto"/>
        </w:rPr>
      </w:pPr>
    </w:p>
    <w:p>
      <w:pPr>
        <w:ind w:left="720" w:hanging="422"/>
        <w:spacing w:after="0" w:line="258"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30" w:lineRule="exact"/>
        <w:rPr>
          <w:sz w:val="20"/>
          <w:szCs w:val="20"/>
          <w:color w:val="auto"/>
        </w:rPr>
      </w:pPr>
    </w:p>
    <w:p>
      <w:pPr>
        <w:ind w:left="720" w:hanging="422"/>
        <w:spacing w:after="0"/>
        <w:tabs>
          <w:tab w:leader="none" w:pos="7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Comcast separating the Spin Business from its other businesses?</w:t>
      </w:r>
    </w:p>
    <w:p>
      <w:pPr>
        <w:spacing w:after="0" w:line="133" w:lineRule="exact"/>
        <w:rPr>
          <w:sz w:val="20"/>
          <w:szCs w:val="20"/>
          <w:color w:val="auto"/>
        </w:rPr>
      </w:pPr>
    </w:p>
    <w:p>
      <w:pPr>
        <w:jc w:val="both"/>
        <w:ind w:left="720" w:right="220" w:hanging="422"/>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22"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Versant?</w:t>
      </w:r>
    </w:p>
    <w:p>
      <w:pPr>
        <w:spacing w:after="0" w:line="133" w:lineRule="exact"/>
        <w:rPr>
          <w:sz w:val="20"/>
          <w:szCs w:val="20"/>
          <w:color w:val="auto"/>
        </w:rPr>
      </w:pPr>
    </w:p>
    <w:p>
      <w:pPr>
        <w:ind w:left="720" w:right="500" w:hanging="422"/>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a newly formed Pennsylvania corporation that will hold the Spin Business, directly or indirectly through its subsidiaries, and Versant Class A common stock will be publicly traded following the Separation.</w:t>
      </w:r>
    </w:p>
    <w:p>
      <w:pPr>
        <w:spacing w:after="0" w:line="308" w:lineRule="exact"/>
        <w:rPr>
          <w:sz w:val="20"/>
          <w:szCs w:val="20"/>
          <w:color w:val="auto"/>
        </w:rPr>
      </w:pPr>
    </w:p>
    <w:p>
      <w:pPr>
        <w:ind w:left="720" w:hanging="422"/>
        <w:spacing w:after="0"/>
        <w:tabs>
          <w:tab w:leader="none" w:pos="72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accomplish the Separation of Versant?</w:t>
      </w:r>
    </w:p>
    <w:p>
      <w:pPr>
        <w:spacing w:after="0" w:line="133" w:lineRule="exact"/>
        <w:rPr>
          <w:sz w:val="20"/>
          <w:szCs w:val="20"/>
          <w:color w:val="auto"/>
        </w:rPr>
      </w:pPr>
    </w:p>
    <w:p>
      <w:pPr>
        <w:ind w:left="720" w:right="100" w:hanging="422"/>
        <w:spacing w:after="0" w:line="281" w:lineRule="auto"/>
        <w:tabs>
          <w:tab w:leader="none" w:pos="7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311" w:lineRule="exact"/>
        <w:rPr>
          <w:sz w:val="20"/>
          <w:szCs w:val="20"/>
          <w:color w:val="auto"/>
        </w:rPr>
      </w:pPr>
    </w:p>
    <w:p>
      <w:pPr>
        <w:ind w:left="720" w:hanging="422"/>
        <w:spacing w:after="0"/>
        <w:tabs>
          <w:tab w:leader="none" w:pos="72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I receive in the Distribution?</w:t>
      </w:r>
    </w:p>
    <w:p>
      <w:pPr>
        <w:spacing w:after="0" w:line="133" w:lineRule="exact"/>
        <w:rPr>
          <w:sz w:val="20"/>
          <w:szCs w:val="20"/>
          <w:color w:val="auto"/>
        </w:rPr>
      </w:pPr>
    </w:p>
    <w:p>
      <w:pPr>
        <w:ind w:left="720" w:right="20" w:hanging="422"/>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Comcast common stock as of the record date will be entitled to receive one share of Versant Class A common stock or Versant Class B common stock for every twenty-five shares of Comcast Class A common stock or Comcast Class B common stock, respectively, held by them on the record date.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27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hanging="422"/>
        <w:spacing w:after="0"/>
        <w:tabs>
          <w:tab w:leader="none" w:pos="72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does my ownership in Comcast change as a result of the Separation?</w:t>
      </w:r>
    </w:p>
    <w:p>
      <w:pPr>
        <w:spacing w:after="0" w:line="133" w:lineRule="exact"/>
        <w:rPr>
          <w:sz w:val="20"/>
          <w:szCs w:val="20"/>
          <w:color w:val="auto"/>
        </w:rPr>
      </w:pPr>
    </w:p>
    <w:p>
      <w:pPr>
        <w:ind w:left="720" w:hanging="422"/>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proportionate interest in Comcast will not change as a result of the Separation.</w:t>
      </w:r>
    </w:p>
    <w:p>
      <w:pPr>
        <w:spacing w:after="0" w:line="372" w:lineRule="exact"/>
        <w:rPr>
          <w:sz w:val="20"/>
          <w:szCs w:val="20"/>
          <w:color w:val="auto"/>
        </w:rPr>
      </w:pPr>
    </w:p>
    <w:p>
      <w:pPr>
        <w:ind w:left="720" w:hanging="422"/>
        <w:spacing w:after="0"/>
        <w:tabs>
          <w:tab w:leader="none" w:pos="7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the record date for the Distribution?</w:t>
      </w:r>
    </w:p>
    <w:p>
      <w:pPr>
        <w:spacing w:after="0" w:line="133" w:lineRule="exact"/>
        <w:rPr>
          <w:sz w:val="20"/>
          <w:szCs w:val="20"/>
          <w:color w:val="auto"/>
        </w:rPr>
      </w:pPr>
    </w:p>
    <w:p>
      <w:pPr>
        <w:ind w:left="720" w:right="180" w:hanging="422"/>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Distribution is December 16, 2025, and ownership will be determined as of the close of business on that date. When we refer to the record date in this information statement, we are referring to that time and date.</w:t>
      </w:r>
    </w:p>
    <w:p>
      <w:pPr>
        <w:spacing w:after="0" w:line="308" w:lineRule="exact"/>
        <w:rPr>
          <w:sz w:val="20"/>
          <w:szCs w:val="20"/>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will the Distribution occur?</w:t>
      </w:r>
    </w:p>
    <w:p>
      <w:pPr>
        <w:spacing w:after="0" w:line="133" w:lineRule="exact"/>
        <w:rPr>
          <w:sz w:val="20"/>
          <w:szCs w:val="20"/>
          <w:color w:val="auto"/>
        </w:rPr>
      </w:pPr>
    </w:p>
    <w:p>
      <w:pPr>
        <w:ind w:left="720" w:hanging="422"/>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January 2, 2026.</w:t>
      </w:r>
    </w:p>
    <w:p>
      <w:pPr>
        <w:spacing w:after="0" w:line="372" w:lineRule="exact"/>
        <w:rPr>
          <w:sz w:val="20"/>
          <w:szCs w:val="20"/>
          <w:color w:val="auto"/>
        </w:rPr>
      </w:pPr>
    </w:p>
    <w:p>
      <w:pPr>
        <w:ind w:left="720" w:right="540" w:hanging="422"/>
        <w:spacing w:after="0" w:line="284" w:lineRule="auto"/>
        <w:tabs>
          <w:tab w:leader="none" w:pos="72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 holder of shares of Comcast common stock as of the record date for the Distribution, how will shares of Versant common stock be distributed to me?</w:t>
      </w:r>
    </w:p>
    <w:p>
      <w:pPr>
        <w:spacing w:after="0" w:line="66" w:lineRule="exact"/>
        <w:rPr>
          <w:sz w:val="20"/>
          <w:szCs w:val="20"/>
          <w:color w:val="auto"/>
        </w:rPr>
      </w:pPr>
    </w:p>
    <w:p>
      <w:pPr>
        <w:ind w:left="720" w:right="120" w:hanging="422"/>
        <w:spacing w:after="0" w:line="261"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7"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no Comcast shareholder vote required to approve the Separation and its material terms?</w:t>
      </w:r>
    </w:p>
    <w:p>
      <w:pPr>
        <w:spacing w:after="0" w:line="133" w:lineRule="exact"/>
        <w:rPr>
          <w:sz w:val="20"/>
          <w:szCs w:val="20"/>
          <w:color w:val="auto"/>
        </w:rPr>
      </w:pPr>
    </w:p>
    <w:p>
      <w:pPr>
        <w:ind w:left="720" w:right="260" w:hanging="422"/>
        <w:spacing w:after="0" w:line="312" w:lineRule="auto"/>
        <w:tabs>
          <w:tab w:leader="none" w:pos="7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86" w:lineRule="exact"/>
        <w:rPr>
          <w:sz w:val="20"/>
          <w:szCs w:val="20"/>
          <w:color w:val="auto"/>
        </w:rPr>
      </w:pPr>
    </w:p>
    <w:p>
      <w:pPr>
        <w:ind w:left="720" w:hanging="422"/>
        <w:spacing w:after="0"/>
        <w:tabs>
          <w:tab w:leader="none" w:pos="7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fractional shares be treated in the Distribution?</w:t>
      </w:r>
    </w:p>
    <w:p>
      <w:pPr>
        <w:spacing w:after="0" w:line="133" w:lineRule="exact"/>
        <w:rPr>
          <w:sz w:val="20"/>
          <w:szCs w:val="20"/>
          <w:color w:val="auto"/>
        </w:rPr>
      </w:pPr>
    </w:p>
    <w:p>
      <w:pPr>
        <w:ind w:left="720" w:hanging="422"/>
        <w:spacing w:after="0" w:line="256"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34" w:lineRule="exact"/>
        <w:rPr>
          <w:sz w:val="20"/>
          <w:szCs w:val="20"/>
          <w:color w:val="auto"/>
        </w:rPr>
      </w:pPr>
    </w:p>
    <w:p>
      <w:pPr>
        <w:ind w:left="720" w:hanging="422"/>
        <w:spacing w:after="0"/>
        <w:tabs>
          <w:tab w:leader="none" w:pos="7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are the U.S. federal income tax consequences to me of the Distribution?</w:t>
      </w:r>
    </w:p>
    <w:p>
      <w:pPr>
        <w:spacing w:after="0" w:line="133" w:lineRule="exact"/>
        <w:rPr>
          <w:sz w:val="20"/>
          <w:szCs w:val="20"/>
          <w:color w:val="auto"/>
        </w:rPr>
      </w:pPr>
    </w:p>
    <w:p>
      <w:pPr>
        <w:ind w:left="720" w:right="200" w:hanging="422"/>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20"/>
        <w:spacing w:after="0" w:line="255" w:lineRule="auto"/>
        <w:rPr>
          <w:sz w:val="20"/>
          <w:szCs w:val="20"/>
          <w:color w:val="auto"/>
        </w:rPr>
      </w:pPr>
      <w:r>
        <w:rPr>
          <w:rFonts w:ascii="Times New Roman" w:cs="Times New Roman" w:eastAsia="Times New Roman" w:hAnsi="Times New Roman"/>
          <w:sz w:val="18"/>
          <w:szCs w:val="18"/>
          <w:color w:val="auto"/>
        </w:rPr>
        <w:t>of 1986, as amended (the “Code”) and a distribution to which Section 355 of the Code applies, and the distribution by Comcast of the proceeds from the Special Cash Payment (as defined below) as provided in the Separation and Distribution Agreement (the “Comcast Cash Distribution”) will qualify as money distributed to Comcast creditors or shareholders in connection with the reorganization for purposes of Section 361(b) of the Code.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35" w:lineRule="exact"/>
        <w:rPr>
          <w:sz w:val="20"/>
          <w:szCs w:val="20"/>
          <w:color w:val="auto"/>
        </w:rPr>
      </w:pPr>
    </w:p>
    <w:p>
      <w:pPr>
        <w:ind w:left="720" w:hanging="422"/>
        <w:spacing w:after="0"/>
        <w:tabs>
          <w:tab w:leader="none" w:pos="72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I determine the tax basis I will have in my Comcast shares after the Distribution and Versant shares I receive in the Distribution?</w:t>
      </w:r>
    </w:p>
    <w:p>
      <w:pPr>
        <w:spacing w:after="0" w:line="133" w:lineRule="exact"/>
        <w:rPr>
          <w:sz w:val="20"/>
          <w:szCs w:val="20"/>
          <w:color w:val="auto"/>
        </w:rPr>
      </w:pPr>
    </w:p>
    <w:p>
      <w:pPr>
        <w:ind w:left="720" w:right="200" w:hanging="422"/>
        <w:spacing w:after="0" w:line="25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 Material U.S. Federal Income Tax Consequences of the Distribution.”</w:t>
      </w:r>
    </w:p>
    <w:p>
      <w:pPr>
        <w:spacing w:after="0" w:line="334" w:lineRule="exact"/>
        <w:rPr>
          <w:sz w:val="20"/>
          <w:szCs w:val="20"/>
          <w:color w:val="auto"/>
        </w:rPr>
      </w:pPr>
    </w:p>
    <w:p>
      <w:pPr>
        <w:ind w:left="720" w:hanging="422"/>
        <w:spacing w:after="0"/>
        <w:tabs>
          <w:tab w:leader="none" w:pos="72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Class A common stock and Versant Class A common stock trade after the Separation?</w:t>
      </w:r>
    </w:p>
    <w:p>
      <w:pPr>
        <w:spacing w:after="0" w:line="133" w:lineRule="exact"/>
        <w:rPr>
          <w:sz w:val="20"/>
          <w:szCs w:val="20"/>
          <w:color w:val="auto"/>
        </w:rPr>
      </w:pPr>
    </w:p>
    <w:p>
      <w:pPr>
        <w:ind w:left="720" w:right="40" w:hanging="422"/>
        <w:spacing w:after="0" w:line="261"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currently no public market for Versant Class A common stock. Versant has been approved to have its shares of Versant Class A common stock listed on Nasdaq under the ticker symbol “VSNT”, subject to official notice of issuance. Comcast Class A common stock will continue to trade on Nasdaq under the ticker symbol “CMCSA.” The Versant Class B common stock will not be listed on any stock exchange.</w:t>
      </w:r>
    </w:p>
    <w:p>
      <w:pPr>
        <w:spacing w:after="0" w:line="326" w:lineRule="exact"/>
        <w:rPr>
          <w:sz w:val="20"/>
          <w:szCs w:val="20"/>
          <w:color w:val="auto"/>
        </w:rPr>
      </w:pPr>
    </w:p>
    <w:p>
      <w:pPr>
        <w:ind w:left="720" w:hanging="422"/>
        <w:spacing w:after="0" w:line="284" w:lineRule="auto"/>
        <w:tabs>
          <w:tab w:leader="none" w:pos="720" w:val="left"/>
        </w:tabs>
        <w:numPr>
          <w:ilvl w:val="0"/>
          <w:numId w:val="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I sell my shares of Comcast Class A common stock before or on the Distribution Date, will I still be entitled to receive Versant shares in the Distribution with respect to the sold shares?</w:t>
      </w:r>
    </w:p>
    <w:p>
      <w:pPr>
        <w:spacing w:after="0" w:line="66" w:lineRule="exact"/>
        <w:rPr>
          <w:sz w:val="20"/>
          <w:szCs w:val="20"/>
          <w:color w:val="auto"/>
        </w:rPr>
      </w:pPr>
    </w:p>
    <w:p>
      <w:pPr>
        <w:ind w:left="720" w:right="20" w:hanging="422"/>
        <w:spacing w:after="0" w:line="277" w:lineRule="auto"/>
        <w:tabs>
          <w:tab w:leader="none" w:pos="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59" w:lineRule="exact"/>
        <w:rPr>
          <w:rFonts w:ascii="Times New Roman" w:cs="Times New Roman" w:eastAsia="Times New Roman" w:hAnsi="Times New Roman"/>
          <w:sz w:val="17"/>
          <w:szCs w:val="17"/>
          <w:color w:val="auto"/>
        </w:rPr>
      </w:pPr>
    </w:p>
    <w:p>
      <w:pPr>
        <w:ind w:left="720"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34" w:lineRule="exact"/>
        <w:rPr>
          <w:sz w:val="20"/>
          <w:szCs w:val="20"/>
          <w:color w:val="auto"/>
        </w:rPr>
      </w:pPr>
    </w:p>
    <w:p>
      <w:pPr>
        <w:ind w:left="720" w:hanging="422"/>
        <w:spacing w:after="0"/>
        <w:tabs>
          <w:tab w:leader="none" w:pos="720"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I receive a stock certificate for Versant shares distributed as a result of the Distribution?</w:t>
      </w:r>
    </w:p>
    <w:p>
      <w:pPr>
        <w:spacing w:after="0" w:line="133" w:lineRule="exact"/>
        <w:rPr>
          <w:sz w:val="20"/>
          <w:szCs w:val="20"/>
          <w:color w:val="auto"/>
        </w:rPr>
      </w:pPr>
    </w:p>
    <w:p>
      <w:pPr>
        <w:ind w:left="720" w:right="260" w:hanging="422"/>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who are entitled to participate in the Distribution will receive a book-entry account statement reflecting their ownership of Versant Class A common stock. We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47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220"/>
        <w:spacing w:after="0" w:line="258" w:lineRule="auto"/>
        <w:rPr>
          <w:sz w:val="20"/>
          <w:szCs w:val="20"/>
          <w:color w:val="auto"/>
        </w:rPr>
      </w:pPr>
      <w:r>
        <w:rPr>
          <w:rFonts w:ascii="Times New Roman" w:cs="Times New Roman" w:eastAsia="Times New Roman" w:hAnsi="Times New Roman"/>
          <w:sz w:val="18"/>
          <w:szCs w:val="18"/>
          <w:color w:val="auto"/>
        </w:rPr>
        <w:t>will make book-entry credits on the books of Versant for the respective shares of Versant Class A common stock that you are entitled to receive. Registered holders of Comcast Class B common stock who are entitled to participate in the Distribution will be issued share certificates representing their ownership of Versant Class B common stock. For additional information, registered shareholders in the U.S., Canada or Puerto Rico should contact Comcast’s transfer agent, Equiniti Trust Company, LLC. See “The Separation—When and How You Will Receive the Distribution of Versant Shares.”</w:t>
      </w:r>
    </w:p>
    <w:p>
      <w:pPr>
        <w:spacing w:after="0" w:line="330" w:lineRule="exact"/>
        <w:rPr>
          <w:sz w:val="20"/>
          <w:szCs w:val="20"/>
          <w:color w:val="auto"/>
        </w:rPr>
      </w:pPr>
    </w:p>
    <w:p>
      <w:pPr>
        <w:ind w:left="720" w:hanging="422"/>
        <w:spacing w:after="0"/>
        <w:tabs>
          <w:tab w:leader="none" w:pos="72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 Comcast decide to cancel the Distribution of Versant common stock even if all the conditions have been met?</w:t>
      </w:r>
    </w:p>
    <w:p>
      <w:pPr>
        <w:spacing w:after="0" w:line="133" w:lineRule="exact"/>
        <w:rPr>
          <w:sz w:val="20"/>
          <w:szCs w:val="20"/>
          <w:color w:val="auto"/>
        </w:rPr>
      </w:pPr>
    </w:p>
    <w:p>
      <w:pPr>
        <w:ind w:left="720" w:right="700" w:hanging="422"/>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Comcast has the right to terminate, or modify the terms of, the Separation at any time prior to the Distribution, even if all of the conditions to the Distribution are satisfied.</w:t>
      </w:r>
    </w:p>
    <w:p>
      <w:pPr>
        <w:spacing w:after="0" w:line="308" w:lineRule="exact"/>
        <w:rPr>
          <w:sz w:val="20"/>
          <w:szCs w:val="20"/>
          <w:color w:val="auto"/>
        </w:rPr>
      </w:pPr>
    </w:p>
    <w:p>
      <w:pPr>
        <w:ind w:left="720" w:hanging="422"/>
        <w:spacing w:after="0"/>
        <w:tabs>
          <w:tab w:leader="none" w:pos="72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 I have dissenters’ rights?</w:t>
      </w:r>
    </w:p>
    <w:p>
      <w:pPr>
        <w:spacing w:after="0" w:line="133" w:lineRule="exact"/>
        <w:rPr>
          <w:sz w:val="20"/>
          <w:szCs w:val="20"/>
          <w:color w:val="auto"/>
        </w:rPr>
      </w:pPr>
    </w:p>
    <w:p>
      <w:pPr>
        <w:ind w:left="720" w:hanging="422"/>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Comcast shareholders do not have any dissenters’ rights in connection with the Separation.</w:t>
      </w:r>
    </w:p>
    <w:p>
      <w:pPr>
        <w:spacing w:after="0" w:line="372" w:lineRule="exact"/>
        <w:rPr>
          <w:sz w:val="20"/>
          <w:szCs w:val="20"/>
          <w:color w:val="auto"/>
        </w:rPr>
      </w:pPr>
    </w:p>
    <w:p>
      <w:pPr>
        <w:ind w:left="720" w:hanging="422"/>
        <w:spacing w:after="0"/>
        <w:tabs>
          <w:tab w:leader="none" w:pos="72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Versant incur any debt in connection with the Separation?</w:t>
      </w:r>
    </w:p>
    <w:p>
      <w:pPr>
        <w:spacing w:after="0" w:line="133" w:lineRule="exact"/>
        <w:rPr>
          <w:sz w:val="20"/>
          <w:szCs w:val="20"/>
          <w:color w:val="auto"/>
        </w:rPr>
      </w:pPr>
    </w:p>
    <w:p>
      <w:pPr>
        <w:ind w:left="720" w:right="40" w:hanging="422"/>
        <w:spacing w:after="0" w:line="253"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connection with the Separation, on October 3, 2025, we entered into a credit agreement (the “TLA/Revolver Credit Agreement”) with respect to (i) a $1.0 billion senior secured term A loan facility due January 2031 (the “Term A Loan Facility”) and (ii) a $750 million revolving credit facility due January 2031 (the “Revolving Credit Facility”) (which is expected to be undrawn at the time of the Separation). Additionally, on October 29, 2025, we entered into an indenture (the “Indenture”) pursuant to which we issued $1.0 billion aggregate principal amount of 7.250% senior secured notes due 2031 (the “Notes”). We also intend to enter into a credit agreement (the “TLB Credit Agreement”) with respect to a five-year $1.0 billion term B loan facility (the “Term B Loan Facility”) and, together with the Term A Loan Facility, the “Term Loan Facilities” in connection with the Separation. We intend to use a portion of the proceeds of such indebtedness to make a cash payment of approximately $2.25 billion to Comcast as consideration for assets that will be contributed to us in connection with the Separation (the “Special Cash Payment”), with the remainder being used for general corporate purposes. See “Description of Material Indebtedness.”</w:t>
      </w:r>
    </w:p>
    <w:p>
      <w:pPr>
        <w:spacing w:after="0" w:line="86" w:lineRule="exact"/>
        <w:rPr>
          <w:rFonts w:ascii="Times New Roman" w:cs="Times New Roman" w:eastAsia="Times New Roman" w:hAnsi="Times New Roman"/>
          <w:sz w:val="18"/>
          <w:szCs w:val="18"/>
          <w:color w:val="auto"/>
        </w:rPr>
      </w:pPr>
    </w:p>
    <w:p>
      <w:pPr>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Factors” and “Description of Material Indebtedness.”</w:t>
      </w:r>
    </w:p>
    <w:p>
      <w:pPr>
        <w:spacing w:after="0" w:line="330" w:lineRule="exact"/>
        <w:rPr>
          <w:sz w:val="20"/>
          <w:szCs w:val="20"/>
          <w:color w:val="auto"/>
        </w:rPr>
      </w:pPr>
    </w:p>
    <w:p>
      <w:pPr>
        <w:ind w:left="720" w:hanging="422"/>
        <w:spacing w:after="0"/>
        <w:tabs>
          <w:tab w:leader="none" w:pos="7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Versant intend to pay cash dividends?</w:t>
      </w:r>
    </w:p>
    <w:p>
      <w:pPr>
        <w:spacing w:after="0" w:line="133" w:lineRule="exact"/>
        <w:rPr>
          <w:sz w:val="20"/>
          <w:szCs w:val="20"/>
          <w:color w:val="auto"/>
        </w:rPr>
      </w:pPr>
    </w:p>
    <w:p>
      <w:pPr>
        <w:ind w:left="720" w:right="180" w:hanging="422"/>
        <w:spacing w:after="0" w:line="261"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26" w:lineRule="exact"/>
        <w:rPr>
          <w:sz w:val="20"/>
          <w:szCs w:val="20"/>
          <w:color w:val="auto"/>
        </w:rPr>
      </w:pPr>
    </w:p>
    <w:p>
      <w:pPr>
        <w:ind w:left="720" w:hanging="422"/>
        <w:spacing w:after="0"/>
        <w:tabs>
          <w:tab w:leader="none" w:pos="7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the Separation affect the trading price of my Comcast Class A common stock?</w:t>
      </w:r>
    </w:p>
    <w:p>
      <w:pPr>
        <w:spacing w:after="0" w:line="133" w:lineRule="exact"/>
        <w:rPr>
          <w:sz w:val="20"/>
          <w:szCs w:val="20"/>
          <w:color w:val="auto"/>
        </w:rPr>
      </w:pPr>
    </w:p>
    <w:p>
      <w:pPr>
        <w:ind w:left="720" w:right="100" w:hanging="422"/>
        <w:spacing w:after="0" w:line="26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47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Distribution, the combined trading prices of Comcast Class A common stock and our Class A common stock will equal or exceed what the trading price of Comcast Class A common stock would have been in the absence of the Distribution.</w:t>
      </w:r>
    </w:p>
    <w:p>
      <w:pPr>
        <w:spacing w:after="0" w:line="308" w:lineRule="exact"/>
        <w:rPr>
          <w:sz w:val="20"/>
          <w:szCs w:val="20"/>
          <w:color w:val="auto"/>
        </w:rPr>
      </w:pPr>
    </w:p>
    <w:p>
      <w:pPr>
        <w:ind w:left="720" w:hanging="422"/>
        <w:spacing w:after="0"/>
        <w:tabs>
          <w:tab w:leader="none" w:pos="7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happen to outstanding Comcast equity compensation awards?</w:t>
      </w:r>
    </w:p>
    <w:p>
      <w:pPr>
        <w:spacing w:after="0" w:line="133" w:lineRule="exact"/>
        <w:rPr>
          <w:sz w:val="20"/>
          <w:szCs w:val="20"/>
          <w:color w:val="auto"/>
        </w:rPr>
      </w:pPr>
    </w:p>
    <w:p>
      <w:pPr>
        <w:ind w:left="720" w:right="80" w:hanging="422"/>
        <w:spacing w:after="0" w:line="266"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outstanding time-based restricted stock units (“RSUs”) in respect of Comcast Class A common stock (“Comcast RSUs”) and options to purchase Comcast Class A common stock (the “Comcast Options” and together with the Comcast RSUs, the “Comcast Equity Awards”) will be equitably adjusted in accordance with the terms of the Comcast equity incentive plans.</w:t>
      </w:r>
    </w:p>
    <w:p>
      <w:pPr>
        <w:spacing w:after="0" w:line="67"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322" w:lineRule="exact"/>
        <w:rPr>
          <w:sz w:val="20"/>
          <w:szCs w:val="20"/>
          <w:color w:val="auto"/>
        </w:rPr>
      </w:pPr>
    </w:p>
    <w:p>
      <w:pPr>
        <w:ind w:left="720" w:hanging="422"/>
        <w:spacing w:after="0"/>
        <w:tabs>
          <w:tab w:leader="none" w:pos="72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the relationship between Comcast and Versant be following the Separation?</w:t>
      </w:r>
    </w:p>
    <w:p>
      <w:pPr>
        <w:spacing w:after="0" w:line="133" w:lineRule="exact"/>
        <w:rPr>
          <w:sz w:val="20"/>
          <w:szCs w:val="20"/>
          <w:color w:val="auto"/>
        </w:rPr>
      </w:pPr>
    </w:p>
    <w:p>
      <w:pPr>
        <w:ind w:left="720" w:right="100" w:hanging="422"/>
        <w:spacing w:after="0" w:line="25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334" w:lineRule="exact"/>
        <w:rPr>
          <w:sz w:val="20"/>
          <w:szCs w:val="20"/>
          <w:color w:val="auto"/>
        </w:rPr>
      </w:pPr>
    </w:p>
    <w:p>
      <w:pPr>
        <w:ind w:left="720" w:hanging="422"/>
        <w:spacing w:after="0"/>
        <w:tabs>
          <w:tab w:leader="none" w:pos="72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transfer agent for Versant Class A common stock?</w:t>
      </w:r>
    </w:p>
    <w:p>
      <w:pPr>
        <w:spacing w:after="0" w:line="133" w:lineRule="exact"/>
        <w:rPr>
          <w:sz w:val="20"/>
          <w:szCs w:val="20"/>
          <w:color w:val="auto"/>
        </w:rPr>
      </w:pPr>
    </w:p>
    <w:p>
      <w:pPr>
        <w:ind w:left="720" w:hanging="422"/>
        <w:spacing w:after="0" w:line="266"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will be the transfer agent for the Versant Class A common stock. You can contact us at 866-927-2264 (Versant Dedicated Toll Free Phone Number) or 651-450-4064 (Direct Phone Number) or by signing on to your account at: shareowneronline.com/versant.</w:t>
      </w:r>
    </w:p>
    <w:p>
      <w:pPr>
        <w:spacing w:after="0" w:line="322" w:lineRule="exact"/>
        <w:rPr>
          <w:sz w:val="20"/>
          <w:szCs w:val="20"/>
          <w:color w:val="auto"/>
        </w:rPr>
      </w:pPr>
    </w:p>
    <w:p>
      <w:pPr>
        <w:ind w:left="720" w:hanging="422"/>
        <w:spacing w:after="0"/>
        <w:tabs>
          <w:tab w:leader="none" w:pos="72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distribution agent for the Distribution of Versant Class A common stock?</w:t>
      </w:r>
    </w:p>
    <w:p>
      <w:pPr>
        <w:spacing w:after="0" w:line="133" w:lineRule="exact"/>
        <w:rPr>
          <w:sz w:val="20"/>
          <w:szCs w:val="20"/>
          <w:color w:val="auto"/>
        </w:rPr>
      </w:pPr>
    </w:p>
    <w:p>
      <w:pPr>
        <w:ind w:left="720" w:hanging="422"/>
        <w:spacing w:after="0"/>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w:t>
      </w:r>
    </w:p>
    <w:p>
      <w:pPr>
        <w:spacing w:after="0" w:line="372" w:lineRule="exact"/>
        <w:rPr>
          <w:sz w:val="20"/>
          <w:szCs w:val="20"/>
          <w:color w:val="auto"/>
        </w:rPr>
      </w:pPr>
    </w:p>
    <w:p>
      <w:pPr>
        <w:ind w:left="720" w:hanging="422"/>
        <w:spacing w:after="0"/>
        <w:tabs>
          <w:tab w:leader="none" w:pos="72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can I contact for more information?</w:t>
      </w:r>
    </w:p>
    <w:p>
      <w:pPr>
        <w:spacing w:after="0" w:line="133" w:lineRule="exact"/>
        <w:rPr>
          <w:sz w:val="20"/>
          <w:szCs w:val="20"/>
          <w:color w:val="auto"/>
        </w:rPr>
      </w:pPr>
    </w:p>
    <w:p>
      <w:pPr>
        <w:ind w:left="720" w:hanging="422"/>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you should contact the distribution agent:</w:t>
      </w:r>
    </w:p>
    <w:p>
      <w:pPr>
        <w:spacing w:after="0" w:line="117" w:lineRule="exact"/>
        <w:rPr>
          <w:rFonts w:ascii="Times New Roman" w:cs="Times New Roman" w:eastAsia="Times New Roman" w:hAnsi="Times New Roman"/>
          <w:sz w:val="18"/>
          <w:szCs w:val="18"/>
          <w:color w:val="auto"/>
        </w:rPr>
      </w:pPr>
    </w:p>
    <w:p>
      <w:pPr>
        <w:ind w:left="720" w:right="5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D/B/A EQ Shareowner Services P.O. Box 64854</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55164-0854</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Before the Separation, if you have questions relating to the transactions described herein, you should contact Comcast at: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19013-2838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(866) 281-2100</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320" w:top="455" w:right="7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95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6998970" cy="1195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After the Separation, if you have questions relating to the transactions described herein, you should contact Versant at:</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900 Sylvan Avenue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Englewood Cliffs, NJ 07632</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(201) 735-2622</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47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SEPARATION</w:t>
      </w:r>
    </w:p>
    <w:p>
      <w:pPr>
        <w:spacing w:after="0" w:line="229"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Separation, including the Transactions, the Distribution and certain other related transactions.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Distributing Company</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Comcast Corporation (“Comcast”), a Pennsylvania corporation. After the Distribution,</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Comcast will not own any shares of Versant common stock.</w:t>
            </w:r>
          </w:p>
        </w:tc>
      </w:tr>
      <w:tr>
        <w:trPr>
          <w:trHeight w:val="31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Distributed Company</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Versant Media Group, Inc. (“Versant”), a Pennsylvania corporation, is a wholly owned</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subsidiary of Comcast that, after giving effect to the Transactions, will hold, directly or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indirectly through its subsidiaries, the assets and liabilities comprising the Spin Business.</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After the Distribution, Versant will be an independent, publicly traded company.</w:t>
            </w:r>
          </w:p>
        </w:tc>
      </w:tr>
      <w:tr>
        <w:trPr>
          <w:trHeight w:val="31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Distributed Company Structure</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Versant is a holding company. At the time of the Distribution, it will own the shares of a</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number of subsidiaries operating the Spin Business.</w:t>
            </w:r>
          </w:p>
        </w:tc>
      </w:tr>
      <w:tr>
        <w:trPr>
          <w:trHeight w:val="338"/>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 Date</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record date for the Distribution is on the close of business on December 16, 2025.</w:t>
            </w:r>
          </w:p>
        </w:tc>
      </w:tr>
      <w:tr>
        <w:trPr>
          <w:trHeight w:val="351"/>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Date</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Distribution Date is January 2, 2026.</w:t>
            </w:r>
          </w:p>
        </w:tc>
      </w:tr>
      <w:tr>
        <w:trPr>
          <w:trHeight w:val="33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Distributed Securities</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Comcast will distribute 100% of the shares of Versant common stock outstanding</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immediately prior to the Distribution.</w:t>
            </w:r>
          </w:p>
        </w:tc>
      </w:tr>
      <w:tr>
        <w:trPr>
          <w:trHeight w:val="319"/>
        </w:trPr>
        <w:tc>
          <w:tcPr>
            <w:tcW w:w="3320" w:type="dxa"/>
            <w:vAlign w:val="bottom"/>
          </w:tcPr>
          <w:p>
            <w:pPr>
              <w:spacing w:after="0"/>
              <w:rPr>
                <w:sz w:val="24"/>
                <w:szCs w:val="24"/>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Based on the approximately 3,603,750,474 shares of Comcast Class A common stock and</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9,444,375 shares of Comcast Class B common stock outstanding on November 21, 2025,</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and applying the distribution ratio of one share of Versant common stock for every twenty-</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five shares of Comcast common stock, Comcast will distribute approximately 144,150,019</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of Versant Class A common stock and approximately 377,775 shares of Versant</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Class B common stock to Comcast shareholders.</w:t>
            </w:r>
          </w:p>
        </w:tc>
      </w:tr>
      <w:tr>
        <w:trPr>
          <w:trHeight w:val="31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Ratio</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Each of Comcast’s shareholders as of the record date will be entitled to receive one share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of Versant Class A common stock or Versant Class B common stock for every twenty-five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shares of Comcast Class A common stock or Comcast Class B common stock, respectively,</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held by such shareholder on the record date.</w:t>
            </w:r>
          </w:p>
        </w:tc>
      </w:tr>
      <w:tr>
        <w:trPr>
          <w:trHeight w:val="31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Fractional Shares</w:t>
            </w: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Comcast will not distribute any fractional shares of Versant common stock to Comcast</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shareholders. Instead, as soon as practicable on or after the Distribution Date, the</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distribution agent will aggregate fractional shares of Versant Class A common stock into</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whole shares, sell the whole shares (or cause the whole shares to be sold) in the open</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market at prevailing prices and distribute the net cash proceeds, after deducting any</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applicable taxes, brokerage charges and commissions, on a pro-rata basis to each holder</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who would otherwise have been entitled to receive a fractional share in the Distribution.</w:t>
            </w:r>
          </w:p>
        </w:tc>
      </w:tr>
      <w:tr>
        <w:trPr>
          <w:trHeight w:val="216"/>
        </w:trPr>
        <w:tc>
          <w:tcPr>
            <w:tcW w:w="3320" w:type="dxa"/>
            <w:vAlign w:val="bottom"/>
          </w:tcPr>
          <w:p>
            <w:pPr>
              <w:spacing w:after="0"/>
              <w:rPr>
                <w:sz w:val="18"/>
                <w:szCs w:val="18"/>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distribution agent will determine when, how, through which broker-dealers and at what</w:t>
            </w:r>
          </w:p>
        </w:tc>
      </w:tr>
      <w:tr>
        <w:trPr>
          <w:trHeight w:val="234"/>
        </w:trPr>
        <w:tc>
          <w:tcPr>
            <w:tcW w:w="3320" w:type="dxa"/>
            <w:vAlign w:val="bottom"/>
          </w:tcPr>
          <w:p>
            <w:pPr>
              <w:spacing w:after="0"/>
              <w:rPr>
                <w:sz w:val="20"/>
                <w:szCs w:val="20"/>
                <w:color w:val="auto"/>
              </w:rPr>
            </w:pPr>
          </w:p>
        </w:tc>
        <w:tc>
          <w:tcPr>
            <w:tcW w:w="77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prices to sell the aggregated fractional</w:t>
            </w:r>
          </w:p>
        </w:tc>
      </w:tr>
      <w:tr>
        <w:trPr>
          <w:trHeight w:val="172"/>
        </w:trPr>
        <w:tc>
          <w:tcPr>
            <w:tcW w:w="3320" w:type="dxa"/>
            <w:vAlign w:val="bottom"/>
            <w:tcBorders>
              <w:bottom w:val="single" w:sz="8" w:color="auto"/>
            </w:tcBorders>
          </w:tcPr>
          <w:p>
            <w:pPr>
              <w:spacing w:after="0"/>
              <w:rPr>
                <w:sz w:val="14"/>
                <w:szCs w:val="14"/>
                <w:color w:val="auto"/>
              </w:rPr>
            </w:pPr>
          </w:p>
        </w:tc>
        <w:tc>
          <w:tcPr>
            <w:tcW w:w="7700" w:type="dxa"/>
            <w:vAlign w:val="bottom"/>
            <w:tcBorders>
              <w:bottom w:val="single" w:sz="8" w:color="auto"/>
            </w:tcBorders>
          </w:tcPr>
          <w:p>
            <w:pPr>
              <w:spacing w:after="0"/>
              <w:rPr>
                <w:sz w:val="14"/>
                <w:szCs w:val="14"/>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shares. Recipients of cash in lieu of fractional shares of Versant common stock will not be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entitled to any minimum sale price for the fractional shares or to any interest on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amounts of payments made in lieu of fractional shares. The receipt of cash in lieu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fractional shares generally will be taxable to the recipient shareholders for U.S. federal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income tax purposes as described in “The Separation—Material U.S. Federal Income Tax</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Distribution Method</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will be issued only by direct registration in book-entry</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form. Registration in book-entry form is a method of recording stock ownership when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physical paper share certificates are issued to shareholders, as is the case with respect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that will be distributed as part of the Distribution. Holders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of Versant Class B common stock will be issued share certificates.</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Distribution is subject to the satisfaction or waiver by Comcast of the following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conditions, as well as other conditions described in this information statement in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Separation—Conditions to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registration statement on Form 10, of which this information statement is a part,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will have become effective, no stop order suspending the effectiveness of our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 statement on Form 10 will be in effect, and no proceedings for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 will be pending before or threatened by the SEC, and this information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statement, or a notice of Internet availability thereof, will have been made available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the holders of Comcast common stock as of the record date for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Class A common stock to be delivered in the Distribution will have been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approved for listing on Nasdaq subject to official notice of issuance;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Comcast will have received the opinion of Davis Polk &amp; Wardwell LLP to the effect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that, for U.S. federal income tax purposes, the Distribution, together with certain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related transactions, will qualify as a “reorganization” within the meaning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Comcast creditors or shareholders in connection with the reorganization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purposes of Section 361(b) of the Code;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Any material governmental approvals and consents and any material permits,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registrations and consents from third parties, in each case, necessary to effect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Transactions or the Distribution will have been obtained;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No event or development will have occurred or exist that, in the judgment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Comcast Board, in its sole discretion, makes it inadvisable to effect the Distribution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or other transactions contemplated by the Separation and Distribution Agreement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by any of the ancillary agreements contemplated by the Separation and Distribution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Agreement.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The fulfillment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of the conditions to the Distribution will not create any obligations on Comcast’s part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effect the Distribution, and Comcast has reserved the right to abandon, modify or change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terms of the Separation, including by accelerating or delaying the timing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consummation of all or part of the Distribution, at any time prior to the Distribution Date.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Versant has been approved to have its shares of Class A common stock listed on Nasdaq</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ticker symbol “VSNT”, subject to official notice of issuance.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Separation, the declaration and amount of any dividends to holders of our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be at the discretion of our Board and will depend upon many factors, including our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financial condition, earnings, cash flows, capital requirements of our business, covenants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associated with our debt obligations, legal requirements, regulatory constraints, industry</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practice and any other factors the Board deems relevant. For more information, see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Equiniti Trust Company, LLC, with respect to the shares of Versant Class A common</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stock.</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 condition to the Distribution is Comcast’s receipt of the opinion of Davis Polk &amp;</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Wardwell LLP to the effect that, for U.S. federal income tax purposes, the Distribution,</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together with certain related transactions, will qualify as a “reorganization” within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meaning of Section 368(a)(1)(D) of the Code and a distribution to which Section 355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Comcast creditors or shareholders in connection with the reorganization for purposes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Section 361(b) of the Code. In that case, for U.S. federal income tax purposes,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 will be tax-free to beneficial owners of Comcast common stock, except to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extent of any cash received in lieu of fractional shares of Versant common stock. You</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should review the section entitled “The Separation—Material U.S. Federal Income Tax</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 for a discussion of the material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58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35" w:lineRule="exact"/>
        <w:rPr>
          <w:sz w:val="20"/>
          <w:szCs w:val="20"/>
          <w:color w:val="auto"/>
        </w:rPr>
      </w:pPr>
    </w:p>
    <w:p>
      <w:pPr>
        <w:ind w:left="1240" w:right="38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rebrands may result in customer confusion and disruption, leading to lower ratings and monetization.</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and/or acquire and integrate, other businesses, assets, products or technologies could harm our business, financial condition or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135" w:lineRule="exact"/>
        <w:rPr>
          <w:sz w:val="20"/>
          <w:szCs w:val="20"/>
          <w:color w:val="auto"/>
        </w:rPr>
      </w:pPr>
    </w:p>
    <w:p>
      <w:pPr>
        <w:ind w:left="1240" w:hanging="415"/>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combined financial statements and unaudited pro forma combined financial statements are not necessarily representative of the results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that we would have achieved as an independent, publicly traded company and may not be a reliable indicator of our future results.</w:t>
      </w:r>
    </w:p>
    <w:p>
      <w:pPr>
        <w:spacing w:after="0" w:line="131" w:lineRule="exact"/>
        <w:rPr>
          <w:sz w:val="20"/>
          <w:szCs w:val="20"/>
          <w:color w:val="auto"/>
        </w:rPr>
      </w:pPr>
    </w:p>
    <w:p>
      <w:pPr>
        <w:ind w:left="1240" w:hanging="415"/>
        <w:spacing w:after="0" w:line="282"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to create the infrastructure necessary to operate as an independent public company and may experience operational disruptions in connection with the Separation.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occurs, Comcast has sole discretion to change the terms of the Separation in ways that may be unfavorable to us.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shareholders do not have dissenters’ rights with respect to the Separation.</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135" w:lineRule="exact"/>
        <w:rPr>
          <w:sz w:val="20"/>
          <w:szCs w:val="20"/>
          <w:color w:val="auto"/>
        </w:rPr>
      </w:pPr>
    </w:p>
    <w:p>
      <w:pPr>
        <w:ind w:left="1240" w:right="40" w:hanging="415"/>
        <w:spacing w:after="0" w:line="266"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our shares are or will be eligible for future sale, which may cause the market price of our Class A common stock to decline.</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articles of incorporation and bylaws and certain provisions of Pennsylvania law could delay or prevent a change in control of Versant.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indebtedness and any preferred stock, and effectively subordinated to all indebtedness and preferred equity claims against our subsidiaries.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in the foreseeable future.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616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right="380" w:firstLine="426"/>
        <w:spacing w:after="0" w:line="254" w:lineRule="auto"/>
        <w:rPr>
          <w:sz w:val="20"/>
          <w:szCs w:val="20"/>
          <w:color w:val="auto"/>
        </w:rPr>
      </w:pPr>
      <w:r>
        <w:rPr>
          <w:rFonts w:ascii="Times New Roman" w:cs="Times New Roman" w:eastAsia="Times New Roman" w:hAnsi="Times New Roman"/>
          <w:sz w:val="18"/>
          <w:szCs w:val="18"/>
          <w:color w:val="auto"/>
        </w:rPr>
        <w:t>The following summary combined financial data of the Company should be read in conjunction with, and are qualified by reference to, the information under “Management’s Discussion and Analysis of Financial Condition and Results of Operations” and the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The combined statement of income data for the nine months ended September 30, 2025 and 2024, and the combined balance sheet data as of September 30, 2025 are derived from, and qualified by reference to, the unaudited condensed combined financial statements of the Company included elsewhere in this information statement, and should be read in conjunction with those combined financial statements and notes thereto.</w:t>
      </w:r>
    </w:p>
    <w:p>
      <w:pPr>
        <w:spacing w:after="0" w:line="188"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our combined financial statements and related notes appearing at the end of this information statement.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center"/>
              <w:ind w:left="9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86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2025 </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   2024 </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gridSpan w:val="6"/>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Versant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10"/>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3"/>
          </w:tcPr>
          <w:p>
            <w:pPr>
              <w:jc w:val="center"/>
              <w:ind w:right="660"/>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4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71"/>
              </w:rPr>
              <w:t>2024 </w:t>
            </w:r>
          </w:p>
        </w:tc>
        <w:tc>
          <w:tcPr>
            <w:tcW w:w="38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98"/>
              </w:rPr>
              <w:t>1,546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$ 2,211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$ 2,428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3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82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rPr>
              <w:t>$   (71)</w:t>
            </w:r>
          </w:p>
        </w:tc>
        <w:tc>
          <w:tcPr>
            <w:tcW w:w="18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(60)</w:t>
            </w:r>
          </w:p>
        </w:tc>
        <w:tc>
          <w:tcPr>
            <w:tcW w:w="22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$(2,355)</w:t>
            </w:r>
          </w:p>
        </w:tc>
        <w:tc>
          <w:tcPr>
            <w:tcW w:w="2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013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6"/>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11,310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w w:val="93"/>
              </w:rPr>
              <w:t>1,021</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1,422</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10,289</w:t>
            </w:r>
          </w:p>
        </w:tc>
        <w:tc>
          <w:tcPr>
            <w:tcW w:w="2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10,915</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11,677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tc>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top w:val="single" w:sz="8" w:color="auto"/>
              <w:bottom w:val="single" w:sz="8" w:color="auto"/>
            </w:tcBorders>
            <w:gridSpan w:val="2"/>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2025 </w:t>
            </w:r>
          </w:p>
        </w:tc>
        <w:tc>
          <w:tcPr>
            <w:tcW w:w="5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8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2024 </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6"/>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1,888</w:t>
            </w:r>
          </w:p>
        </w:tc>
        <w:tc>
          <w:tcPr>
            <w:tcW w:w="5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2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60" w:hanging="422"/>
        <w:spacing w:after="0" w:line="281" w:lineRule="auto"/>
        <w:tabs>
          <w:tab w:leader="none" w:pos="7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22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9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The number of subscribers to our networks has decreased over time, and may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MVPDs also may elect not to enter into agreements to distribute some or all of our networks as a result of changing market dynamics and industry consolidation.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Separation, our negotiating position with MVPDs may be weakened without the ability to sell our programming along with NBCU’s broadcast television networks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expect to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network rebrands may result in customer confusion and disruption, leading to lower ratings and monetization.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in August 2025 we announced the rebranding of MSNBC as MS NOW, which became effective in November 2025, and that Versant’s sports programming will come together under the new brand USA Sports. We will also remove the Peacock logo from our other networks, platforms and products in connection with the Separation. In addition, we will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87"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 including due to a deteriorating macroeconomic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98"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 Regulation.”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the Federal Communications Commission (“FCC”)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litigation or governmental investigation results could require us to pay significant amounts or lead to onerous operating procedures.</w:t>
      </w:r>
    </w:p>
    <w:p>
      <w:pPr>
        <w:spacing w:after="0" w:line="13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9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9"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5" w:lineRule="exact"/>
        <w:rPr>
          <w:sz w:val="20"/>
          <w:szCs w:val="20"/>
          <w:color w:val="auto"/>
        </w:rPr>
      </w:pPr>
    </w:p>
    <w:p>
      <w:pPr>
        <w:ind w:left="1080" w:right="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will require significant amounts of management’s time and effort, which may divert management’s attention from operating and growing our business;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we may be more susceptible to economic downturns and other adverse events than if we were still a part of Comcast;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required to separate the respective businesses could disrupt our operations.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266" w:lineRule="exact"/>
        <w:rPr>
          <w:sz w:val="20"/>
          <w:szCs w:val="20"/>
          <w:color w:val="auto"/>
        </w:rPr>
      </w:pPr>
    </w:p>
    <w:p>
      <w:pPr>
        <w:ind w:left="3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combined financial statements and unaudited pro forma combined financial statements are not necessarily representative of the results that we would have achieved as an independent, publicly traded company and may not be a reliable indicator of our future results.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information statement is not necessarily indicative of our future results of operations, financial condition or cash flows primarily because of the following factors:</w:t>
      </w:r>
    </w:p>
    <w:p>
      <w:pPr>
        <w:spacing w:after="0" w:line="89" w:lineRule="exact"/>
        <w:rPr>
          <w:sz w:val="20"/>
          <w:szCs w:val="20"/>
          <w:color w:val="auto"/>
        </w:rPr>
      </w:pPr>
    </w:p>
    <w:p>
      <w:pPr>
        <w:ind w:left="108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operated within Comcast’s corporate-wide cash management and centralized funding programs, and as an independent company our borrowing costs may significantly differ from Comcast’s borrowing costs;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“Unaudited Pro Forma Combined Financial Statements,” “Management’s Discussion and Analysis of Financial Condition and Results of Operations” and our combined financial statements and the notes to those statements included elsewhere in this information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operated within Comcast, and there are risks associated with the Separation.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9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will also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following the Separation, we will be subject to certain restrictions on our businesses that will prevent us from using certain trademarks to compete with certain Comcast businesses in certain international territories for a period after the expiration of the license. See “—Business Risk Factors—Our network rebrands may result in customer confusion and disruption, leading to lower ratings and monetization.”</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87"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Following the effectiveness of the registration statement of which this information statement forms a part, we will be directly subject to reporting and other obligations under the Exchange Act and the rules of Nasdaq. As an independent public company, we will be required to, among other things:</w:t>
      </w:r>
    </w:p>
    <w:p>
      <w:pPr>
        <w:spacing w:after="0" w:line="45" w:lineRule="exact"/>
        <w:rPr>
          <w:sz w:val="20"/>
          <w:szCs w:val="20"/>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Nasdaq.</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93"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Until the Separation occurs, Comcast has sole discretion to change the terms of the Separation in ways that may be unfavorable to us.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87" w:lineRule="exact"/>
        <w:rPr>
          <w:sz w:val="20"/>
          <w:szCs w:val="20"/>
          <w:color w:val="auto"/>
        </w:rPr>
      </w:pPr>
    </w:p>
    <w:p>
      <w:pPr>
        <w:jc w:val="both"/>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will agree to indemnify us for certain liabilities, and we will agree to indemnify Comcast for certain liabilities,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87" w:lineRule="exact"/>
        <w:rPr>
          <w:sz w:val="20"/>
          <w:szCs w:val="20"/>
          <w:color w:val="auto"/>
        </w:rPr>
      </w:pPr>
    </w:p>
    <w:p>
      <w:pPr>
        <w:jc w:val="both"/>
        <w:ind w:left="3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Notes. We also intend to enter into the TLB Credit Agreement with respect to the $1.0 billion Term B Loan Facility. We expect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“The Separation—Incurrence of Debt” and “Description of Material Indebtedness.” This level of debt could have significant consequences on our future operations, including:</w:t>
      </w:r>
    </w:p>
    <w:p>
      <w:pPr>
        <w:spacing w:after="0" w:line="94" w:lineRule="exact"/>
        <w:rPr>
          <w:sz w:val="20"/>
          <w:szCs w:val="20"/>
          <w:color w:val="auto"/>
        </w:rPr>
      </w:pPr>
    </w:p>
    <w:p>
      <w:pPr>
        <w:ind w:left="1080" w:right="2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the terms of the indebtedness we have incurred and expect to incur include and will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29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66"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Separation, some of our directors and officers may have actual or potential conflicts of interest because of their equity ownership in Comcast.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Comcast and Versant shares may not equal or exceed the pre-Distribution value of Comcast shares.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Separation, we expect that Comcast Class A common stock will continue to be traded on Nasdaq. We have been approved to list the shares of Versant Class A common stock on Nasdaq, subject to official notice of issuance. We cannot assure you that the 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shareholders do not have dissenters’ rights with respect to the Separation.</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80" w:lineRule="exact"/>
        <w:rPr>
          <w:sz w:val="20"/>
          <w:szCs w:val="20"/>
          <w:color w:val="auto"/>
        </w:rPr>
      </w:pPr>
    </w:p>
    <w:p>
      <w:pPr>
        <w:ind w:left="34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intended that the Distribution, together with certain related transactions, will qualify as a “reorganization” within the meaning of</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and the Comcast Cash Distribution will qualify as money distributed to Comcast creditors or shareholders in connection with the reorganization for purposes of Section 361(b) of the Code.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w:t>
      </w:r>
    </w:p>
    <w:p>
      <w:pPr>
        <w:spacing w:after="0" w:line="19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Transactions and Distribution fail to qualify for the intended tax treatment, for any reason, Comcast and/or holders of Comcast common stock could be subject to substantial U.S. and/or applicable non-U.S. taxes as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 result of the Separation, and we could incur significant liabilities under applicable law or as a result of the Tax Matters Agreement. See “The Separation—Material U.S. Federal Income Tax Consequences of the Distribution.”</w:t>
      </w:r>
    </w:p>
    <w:p>
      <w:pPr>
        <w:spacing w:after="0" w:line="266"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significant restrictions on our actions following the Separation in order to avoid triggering significant tax-related liabilities.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will prohibit us from taking certain actions that could cause the Distribution and certain related transactions to fail to qualify as tax-free transactions,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discontinue the active conduct of our business (within the meaning of Section 355(b)(2) of the Code);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225"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85"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our shares are or will be eligible for future sale, which may cause the market price of our Class A common stock to decline.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Separation, we estimate that we will have outstanding an aggregate of approximately 144,150,019 shares of our Class A common stock (based on 3,603,750,474 shares of Comcast Class A common stock outstanding on November 21,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 manner of sale and notice provisions of Rule 144 under the Securities Act. We estimate that our directors and executive officers, who may be considered “affiliates” for purposes of Rule 144, will beneficially own approximately 21,164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98"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2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 portion of Comcast’s outstanding Class A common stock is held by index funds tied to the Standard &amp; Poor’s 500 Index and other stock indices.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91"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6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93"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existing and future indebtedness and any preferred stock, and effectively subordinated to all indebtedness and preferred equity claims against our subsidiaries.</w:t>
      </w:r>
    </w:p>
    <w:p>
      <w:pPr>
        <w:spacing w:after="0" w:line="51" w:lineRule="exact"/>
        <w:rPr>
          <w:sz w:val="20"/>
          <w:szCs w:val="20"/>
          <w:color w:val="auto"/>
        </w:rPr>
      </w:pPr>
    </w:p>
    <w:p>
      <w:pPr>
        <w:jc w:val="both"/>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existing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Furthermore, our right to participate in a distribution of assets upon any of our subsidiaries’ liquidation or reorganization is subject to the prior claims of that subsidiary’s creditors and preferred shareholders.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in the foreseeable future.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87" w:lineRule="exact"/>
        <w:rPr>
          <w:sz w:val="20"/>
          <w:szCs w:val="20"/>
          <w:color w:val="auto"/>
        </w:rPr>
      </w:pPr>
    </w:p>
    <w:p>
      <w:pPr>
        <w:jc w:val="both"/>
        <w:ind w:left="34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6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December 16, 2025. Each of Comcast’s shareholders as of the record date will be entitled to receive one share of Versant Class A common stock or Versant Class B common stock for every twenty-five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70" w:lineRule="exact"/>
        <w:rPr>
          <w:sz w:val="20"/>
          <w:szCs w:val="20"/>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commercial arrangements.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Separation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63" w:lineRule="exact"/>
        <w:rPr>
          <w:sz w:val="20"/>
          <w:szCs w:val="20"/>
          <w:color w:val="auto"/>
        </w:rPr>
      </w:pPr>
    </w:p>
    <w:p>
      <w:pPr>
        <w:ind w:left="1080" w:hanging="424"/>
        <w:spacing w:after="0" w:line="257"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 Versant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shareholder returns. The Spin Business generated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90" w:lineRule="exact"/>
        <w:rPr>
          <w:sz w:val="20"/>
          <w:szCs w:val="20"/>
          <w:color w:val="auto"/>
        </w:rPr>
      </w:pPr>
    </w:p>
    <w:p>
      <w:pPr>
        <w:ind w:left="1080" w:right="80" w:hanging="424"/>
        <w:spacing w:after="0" w:line="259"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6"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 Separation, including the new indebtedness incurred and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 portion of the proceeds from the Versant indebtedness is expected to be used to make the Special Cash Payment of approximately $2.25 billion to Comcast as consideration for the contribution of Versant assets and such payment is expected be used by Comcast to repay existing Comcast indebtedness.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our common stock to Comcast shareholders. Instead, as soon as practicable on or after the Distribution Date, the distribution agent will</w:t>
      </w:r>
    </w:p>
    <w:p>
      <w:pPr>
        <w:ind w:left="120"/>
        <w:spacing w:after="0"/>
        <w:rPr>
          <w:sz w:val="20"/>
          <w:szCs w:val="20"/>
          <w:color w:val="auto"/>
        </w:rPr>
      </w:pPr>
      <w:r>
        <w:rPr>
          <w:rFonts w:ascii="Times New Roman" w:cs="Times New Roman" w:eastAsia="Times New Roman" w:hAnsi="Times New Roman"/>
          <w:sz w:val="18"/>
          <w:szCs w:val="18"/>
          <w:color w:val="auto"/>
        </w:rPr>
        <w:t>aggregate fractional shares of Versant Class A common stock into whole shares, sell the whole shares (or cause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 of Versant Shares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Comcast will distribute the shares of our common stock on January 2, 2026 to holders of record as of the close of business on the record date for the Distribution. The Distribution is expected to be completed following the market closing on the Distribution Date. Comcast’s transfer agent and registrar, Equiniti Trust Company, LLC, will serve as transfer agent and registrar for the Versant Class A common stock and as distribution agent in connection with the Distribution with respect to the Versant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77" w:lineRule="exact"/>
        <w:rPr>
          <w:sz w:val="20"/>
          <w:szCs w:val="20"/>
          <w:color w:val="auto"/>
        </w:rPr>
      </w:pPr>
    </w:p>
    <w:p>
      <w:pPr>
        <w:ind w:left="1080" w:right="200" w:hanging="424"/>
        <w:spacing w:after="0" w:line="26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If you own your shares of Comcast Class A common stock directly in book-entry form through an account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3"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7"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B common stock will be issued share certificates representing shares of Versant Class B common stock that such holders are entitled to receive.</w:t>
      </w:r>
    </w:p>
    <w:p>
      <w:pPr>
        <w:spacing w:after="0" w:line="63"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Shareholders</w:t>
      </w:r>
      <w:r>
        <w:rPr>
          <w:rFonts w:ascii="Times New Roman" w:cs="Times New Roman" w:eastAsia="Times New Roman" w:hAnsi="Times New Roman"/>
          <w:sz w:val="18"/>
          <w:szCs w:val="18"/>
          <w:color w:val="auto"/>
        </w:rPr>
        <w:t>. Many Comcast shareholders hold their shares of Comcast Class A common stock beneficially through a bank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 having shares of Versant Class A common stock held in “street name,” we encourage you to contact your bank or brokerage firm.</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Equity Compensation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accordance with the terms of the Comcast equity incentive plans. 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Separation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After the Separation, we will be an independent, publicly traded company that directly or indirectly holds the assets and liabilities comprising the Spin Business. Upon completion of the Separation, we estimate that we will have outstanding an aggregate of approximately 144,150,019 shares of our Class A common stock and 377,775 shares of our Class B common stock (based on 3,603,750,474 shares of Comcast Class A common stock and 9,444,375 shares of Comcast Class B common stock outstanding on November 21, 2025). Additionally, we expect to have approximately 289,085 Class A shareholders of record and one Class B shareholder of record, based on the number of registered shareholders of Comcast Class A common stock and Comcast Class B common stock outstanding, respectively, on November 21, 2025. The actual number of shares to be distributed will be determined on the record date.</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the Notes. We also intend to enter into the TLB Credit Agreement with respect to the $1.0 billion Term B Loan Facility. Commitments under the Term B Loan Facility were fully allocated in October 2025, subject to entry into of the TLB Credit Agreement which is expected to occur substantially concurrently with the consummation of the Separation.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“Description of Material Indebtedness.”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 In anticipation of the Separation, we entered into the TLA/Revolver Credit Agreement and the Indenture and we intend to enter into the TLB Credit Agreement, each of which could restrict our business and adversely impact our results of operations, financial condition or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Distribution to U.S. Holders (as defined below) of Comcast common stock. This discussion is based on the Code,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81" w:lineRule="exact"/>
        <w:rPr>
          <w:sz w:val="20"/>
          <w:szCs w:val="20"/>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as part of a hedge, appreciated financial position, straddle, conversion,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in a tax-deferred account, such as an individual retirement account;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acquired Comcast common stock pursuant to the exercise of options or similar derivative securities or otherwise as compensation.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which we refer to as the “Tax Opinion.” In rendering the Tax Opinion to be given as of the closing of the Separation, which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that the Distribution, together with certain related transactions, will qualify as a “reorganization” within the meaning of Section 368(a)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(1)(D) of the Code and a distribution to which Section 355 of the Code applies, and that the Transactions will qualify as transactions that are tax-free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in general,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Distribution will not result in the recognition of income, gain or loss to Comcast or 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U.S. Holders of Comcast common stock upon the receipt of our common stock in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if the Distribution, together with certain related transactions, does not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will be treated as a taxable dividend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Comcast common stock in an amount equal to the fair market value of our common stock received, to the extent of such holder’s ratable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Comcast’s earnings and profits. In addition, if the Separation does not qualify as a distribution to which Section 355 of the Code applies, Comcast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recognize significant taxable gain, which could result in significant tax to Comcast.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Treasury regulations generally require holders who own at least 5% of the total outstanding stock of Comcast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Comcast shareholder will have any dissenters’ rights in connection with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Class A Common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there is no public market for our Class A common stock. Versant has been approved to have its shares of Class A common stock listed on Nasdaq under the ticker symbol “VSNT”, subject to official notice of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Between Record Date and Distribution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Furthermore, beginning on December 15,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the Distribution will be effective on January 2, 2026, the Distribution Date, provided that, among other conditions described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and Distribution Agreement, the following conditions will have been satisfied or waived by Comcast in its sole discretion:</w:t>
      </w:r>
    </w:p>
    <w:p>
      <w:pPr>
        <w:spacing w:after="0" w:line="112" w:lineRule="exact"/>
        <w:rPr>
          <w:sz w:val="20"/>
          <w:szCs w:val="20"/>
          <w:color w:val="auto"/>
        </w:rPr>
      </w:pPr>
    </w:p>
    <w:p>
      <w:pPr>
        <w:ind w:left="1080" w:right="1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Separation-related restructuring and financing transactions contemplated by the Separation and Distribution Agreement will each have been completed;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will have approved the Distribution and will not have abandoned the Distribution or terminated the Separation and Distribution Agreement at any time prior to the Distribution;</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1"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 on Form 10, of which this information statement is a part, will have become effective,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to be delivered in the Distribution will have been approved for listing on Nasdaq subject to official notice of issuance;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contemplated by the Separation and Distribution Agreement will have been executed and delivered by the parties thereto;</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(the “Tax Opinion Condition”);</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Comcast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forms of the principal agreements described below have been filed as exhibits to the registration statement of which this information statement forms a part. The following descriptions of these agreements are summaries of the material terms of these agreements.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Distribution Agreement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5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the receipt of required governmental and other consents and approvals and the satisfaction of other closing conditions, in order to accomplish the Separation, the Separation and Distribution Agreement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8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77"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81" w:lineRule="exact"/>
        <w:rPr>
          <w:sz w:val="20"/>
          <w:szCs w:val="20"/>
          <w:color w:val="auto"/>
        </w:rPr>
      </w:pPr>
    </w:p>
    <w:p>
      <w:pPr>
        <w:ind w:left="1080" w:right="22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grant Comcast a non-exclusive, worldwide, perpetual, irrevocable, fully paid-up and royalty-free license to the patents and trade secrets transferred to us in connection with the Separation in order for Comcast to continue operating its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from Comcast a non-exclusive, worldwide, perpetual, irrevocable, fully paid-up and royalty-free license to certain patents and trade secrets retained by Comcast, including those that were used in the Spin Business as of the Distribution, in order for us to continue operating the Spin Business.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will be required to cease any consumer-facing use of the brands and trademarks that are being retained by Comcast, but will have up to 12 months following the Separation to cease the internal use of those brands and trademarks. These limitations do not apply to any brands or trademarks licensed to us from Comcast for a longer duration under a separate agreement, such as our license to the CNBC brand as described in “Risk Factors—Spin-Related Risk Factors—We have historically operated within Comcast, and there are risks associated with the Separation.”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the Tax Matters Agreement will govern the rights and obligations that we and Comcast have after the Separation with respect to taxes for both pre- and post-closing periods. Under the Tax Matters 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78"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our trade or business;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our stock or other securities (including securities convertible into our stock but excluding certain compensatory arrangements);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incorporation (or other organizational documents) or taking any other action, whether through a shareholder vote or otherwise, affecting the voting rights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20" w:top="455" w:right="5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Arrangements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w:t>
      </w:r>
    </w:p>
    <w:p>
      <w:pPr>
        <w:spacing w:after="0" w:line="8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use of our advertising and promotional inventory;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or use, as applicable, by Comcast and NBCUniversal of certain of our networks, content, trademarks and applications on their own and certain third-party platforms and networks, along with certain related sales, marketing and other support services;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purchase agreements for each party to exhibit certain sports programming on the other party’s networks and platforms;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similar arrangements relating to our use of certain entertainment and news content and trademark rights owned by NBCUniversal and its affiliates, as well as the use by Comcast and its affiliates of certain of our content, data and trademarks.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and “—Business Risk Factors—Our network rebrands may result in customer confusion and disruption, leading to lower ratings and monetization.”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 of Our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21,164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97" w:lineRule="exact"/>
        <w:rPr>
          <w:sz w:val="20"/>
          <w:szCs w:val="20"/>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that has become effective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exemption from registration under the Securities Act, such as the exemption afforded by Rule 144.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an affiliate will be entitled to sell, within any three-month period, a number of shares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does not exceed the greater of:</w:t>
      </w:r>
    </w:p>
    <w:p>
      <w:pPr>
        <w:spacing w:after="0" w:line="112"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our Class A common stock then outstanding;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for the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our existing and future debt or preferred securities we issue or any credit facilities we enter into. See “Risk Factors—Common Stock Risk Factors.”</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320" w:top="455" w:right="6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2025 on a historical and pro forma basis to give effect to the Separation and other matters, as discussed in “The Separation.”</w:t>
      </w:r>
    </w:p>
    <w:p>
      <w:pPr>
        <w:spacing w:after="0" w:line="162"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the following table together with “Management’s Discussion and Analysis of Financial Condition and Results of Operations,” “Unaudited Pro Forma Combined Financial Statements ,” “Description of Material Indebtedness” and our combined financial statements and the related notes included elsewhere in this information statement.</w:t>
      </w:r>
    </w:p>
    <w:p>
      <w:pPr>
        <w:spacing w:after="0" w:line="176" w:lineRule="exact"/>
        <w:rPr>
          <w:sz w:val="20"/>
          <w:szCs w:val="20"/>
          <w:color w:val="auto"/>
        </w:rPr>
      </w:pPr>
    </w:p>
    <w:p>
      <w:pPr>
        <w:jc w:val="both"/>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September 30, 2025 and is not necessarily indicative of our future capitalization or financial condition.</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We intend to update our financial information to reflect our post-Distribution capitalization in a subsequent amendment to this information statement.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A Loan Facility</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Term B Loan Facility</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Notes due 2031</w:t>
            </w:r>
            <w:r>
              <w:rPr>
                <w:rFonts w:ascii="Times New Roman" w:cs="Times New Roman" w:eastAsia="Times New Roman" w:hAnsi="Times New Roman"/>
                <w:sz w:val="25"/>
                <w:szCs w:val="25"/>
                <w:color w:val="auto"/>
                <w:vertAlign w:val="superscript"/>
              </w:rPr>
              <w:t>(4)</w:t>
            </w: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Less: deferred debt issuance costs</w:t>
            </w:r>
            <w:r>
              <w:rPr>
                <w:rFonts w:ascii="Times New Roman" w:cs="Times New Roman" w:eastAsia="Times New Roman" w:hAnsi="Times New Roman"/>
                <w:sz w:val="25"/>
                <w:szCs w:val="25"/>
                <w:color w:val="auto"/>
                <w:vertAlign w:val="superscript"/>
              </w:rPr>
              <w:t>(5)</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$0.01 per share; 7,500,000,000 shares authorized,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144,150,019 shares issued and outstanding, pro forma</w:t>
            </w:r>
            <w:r>
              <w:rPr>
                <w:rFonts w:ascii="Times New Roman" w:cs="Times New Roman" w:eastAsia="Times New Roman" w:hAnsi="Times New Roman"/>
                <w:sz w:val="26"/>
                <w:szCs w:val="26"/>
                <w:color w:val="auto"/>
                <w:vertAlign w:val="superscript"/>
              </w:rPr>
              <w:t>(6)</w:t>
            </w:r>
          </w:p>
        </w:tc>
        <w:tc>
          <w:tcPr>
            <w:tcW w:w="160" w:type="dxa"/>
            <w:vAlign w:val="bottom"/>
          </w:tcPr>
          <w:p>
            <w:pPr>
              <w:spacing w:after="0"/>
              <w:rPr>
                <w:sz w:val="20"/>
                <w:szCs w:val="20"/>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80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$0.01 per share; 75,000,000 shares authorized, 377,775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gridSpan w:val="2"/>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shares issued and outstanding, pro forma</w:t>
            </w:r>
            <w:r>
              <w:rPr>
                <w:rFonts w:ascii="Times New Roman" w:cs="Times New Roman" w:eastAsia="Times New Roman" w:hAnsi="Times New Roman"/>
                <w:sz w:val="26"/>
                <w:szCs w:val="26"/>
                <w:color w:val="auto"/>
                <w:vertAlign w:val="superscript"/>
              </w:rPr>
              <w:t>(6)</w:t>
            </w:r>
          </w:p>
        </w:tc>
        <w:tc>
          <w:tcPr>
            <w:tcW w:w="16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Net investment by Comcast</w:t>
            </w:r>
            <w:r>
              <w:rPr>
                <w:rFonts w:ascii="Times New Roman" w:cs="Times New Roman" w:eastAsia="Times New Roman" w:hAnsi="Times New Roman"/>
                <w:sz w:val="25"/>
                <w:szCs w:val="25"/>
                <w:color w:val="auto"/>
                <w:vertAlign w:val="superscript"/>
              </w:rPr>
              <w:t>(6)</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10,176</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5"/>
                <w:szCs w:val="25"/>
                <w:color w:val="auto"/>
                <w:vertAlign w:val="superscript"/>
              </w:rPr>
              <w:t>(6)</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16"/>
        </w:trPr>
        <w:tc>
          <w:tcPr>
            <w:tcW w:w="8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18"/>
                <w:szCs w:val="18"/>
                <w:color w:val="auto"/>
              </w:rPr>
            </w:pPr>
          </w:p>
        </w:tc>
        <w:tc>
          <w:tcPr>
            <w:tcW w:w="16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88"/>
              </w:rPr>
              <w:t>119</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10,289</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7,835</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20" w:hanging="424"/>
        <w:spacing w:after="0" w:line="255"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cash equivalents actually held by Versant after giving effect to the Separation, the receipt of the proceeds from the Debt Financing Transactions (as defined below) and the payment of the Special Cash Payment will vary, and will depend upon, among other things, working capital and other adjustments (including adjustments related to the payment of fees and expenses related to the Debt Financing Transactions) prior to the Separation.</w:t>
      </w:r>
    </w:p>
    <w:p>
      <w:pPr>
        <w:spacing w:after="0" w:line="2" w:lineRule="exact"/>
        <w:rPr>
          <w:rFonts w:ascii="Times New Roman" w:cs="Times New Roman" w:eastAsia="Times New Roman" w:hAnsi="Times New Roman"/>
          <w:sz w:val="18"/>
          <w:szCs w:val="18"/>
          <w:color w:val="auto"/>
        </w:rPr>
      </w:pPr>
    </w:p>
    <w:p>
      <w:pPr>
        <w:ind w:left="540" w:right="220" w:hanging="424"/>
        <w:spacing w:after="0" w:line="26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under the Term B Loan Facility were fully allocated in October 2025, subject to entry into of the TLB Credit Agreement which is expected to occur substantially concurrently with the consummation of the Separation.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2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on a pro forma basis, the $750 million Revolving Credit Facility would have been undrawn and all amounts would have been available for borrowing thereunder.</w:t>
      </w:r>
    </w:p>
    <w:p>
      <w:pPr>
        <w:ind w:left="540" w:right="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Notes, together with certain additional amounts contributed by Comcast, were deposited into the Escrow Account (as defined herein) and will be released upon the satisfaction of the conditions set forth in the escrow agreement (as described under “Description of Material Indebtedness—Senior Secured Notes”) in connection with the consummation of the Separation.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 million of estimated debt issuance costs incurred in connection with entrance into the Term A Loan Facility, the Term B Loan Facility, the Revolving Credit Facility and issuance of the Notes, comprised of (i) structuring and commitment fees related to the financings, (ii) arranger fees and OID related to the Term B Loan Facility, and (iii) the initial purchasers’ discount to the offering price and the offering expenses of the Notes.</w:t>
      </w:r>
    </w:p>
    <w:p>
      <w:pPr>
        <w:spacing w:after="0" w:line="1" w:lineRule="exact"/>
        <w:rPr>
          <w:rFonts w:ascii="Times New Roman" w:cs="Times New Roman" w:eastAsia="Times New Roman" w:hAnsi="Times New Roman"/>
          <w:sz w:val="18"/>
          <w:szCs w:val="18"/>
          <w:color w:val="auto"/>
        </w:rPr>
      </w:pPr>
    </w:p>
    <w:p>
      <w:pPr>
        <w:jc w:val="both"/>
        <w:ind w:left="540" w:right="40" w:hanging="424"/>
        <w:spacing w:after="0" w:line="253"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Separation, Comcast’s net investment in us will be eliminated to reflect the distribution of our common stock to Comcast’s shareholders. The number of shares of Class A and Class B common stock outstanding on a pro forma basis is based on the approximately 3,603,750,474 shares of Comcast Class A common stock and 9,444,375 shares of Comcast Class B common stock outstanding on November 21, 2025, after applying the distribution ratio of one share of Versant common stock for every twenty-five shares of Comcast common stock.</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320" w:top="455"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(the “pro forma financial statements”) were prepared in accordance with Article 11 of Regulation S-X and consist of unaudited pro forma combined statements of income for the nine months ended September 30, 2025 and the year ended December 31, 2024 (collectively, the “pro forma statements of income”), an unaudited pro forma combined balance sheet (the “pro forma balance sheet”) as of September 30, 2025 and related notes. The pro forma financial statements reflect adjustments to our unaudited condensed combined statement of income for the nine months ended September 30, 2025, our audited combined statement of income for the year ended December 31, 2024 and our unaudited condensed combined balance sheet as of September 30, 2025 (collectively, the “combined financial statements”).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statements of income give effect to the Separation and related transactions, described below, as if they had occurred on January 1, 2024, the beginning of our most recently completed fiscal year. The pro forma balance sheet gives effect to the Separation and related transactions as if they occurred as of September 30, 2025, our latest balance sheet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85" w:lineRule="exact"/>
        <w:rPr>
          <w:sz w:val="20"/>
          <w:szCs w:val="20"/>
          <w:color w:val="auto"/>
        </w:rPr>
      </w:pPr>
    </w:p>
    <w:p>
      <w:pPr>
        <w:ind w:left="1080" w:right="2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the combined financial statements;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post-Distribution capital structure, including (i) the issuance of approximately 144,150,019 shares of our Class A common stock and 377,775 shares of our Class B common stock to holders of Comcast common stock in connection with the Separation and (ii) the Debt Financing Transactions;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and Employee Matters Agreement, both to be entered into with Comcast in connection with the Separation;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certain other commercial agreements to be entered into with Comcast in connection with the Separation (see “The Separation—Agreements with Comcast”);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 expenses primarily related to personnel, advertising and marketing, facilities, information technology and network communications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support and other overhead functions) and certain corporate administrative services (including charges for services such as accounting, tax, treasury and cash management, insurance, legal and risk management) that were provided to us by Comcast. See Note 5 to the unaudited condensed combined financial statements and Note 10 to the audited combined financial statements included elsewhere in this information statement for further information.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5"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2"/>
                <w:szCs w:val="12"/>
                <w:color w:val="auto"/>
              </w:rPr>
            </w:pPr>
          </w:p>
        </w:tc>
        <w:tc>
          <w:tcPr>
            <w:tcW w:w="10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8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5,078</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5,078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16"/>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g,h,j</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953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4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86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$7,062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3,064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1,167</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272</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g,h,j</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989</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6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265</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(265)</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1,619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1,843</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(478)</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62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7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705</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1,194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7,732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11,310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11,811</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h,j</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2,835</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Comcast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10,176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a,b,c,d,e,f</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7,747</w:t>
            </w:r>
          </w:p>
        </w:tc>
        <w:tc>
          <w:tcPr>
            <w:tcW w:w="13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h,j</w:t>
            </w: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10,170</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10,289</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11,310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496</w:t>
            </w:r>
          </w:p>
        </w:tc>
        <w:tc>
          <w:tcPr>
            <w:tcW w:w="1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11,811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Pro Forma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of income for the nine months ended September 30, 2025 and the year ended December 31, 2024 and the unaudited pro forma combined balance sheet as of September 30, 2025 include the following adjustments: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540" w:right="80" w:hanging="424"/>
        <w:spacing w:after="0" w:line="261"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separation charges we expect to incur through the closing of the Separation. These adjustments include estimated non-recurring expenses of $5 million recorded in selling, general and administrative expenses for the year ended December 31, 2024, and the related accrual of $5 million as of September 30, 2025 recorded in accrued expenses and other current liabilities. Actual charges that will be incurred could be different from these estimates.</w:t>
      </w:r>
    </w:p>
    <w:p>
      <w:pPr>
        <w:spacing w:after="0" w:line="85" w:lineRule="exact"/>
        <w:rPr>
          <w:rFonts w:ascii="Times New Roman" w:cs="Times New Roman" w:eastAsia="Times New Roman" w:hAnsi="Times New Roman"/>
          <w:sz w:val="18"/>
          <w:szCs w:val="18"/>
          <w:color w:val="auto"/>
        </w:rPr>
      </w:pPr>
    </w:p>
    <w:p>
      <w:pPr>
        <w:ind w:left="540" w:hanging="424"/>
        <w:spacing w:after="0" w:line="252"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impacts of assets, and related liabilities and expenses, that, pursuant to the terms of the Separation and Distribution Agreement, are expected to be contributed to Versant, but were shared assets for the periods presented in the combined financial statements and therefore were excluded from the combined financial statements. These adjustments resulted in additional assets of $266 million primarily related to owned or leased operating facilities and related equipment (including the key operational hub located in Englewood Cliffs, New Jersey) and third-party agreements for content along with $47 million of related liabilities. The unaudited pro forma combined statements of income include adjustments to add related depreciation expense and costs of revenue, and remove amounts previously allocated to selling, general and administrative expenses for such shared assets. These adjustments also reflect the impact of assets and related liabilities and expenses that were historically dedicated to the Versant businesses and included in our combined financial statements, but which are expected to remain with Comcast. Certain accounts receivable and liabilities totaling $421 million and $99 million, respectively, related to activities that will be covered under the commercial services agreement for the sale and use of our advertising and promotional inventory will be retained by Comcast. Comcast is expected to make a cash payment to Versant prior to the Separation, which will include the net amount of these receivables, liabilities and certain other transition and working capital items at the time of Separation. Additionally, $53 million of assets were removed related to the MSNBC and CNBC trademarks. The unaudited pro forma combined statements of income includes adjustments to remove related depreciation and amortization expenses related to these trademarks and add estimated costs associated with trademark license agreements between Comcast and Versant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w:t>
      </w:r>
    </w:p>
    <w:p>
      <w:pPr>
        <w:spacing w:after="0" w:line="98" w:lineRule="exact"/>
        <w:rPr>
          <w:rFonts w:ascii="Times New Roman" w:cs="Times New Roman" w:eastAsia="Times New Roman" w:hAnsi="Times New Roman"/>
          <w:sz w:val="18"/>
          <w:szCs w:val="18"/>
          <w:color w:val="auto"/>
        </w:rPr>
      </w:pPr>
    </w:p>
    <w:p>
      <w:pPr>
        <w:ind w:left="540" w:right="80" w:hanging="424"/>
        <w:spacing w:after="0" w:line="254"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reflects the following senior secured financing arrangements (the “Debt Financing Transactions”): (i) the TLA/Revolver Credit Agreement, dated October 3, 2025, consisting of (A) the $1.0 billion Term A Loan Facility and (B) the $750 million Revolving Credit Facility; (ii) the Indenture, dated October 29, 2025, with respect to the $1.0 billion aggregate principal amount of Notes; and (iii) the TLB Credit Agreement, expected to be entered into in connection with the Separation, consisting of the $1.0 billion Term B Loan Facility. A portion of the proceeds of such indebtedness is expected to be used to fund the Special Cash Payment of approximately</w:t>
      </w:r>
    </w:p>
    <w:p>
      <w:pPr>
        <w:spacing w:after="0" w:line="3"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billion to Comcast as consideration for assets that will be contributed to us in connection with the Separation, with the remainder being used for general corporate purposes. The amount of cash and cash equivalents actually held by Versant after giving effect to the Separation, the receipt of the proceeds from the Debt Financing Transactions and the payment of the Special Cash Payment may vary, and will depend upon, among other things, working capital and other adjustments prior to the Separation.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spacing w:after="0" w:line="266" w:lineRule="auto"/>
        <w:rPr>
          <w:sz w:val="20"/>
          <w:szCs w:val="20"/>
          <w:color w:val="auto"/>
        </w:rPr>
      </w:pPr>
      <w:r>
        <w:rPr>
          <w:rFonts w:ascii="Times New Roman" w:cs="Times New Roman" w:eastAsia="Times New Roman" w:hAnsi="Times New Roman"/>
          <w:sz w:val="18"/>
          <w:szCs w:val="18"/>
          <w:color w:val="auto"/>
        </w:rPr>
        <w:t>The debt, including the expected TLB Credit Agreement, has maturities of approximately five years and an estimated weighted average interest rate of 6.7%. A hypothetical 1/8% change to the interest rate would change interest expense by $3 million and $4 million for the nine months ended September 30, 2025 and the year ended December 31, 2024, respectively.</w:t>
      </w:r>
    </w:p>
    <w:p>
      <w:pPr>
        <w:spacing w:after="0" w:line="68" w:lineRule="exact"/>
        <w:rPr>
          <w:sz w:val="20"/>
          <w:szCs w:val="20"/>
          <w:color w:val="auto"/>
        </w:rPr>
      </w:pPr>
    </w:p>
    <w:p>
      <w:pPr>
        <w:ind w:left="560" w:right="240"/>
        <w:spacing w:after="0" w:line="266" w:lineRule="auto"/>
        <w:rPr>
          <w:sz w:val="20"/>
          <w:szCs w:val="20"/>
          <w:color w:val="auto"/>
        </w:rPr>
      </w:pPr>
      <w:r>
        <w:rPr>
          <w:rFonts w:ascii="Times New Roman" w:cs="Times New Roman" w:eastAsia="Times New Roman" w:hAnsi="Times New Roman"/>
          <w:sz w:val="18"/>
          <w:szCs w:val="18"/>
          <w:color w:val="auto"/>
        </w:rPr>
        <w:t>Debt issuance costs associated with the indebtedness are estimated to be $45 million and presented as a reduction of our noncurrent portion of debt and amortized interest expense. See “Capitalization”, “Management’s Discussion and Analysis of Financial Condition and Results of Operations—Liquidity and Capital Resources” and “Description of Material Indebtedness” for additional details.</w:t>
      </w:r>
    </w:p>
    <w:p>
      <w:pPr>
        <w:spacing w:after="0" w:line="81" w:lineRule="exact"/>
        <w:rPr>
          <w:sz w:val="20"/>
          <w:szCs w:val="20"/>
          <w:color w:val="auto"/>
        </w:rPr>
      </w:pPr>
    </w:p>
    <w:p>
      <w:pPr>
        <w:ind w:left="540" w:right="140" w:hanging="424"/>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Pro Forma Transactions and the pro forma adjustments using an estimated income tax rate of 26% for the nine months ended September 30, 2025 and the year ended December 31, 2024, 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85"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$68 million of obligations related to certain employee plans expected to be transferred from Comcast to Versant prior to the Separation pursuant to the terms of the Employee Matters Agreement. This adjustment also reflects $47 million of employee-related obligations included in our combined financial statements, but which are expected to be retained by Comcast pursuant to the terms of the Employee Matters Agreement.</w:t>
      </w:r>
    </w:p>
    <w:p>
      <w:pPr>
        <w:spacing w:after="0" w:line="8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shares of our Class A common stock with a par value of $0.01 per share and Class B common stock with a par value of $0.01 per share pursuant to the Separation and Distribution Agreement and the related reclassification of Comcast’s net investment in our Company with a corresponding net increase in additional paid-in capital. We have assumed the number of outstanding shares of our Class A common stock and Class B common stock based on shares of Comcast common stock outstanding, on the basis of the distribution ratio of one share of our common stock distributed for every twenty-five shares of Comcast common stock, and using approximately 3,603,750,474 shares of Comcast Class A common stock and 9,444,375 shares of Comcast Class B common stock outstanding as of November 21, 2025. The actual number of shares issued will not be known until the record date for the distribution.</w:t>
      </w:r>
    </w:p>
    <w:p>
      <w:pPr>
        <w:spacing w:after="0" w:line="80"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amounts reclassified from net investment by Comcast to additional paid-in capital (in millions):</w:t>
      </w:r>
    </w:p>
    <w:p>
      <w:pPr>
        <w:spacing w:after="0" w:line="14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investment by Comcast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10,176</w:t>
            </w:r>
          </w:p>
        </w:tc>
      </w:tr>
      <w:tr>
        <w:trPr>
          <w:trHeight w:val="216"/>
        </w:trPr>
        <w:tc>
          <w:tcPr>
            <w:tcW w:w="9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Separation charges</w:t>
            </w:r>
            <w:r>
              <w:rPr>
                <w:rFonts w:ascii="Times New Roman" w:cs="Times New Roman" w:eastAsia="Times New Roman" w:hAnsi="Times New Roman"/>
                <w:sz w:val="25"/>
                <w:szCs w:val="25"/>
                <w:color w:val="auto"/>
                <w:vertAlign w:val="superscript"/>
              </w:rPr>
              <w:t>(a)</w:t>
            </w: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Asset transfers</w:t>
            </w:r>
            <w:r>
              <w:rPr>
                <w:rFonts w:ascii="Times New Roman" w:cs="Times New Roman" w:eastAsia="Times New Roman" w:hAnsi="Times New Roman"/>
                <w:sz w:val="25"/>
                <w:szCs w:val="25"/>
                <w:color w:val="auto"/>
                <w:vertAlign w:val="superscript"/>
              </w:rPr>
              <w:t>(b)</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9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Special cash payment</w:t>
            </w:r>
            <w:r>
              <w:rPr>
                <w:rFonts w:ascii="Times New Roman" w:cs="Times New Roman" w:eastAsia="Times New Roman" w:hAnsi="Times New Roman"/>
                <w:sz w:val="25"/>
                <w:szCs w:val="25"/>
                <w:color w:val="auto"/>
                <w:vertAlign w:val="superscript"/>
              </w:rPr>
              <w:t>(c)</w:t>
            </w: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9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taxes</w:t>
            </w:r>
            <w:r>
              <w:rPr>
                <w:rFonts w:ascii="Times New Roman" w:cs="Times New Roman" w:eastAsia="Times New Roman" w:hAnsi="Times New Roman"/>
                <w:sz w:val="25"/>
                <w:szCs w:val="25"/>
                <w:color w:val="auto"/>
                <w:vertAlign w:val="superscript"/>
              </w:rPr>
              <w:t>(d)</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Employee-related obligations</w:t>
            </w:r>
            <w:r>
              <w:rPr>
                <w:rFonts w:ascii="Times New Roman" w:cs="Times New Roman" w:eastAsia="Times New Roman" w:hAnsi="Times New Roman"/>
                <w:sz w:val="25"/>
                <w:szCs w:val="25"/>
                <w:color w:val="auto"/>
                <w:vertAlign w:val="superscript"/>
              </w:rPr>
              <w:t>(e)</w:t>
            </w:r>
          </w:p>
        </w:tc>
        <w:tc>
          <w:tcPr>
            <w:tcW w:w="8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value of Class A and Class B common stock</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540" w:hanging="424"/>
        <w:spacing w:after="0" w:line="256"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effects of commercial arrangements that Versant and Comcast will enter into in connection with the Separation described under “The Separation—Agreements with Comcast—Certain Commercial Arrangements.” Included in the pro forma combined statements of income for the nine months ended September 30, 2025 and the year ended December 31, 2024 are adjustments for the differences in costs for these agreements, primarily related to the commercial services agreement for the sale and use of our advertising and promotional inventory compared to previously allocated costs, including adjustments to costs of revenue of $(6) million and $(7) million, respectively, and selling, general, and administrative expenses of $134 million and $212 million, respectively.</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55" w:right="5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4"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charges we expect to incur within one year of the Separation to establish Versant as an independent standalone company. These charges primarily relate to systems costs and vendor fees totaling $10 million and $45 million for the nine months ended September 30, 2025 and the year ended December 31, 2024, respectively, recorded in selling, general and administrative expenses, and the related accrual of $25 million, as of September 30, 2025, recorded in accrued expenses and other current liabilities. The adjustments also include estimated incremental share-based compensation costs related to initial equity awards expected to be granted to certain executives in connection with the Separation. The awards are expected to vest over a three-year period with estimated expense totaling $8 million and $10 million for the nine months ended September 30, 2025 and the year ended December 31, 2024, respectively. Actual charges that will be incurred could be different from these estimates.</w:t>
      </w:r>
    </w:p>
    <w:p>
      <w:pPr>
        <w:spacing w:after="0" w:line="9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as described above (d).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agreements for facilities that have been entered into or will be entered into prior to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135" w:lineRule="exact"/>
        <w:rPr>
          <w:sz w:val="20"/>
          <w:szCs w:val="20"/>
          <w:color w:val="auto"/>
        </w:rPr>
      </w:pPr>
    </w:p>
    <w:p>
      <w:pPr>
        <w:ind w:left="540" w:hanging="424"/>
        <w:spacing w:after="0" w:line="258"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did not have common shares outstanding in the combined financial statements. The weighted average number of shares used to compute pro forma basic earnings per share for the nine months ended September 30, 2025 and for the year ended December 31, 2024 is based on the distribution ratio of one share of our common stock distributed for every twenty-five shares of Comcast common stock, and using approximately 3,603,750,474 shares of Comcast Class A common stock and 9,444,375 shares of Comcast Class B common stock outstanding as of November 21, 2025.</w:t>
      </w:r>
    </w:p>
    <w:p>
      <w:pPr>
        <w:spacing w:after="0" w:line="75" w:lineRule="exact"/>
        <w:rPr>
          <w:rFonts w:ascii="Times New Roman" w:cs="Times New Roman" w:eastAsia="Times New Roman" w:hAnsi="Times New Roman"/>
          <w:sz w:val="18"/>
          <w:szCs w:val="18"/>
          <w:color w:val="auto"/>
        </w:rPr>
      </w:pPr>
    </w:p>
    <w:p>
      <w:pPr>
        <w:ind w:left="5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administrative and support functions. We received the benefit of economies of scale as a business unit or division as part of Comcast’s broader corporate organization and our combined financial statements included allocations related to the costs of these functions; however, in establishing these independent support functions, the expenses may significantly differ from the prior amounts allocated.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 standalone public company, we expect to incur certain dis-synergies and incremental public company costs, or higher costs in addition to those included as transaction accounting and autonomous entity adjustments noted above. These costs primarily include the recurring and ongoing costs required to operate new functions required for a public company such as external reporting, internal audit, treasury, investor relations, board of directors, stock administration, and expanding the services of existing functions such as information technology, finance, supply chain, human resources, legal, tax, facilities, branding, security, government relations, community outreach and insurance.</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estimated that we would have incurred approximately $145 million of additional expenses (including costs related to personnel of approximately $21 million and vendor and other costs of approximately $124 million) for the nine months ended September 30, 2025 and approximately $273 million of additional expenses (including costs related to personnel of approximately $78 million and vendor and other costs of approximately $195 million) for the year ended December 31, 2024.</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costs each function will require to operate Versant as a standalone public company as compared to the relevant allocated costs recorded within the combined financial statements.</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These estimates are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our operations.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87"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9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8"/>
        </w:trPr>
        <w:tc>
          <w:tcPr>
            <w:tcW w:w="12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except per</w:t>
            </w:r>
          </w:p>
        </w:tc>
      </w:tr>
      <w:tr>
        <w:trPr>
          <w:trHeight w:val="173"/>
        </w:trPr>
        <w:tc>
          <w:tcPr>
            <w:tcW w:w="12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09"/>
        </w:trPr>
        <w:tc>
          <w:tcPr>
            <w:tcW w:w="101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4"/>
                <w:szCs w:val="24"/>
                <w:color w:val="auto"/>
                <w:vertAlign w:val="superscript"/>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r>
      <w:tr>
        <w:trPr>
          <w:trHeight w:val="23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r>
      <w:tr>
        <w:trPr>
          <w:trHeight w:val="117"/>
        </w:trPr>
        <w:tc>
          <w:tcPr>
            <w:tcW w:w="1220" w:type="dxa"/>
            <w:vAlign w:val="bottom"/>
            <w:tcBorders>
              <w:bottom w:val="single" w:sz="8" w:color="auto"/>
            </w:tcBorders>
          </w:tcPr>
          <w:p>
            <w:pPr>
              <w:spacing w:after="0"/>
              <w:rPr>
                <w:sz w:val="10"/>
                <w:szCs w:val="10"/>
                <w:color w:val="auto"/>
              </w:rPr>
            </w:pPr>
          </w:p>
        </w:tc>
        <w:tc>
          <w:tcPr>
            <w:tcW w:w="8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40"/>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12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9"/>
        </w:trPr>
        <w:tc>
          <w:tcPr>
            <w:tcW w:w="12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except per</w:t>
            </w:r>
          </w:p>
        </w:tc>
      </w:tr>
      <w:tr>
        <w:trPr>
          <w:trHeight w:val="173"/>
        </w:trPr>
        <w:tc>
          <w:tcPr>
            <w:tcW w:w="12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 data)</w:t>
            </w:r>
          </w:p>
        </w:tc>
      </w:tr>
      <w:tr>
        <w:trPr>
          <w:trHeight w:val="210"/>
        </w:trPr>
        <w:tc>
          <w:tcPr>
            <w:tcW w:w="101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4"/>
                <w:szCs w:val="24"/>
                <w:color w:val="auto"/>
                <w:vertAlign w:val="superscript"/>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r>
      <w:tr>
        <w:trPr>
          <w:trHeight w:val="234"/>
        </w:trPr>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nine months ended September 30, 2025, we had revenue of $5.1 billion, net income attributable to Versant of $0.7 billion and Adjusted EBITDA of $1.9 billion. For the year ended December 31, 2024, we had revenue of $7.1 billion, net income attributable to Versant of $1.4 billion and Adjusted EBITDA of $2.8 billion. For reconciliations of Adjusted EBITDA to net income attributable to Versant, the most directly comparable financial measure prepared in accordance with GAAP, see “—Non-GAAP Financial Measures.”</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key factors that impact our business include the following:</w:t>
      </w:r>
    </w:p>
    <w:p>
      <w:pPr>
        <w:spacing w:after="0" w:line="127" w:lineRule="exact"/>
        <w:rPr>
          <w:sz w:val="20"/>
          <w:szCs w:val="20"/>
          <w:color w:val="auto"/>
        </w:rPr>
      </w:pPr>
    </w:p>
    <w:p>
      <w:pPr>
        <w:ind w:left="1080" w:right="120" w:hanging="424"/>
        <w:spacing w:after="0" w:line="259"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Demand for Cable Television</w:t>
      </w:r>
      <w:r>
        <w:rPr>
          <w:rFonts w:ascii="Times New Roman" w:cs="Times New Roman" w:eastAsia="Times New Roman" w:hAnsi="Times New Roman"/>
          <w:sz w:val="18"/>
          <w:szCs w:val="18"/>
          <w:color w:val="auto"/>
        </w:rPr>
        <w:t>. The amount of revenue we earn from MVPD distribution has declined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6"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We derive significant revenue from selling advertising on our networks, and have experienced in recent years,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of Digital Platforms</w:t>
      </w:r>
      <w:r>
        <w:rPr>
          <w:rFonts w:ascii="Times New Roman" w:cs="Times New Roman" w:eastAsia="Times New Roman" w:hAnsi="Times New Roman"/>
          <w:sz w:val="18"/>
          <w:szCs w:val="18"/>
          <w:color w:val="auto"/>
        </w:rPr>
        <w:t>. Our digital platforms generate revenue from selling advertising, providing services directly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for Programming</w:t>
      </w:r>
      <w:r>
        <w:rPr>
          <w:rFonts w:ascii="Times New Roman" w:cs="Times New Roman" w:eastAsia="Times New Roman" w:hAnsi="Times New Roman"/>
          <w:sz w:val="18"/>
          <w:szCs w:val="18"/>
          <w:color w:val="auto"/>
        </w:rPr>
        <w:t>. The market for programming has been, and we expect will continue to be, very competitive. In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Macroeconomic Conditions</w:t>
      </w:r>
      <w:r>
        <w:rPr>
          <w:rFonts w:ascii="Times New Roman" w:cs="Times New Roman" w:eastAsia="Times New Roman" w:hAnsi="Times New Roman"/>
          <w:sz w:val="18"/>
          <w:szCs w:val="18"/>
          <w:color w:val="auto"/>
        </w:rPr>
        <w:t>. A substantial portion of our revenue is impacted by consumer spending patterns,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Value and Reputation</w:t>
      </w:r>
      <w:r>
        <w:rPr>
          <w:rFonts w:ascii="Times New Roman" w:cs="Times New Roman" w:eastAsia="Times New Roman" w:hAnsi="Times New Roman"/>
          <w:sz w:val="18"/>
          <w:szCs w:val="18"/>
          <w:color w:val="auto"/>
        </w:rPr>
        <w:t>. Our brand image, awareness and reputation strengthen our relationship with our audiences and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incur expenditures that are higher than historical allocations that were allocated pro rata based on revenue, which may have an impact on our profitability and operating cash flows.</w:t>
      </w:r>
    </w:p>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“Risk Factors” in this information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 combined financial statements included elsewhere in this information statement,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GAAP and pursuant to the rules and regulations of the SEC.</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audited combined balance sheets were based on assessments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5"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5 to the unaudited condensed combined financial statements and Note 10 to the audited combined financial statements included elsewhere in this information statement).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combined financial statements are considered related party transactions. See Note 5 to the unaudited condensed combined financial statements and Note 10 to the audited combined financial statements included elsewhere in this information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4"/>
          </w:tcPr>
          <w:p>
            <w:pPr>
              <w:jc w:val="center"/>
              <w:ind w:left="25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left="2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8"/>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1,663</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1,713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5,078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5,339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2,227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2,395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868</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1,499</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1,463</w:t>
            </w:r>
          </w:p>
        </w:tc>
        <w:tc>
          <w:tcPr>
            <w:tcW w:w="3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4,005</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4,008</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1,073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1,331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1,331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987</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1,888</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2,076</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0"/>
        </w:trPr>
        <w:tc>
          <w:tcPr>
            <w:tcW w:w="60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4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1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$7,062</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$7,445</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$7,834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3,161</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1,271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992</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2,410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(591)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1,363</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1,539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2,837</w:t>
            </w:r>
          </w:p>
        </w:tc>
        <w:tc>
          <w:tcPr>
            <w:tcW w:w="4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3,060</w:t>
            </w:r>
          </w:p>
        </w:tc>
        <w:tc>
          <w:tcPr>
            <w:tcW w:w="2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3,402</w:t>
            </w:r>
          </w:p>
        </w:tc>
        <w:tc>
          <w:tcPr>
            <w:tcW w:w="46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gridSpan w:val="11"/>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 w:type="dxa"/>
            <w:vAlign w:val="bottom"/>
          </w:tcPr>
          <w:p>
            <w:pPr>
              <w:spacing w:after="0"/>
              <w:rPr>
                <w:sz w:val="13"/>
                <w:szCs w:val="13"/>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9"/>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9"/>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992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4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18"/>
                <w:szCs w:val="18"/>
                <w:color w:val="auto"/>
              </w:rPr>
            </w:pPr>
          </w:p>
        </w:tc>
        <w:tc>
          <w:tcPr>
            <w:tcW w:w="70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6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1,663</w:t>
            </w:r>
          </w:p>
        </w:tc>
        <w:tc>
          <w:tcPr>
            <w:tcW w:w="2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1,713</w:t>
            </w:r>
          </w:p>
        </w:tc>
        <w:tc>
          <w:tcPr>
            <w:tcW w:w="2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5,078</w:t>
            </w: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5,339</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020" w:type="dxa"/>
            <w:vAlign w:val="bottom"/>
          </w:tcPr>
          <w:p>
            <w:pPr>
              <w:spacing w:after="0"/>
              <w:rPr>
                <w:sz w:val="10"/>
                <w:szCs w:val="10"/>
                <w:color w:val="auto"/>
              </w:rPr>
            </w:pPr>
          </w:p>
        </w:tc>
        <w:tc>
          <w:tcPr>
            <w:tcW w:w="242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70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0"/>
                <w:szCs w:val="10"/>
                <w:color w:val="auto"/>
              </w:rPr>
            </w:pPr>
          </w:p>
        </w:tc>
        <w:tc>
          <w:tcPr>
            <w:tcW w:w="1380" w:type="dxa"/>
            <w:vAlign w:val="bottom"/>
            <w:gridSpan w:val="5"/>
          </w:tcPr>
          <w:p>
            <w:pPr>
              <w:jc w:val="right"/>
              <w:ind w:right="49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20" w:type="dxa"/>
            <w:vAlign w:val="bottom"/>
          </w:tcPr>
          <w:p>
            <w:pPr>
              <w:spacing w:after="0"/>
              <w:rPr>
                <w:sz w:val="10"/>
                <w:szCs w:val="10"/>
                <w:color w:val="auto"/>
              </w:rPr>
            </w:pPr>
          </w:p>
        </w:tc>
        <w:tc>
          <w:tcPr>
            <w:tcW w:w="8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20" w:type="dxa"/>
            <w:vAlign w:val="bottom"/>
          </w:tcPr>
          <w:p>
            <w:pPr>
              <w:spacing w:after="0"/>
              <w:rPr>
                <w:sz w:val="15"/>
                <w:szCs w:val="15"/>
                <w:color w:val="auto"/>
              </w:rPr>
            </w:pPr>
          </w:p>
        </w:tc>
        <w:tc>
          <w:tcPr>
            <w:tcW w:w="11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24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$4,325</w:t>
            </w:r>
          </w:p>
        </w:tc>
        <w:tc>
          <w:tcPr>
            <w:tcW w:w="40" w:type="dxa"/>
            <w:vAlign w:val="bottom"/>
          </w:tcPr>
          <w:p>
            <w:pPr>
              <w:spacing w:after="0"/>
              <w:rPr>
                <w:sz w:val="18"/>
                <w:szCs w:val="18"/>
                <w:color w:val="auto"/>
              </w:rPr>
            </w:pP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$4,632</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$4,802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w w:val="92"/>
              </w:rPr>
              <w:t>(6.6)%</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244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1,865</w:t>
            </w: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(7.2)</w:t>
            </w:r>
          </w:p>
        </w:tc>
        <w:tc>
          <w:tcPr>
            <w:tcW w:w="5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248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9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18"/>
                <w:szCs w:val="18"/>
                <w:color w:val="auto"/>
              </w:rPr>
            </w:pPr>
          </w:p>
        </w:tc>
        <w:tc>
          <w:tcPr>
            <w:tcW w:w="11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w w:val="95"/>
              </w:rPr>
              <w:t>         10.9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1940" w:type="dxa"/>
            <w:vAlign w:val="bottom"/>
            <w:gridSpan w:val="3"/>
            <w:shd w:val="clear" w:color="auto" w:fill="CCEEFF"/>
          </w:tcPr>
          <w:p>
            <w:pPr>
              <w:spacing w:after="0"/>
              <w:rPr>
                <w:sz w:val="18"/>
                <w:szCs w:val="18"/>
                <w:color w:val="auto"/>
              </w:rPr>
            </w:pPr>
          </w:p>
        </w:tc>
        <w:tc>
          <w:tcPr>
            <w:tcW w:w="5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9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(1.0)</w:t>
            </w:r>
          </w:p>
        </w:tc>
        <w:tc>
          <w:tcPr>
            <w:tcW w:w="5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9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7,062</w:t>
            </w:r>
          </w:p>
        </w:tc>
        <w:tc>
          <w:tcPr>
            <w:tcW w:w="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7,445</w:t>
            </w:r>
          </w:p>
        </w:tc>
        <w:tc>
          <w:tcPr>
            <w:tcW w:w="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7,834</w:t>
            </w:r>
          </w:p>
        </w:tc>
        <w:tc>
          <w:tcPr>
            <w:tcW w:w="3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5"/>
              </w:rPr>
              <w:t>(5.1)%</w:t>
            </w:r>
          </w:p>
        </w:tc>
        <w:tc>
          <w:tcPr>
            <w:tcW w:w="20" w:type="dxa"/>
            <w:vAlign w:val="bottom"/>
            <w:vMerge w:val="continue"/>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Linear distribution revenue continued to decrease for the three and nine months ended September 30, 2025 due to declines in the number of subscribers of 8% for both periods, partially offset by contractual rate increases.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Linear distribution revenue decreased in 2024 and 2023 due to declines in the number of subscribers of 8% for both periods, partially offset by contractual rate increases. We expect to experience continued declines in the number of subscribers and linear distribution revenue, as further discussed in “—Key Factors Affecting Our Business.”</w:t>
      </w:r>
    </w:p>
    <w:p>
      <w:pPr>
        <w:spacing w:after="0" w:line="17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Advertising revenue was consistent for the three months ended September 30, 2025. Our advertising revenues for the three and nine months ended September 30, 2024 do not include any advertising revenues attributable to NBCUniversal’s broadcasts of Paris Olympic Games, which we estimate resulted in lower advertising revenues of approximately $20 million for such respective periods. As a result, consistent advertising revenues for the three months ended September 30, 2025 reflect decreases at our networks as a result of ratings declines of 20% effectively being offset by lower revenues in the prior period as a result of the Paris Olympic</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Games, as well as increases in advertising revenues on our digital platforms. Without the impact of the Paris Olympic Games, advertising revenue for the three months ended September 30, 2025 would have been lower than the prior period. Advertising revenue decreased for the nine months ended September 30, 2025 primarily due to decreases at our networks as a result of ratings declines of 19%. Ratings in 2025 continued to be negatively impacted by trends in linear advertising, and experienced further declines following the presidential inauguration.</w:t>
      </w:r>
    </w:p>
    <w:p>
      <w:pPr>
        <w:spacing w:after="0" w:line="180"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ratings declines at our networks and continued shifts toward digital advertising in future periods, and these trends are further discussed in “—Key Factors Affecting Our Business.”</w:t>
      </w:r>
    </w:p>
    <w:p>
      <w:pPr>
        <w:spacing w:after="0" w:line="15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Platforms revenue increased for the three and nine months ended September 30, 2025 primarily due to increased transactional volumes, primarily related to services provided to golf courses, including an increased number of courses using our on-site payment facilitation services. The increase for the three months ended September 30, 2025 was partially offset by decreases in revenue related to video-on-demand transactions and movie ticket purchases through our platform resulting from underlying box office performance.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8"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streaming services and other platforms, licensing audio feeds of our programming and original podcasts to digital platforms and other products and services.</w:t>
      </w:r>
    </w:p>
    <w:p>
      <w:pPr>
        <w:spacing w:after="0" w:line="17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Content licensing and other revenue decreased for the three and nine months ended September 30, 2025 primarily due to timing of content licensing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vMerge w:val="continue"/>
          </w:tcPr>
          <w:p>
            <w:pPr>
              <w:spacing w:after="0"/>
              <w:rPr>
                <w:sz w:val="15"/>
                <w:szCs w:val="15"/>
                <w:color w:val="auto"/>
              </w:rPr>
            </w:pPr>
          </w:p>
        </w:tc>
        <w:tc>
          <w:tcPr>
            <w:tcW w:w="16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80" w:type="dxa"/>
            <w:vAlign w:val="bottom"/>
            <w:gridSpan w:val="8"/>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839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2"/>
              </w:rPr>
              <w:t>$ 1,864</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$ 2,056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129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339</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6"/>
              </w:rPr>
              <w:t>873</w:t>
            </w: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960</w:t>
            </w:r>
          </w:p>
        </w:tc>
        <w:tc>
          <w:tcPr>
            <w:tcW w:w="260" w:type="dxa"/>
            <w:vAlign w:val="bottom"/>
            <w:vMerge w:val="continue"/>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$ 2,227</w:t>
            </w:r>
          </w:p>
        </w:tc>
        <w:tc>
          <w:tcPr>
            <w:tcW w:w="26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$ 2,395</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0"/>
                <w:szCs w:val="10"/>
                <w:color w:val="auto"/>
              </w:rPr>
            </w:pPr>
          </w:p>
        </w:tc>
        <w:tc>
          <w:tcPr>
            <w:tcW w:w="140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100" w:type="dxa"/>
            <w:vAlign w:val="bottom"/>
            <w:tcBorders>
              <w:top w:val="single" w:sz="8" w:color="auto"/>
            </w:tcBorders>
            <w:gridSpan w:val="7"/>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$2,606</w:t>
            </w:r>
          </w:p>
        </w:tc>
        <w:tc>
          <w:tcPr>
            <w:tcW w:w="3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$2,724</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$2,749</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6.5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3,064</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3,154</w:t>
            </w:r>
          </w:p>
        </w:tc>
        <w:tc>
          <w:tcPr>
            <w:tcW w:w="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340" w:type="dxa"/>
            <w:vAlign w:val="bottom"/>
            <w:vMerge w:val="continue"/>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costs, production overhead and on-air talent costs.</w:t>
      </w:r>
    </w:p>
    <w:p>
      <w:pPr>
        <w:spacing w:after="0" w:line="15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Programming and production costs decreased for the three and nine months ended September 30, 2025 primarily due to lower costs associated with sports programming resulting from a reduced number of NASCAR events in the period pursuant to the terms of the current rights agreement commencing with the 2025 season, as well as the timing of other events.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timing of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w:t>
      </w:r>
    </w:p>
    <w:p>
      <w:pPr>
        <w:spacing w:after="0" w:line="179"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available to consumers and payment processing fees, and other platform and customer support costs.</w:t>
      </w:r>
    </w:p>
    <w:p>
      <w:pPr>
        <w:spacing w:after="0" w:line="15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for the three and nine months ended September 30, 2025 primarily due to higher transactional volumes related to our digital platforms.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costs of revenue increased in 2024 and 2023 primarily due to higher transactional volumes related to our digital platforms.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nine months ended September 30, 2025 primarily due to transaction and transaction-related costs associated with the Separation, which totaled $27 million and $71 million for the three and nine months ended September 30, 2025, respectively, as well a continued increase in overall costs as we continue to build out functions in preparation for becoming a standalone entity and partially reflecting lower allocated costs in the prior year period due to the inclusion of the incremental revenues generated by NBCUniversal’s broadcast of the Paris Olympics in the cost allocation methodology.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 and 2023 primarily due to a decrease in allocated costs from Comcast. As discussed in “—Key Factors Affecting Our Business,” Note 5 to the unaudited condensed combined financial statements and Note 10 to the audited combined financial statements, these costs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were generally allocated on a pro rata basis using a measure based on revenue applied to the relevant pool of costs and may not be representative of our operating costs as a standalone company following the Separation.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 television networks, as well as depreciation of property and equipment.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for the three months ended September 30, 2025 due to an acceleration of amortization of the MSNBC trade name as a result of the rebranding of the network. Depreciation and amortization expense remained consistent for the nine months ended September 30, 2025, as well as in 2024 and 2023. See Note 7 to the audited combined financial statements for additional information on our intangible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Investment and other income (loss), net for the three and nine months ended September 30, 2025 and for the year ended December 31, 2022 resulted primarily from impairment losses related to nonmarketable equity securities. See Note 5 to the audited combined financial statements and Note 6 to the unaudited condensed combined financial statements for additional information on our investments.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36.2% for the three months ended September 30, 2025, 27.4% for the nine months ended September 30, 2025 and 25.9% for both the three and nine months ended September 30, 2024. Our effective income tax rate was 25.9%, 25.6% and 25.2% in 2024, 2023 and 2022, respectively.</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decreases in income tax expense for the three and nine months ended September 30, 2025, and the years ended December 31, 2024 and 2023 were primarily due to decreases in income before income taxes.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See Note 6 to the unaudited condensed combined financial statements and Note 8 to the audited combined financial statements for additional information on our income taxes.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6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0"/>
              </w:rPr>
              <w:t>2024 </w:t>
            </w:r>
          </w:p>
        </w:tc>
        <w:tc>
          <w:tcPr>
            <w:tcW w:w="10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9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987</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(a)</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445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1,888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2,076</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40" w:hanging="424"/>
        <w:spacing w:after="0" w:line="258"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00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4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1"/>
              </w:rPr>
              <w:t>— </w:t>
            </w: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88"/>
              </w:rPr>
              <w:t>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w:t>
            </w:r>
            <w:r>
              <w:rPr>
                <w:rFonts w:ascii="Times New Roman" w:cs="Times New Roman" w:eastAsia="Times New Roman" w:hAnsi="Times New Roman"/>
                <w:sz w:val="18"/>
                <w:szCs w:val="18"/>
                <w:color w:val="auto"/>
                <w:w w:val="97"/>
              </w:rPr>
              <w:t xml:space="preserve"> </w:t>
            </w:r>
          </w:p>
        </w:tc>
        <w:tc>
          <w:tcPr>
            <w:tcW w:w="4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71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7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gridSpan w:val="1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$1,363</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$1,539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1,764</w:t>
            </w: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c>
          <w:tcPr>
            <w:tcW w:w="6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c>
          <w:tcPr>
            <w:tcW w:w="6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gridSpan w:val="2"/>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2,837</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3,060</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3"/>
              </w:rPr>
              <w:t>3,402</w:t>
            </w:r>
          </w:p>
        </w:tc>
        <w:tc>
          <w:tcPr>
            <w:tcW w:w="6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20" w:hanging="424"/>
        <w:spacing w:after="0" w:line="282"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which are related to certain transaction costs associated with the Separation in 2024. See Note 2 to the audited combined financial statements.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1,546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8"/>
              </w:rPr>
              <w:t>(1,413)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(1,553)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95"/>
              </w:rPr>
              <w:t>(2,155)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8"/>
              </w:rPr>
              <w:t>(2,355)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(2,486)</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5900" w:type="dxa"/>
            <w:vAlign w:val="bottom"/>
          </w:tcPr>
          <w:p>
            <w:pPr>
              <w:spacing w:after="0"/>
              <w:rPr>
                <w:sz w:val="10"/>
                <w:szCs w:val="10"/>
                <w:color w:val="auto"/>
              </w:rPr>
            </w:pPr>
          </w:p>
        </w:tc>
        <w:tc>
          <w:tcPr>
            <w:tcW w:w="11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20" w:type="dxa"/>
            <w:vAlign w:val="bottom"/>
            <w:gridSpan w:val="2"/>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2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r>
      <w:tr>
        <w:trPr>
          <w:trHeight w:val="173"/>
        </w:trPr>
        <w:tc>
          <w:tcPr>
            <w:tcW w:w="5900" w:type="dxa"/>
            <w:vAlign w:val="bottom"/>
          </w:tcPr>
          <w:p>
            <w:pPr>
              <w:spacing w:after="0"/>
              <w:rPr>
                <w:sz w:val="15"/>
                <w:szCs w:val="15"/>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left="342"/>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           56</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w:t>
            </w:r>
          </w:p>
        </w:tc>
        <w:tc>
          <w:tcPr>
            <w:tcW w:w="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      23</w:t>
            </w: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      11</w:t>
            </w:r>
          </w:p>
        </w:tc>
      </w:tr>
    </w:tbl>
    <w:p>
      <w:pPr>
        <w:spacing w:after="0" w:line="19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operating activities. However, we have operated within Comcast’s cash management structure, which uses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the Term A Loan Facility and the Revolving Credit Facility (which is expected to be undrawn at the time of the Separation). On October 29, 2025, we entered into the Indenture pursuant to which we issued the Notes. We also intend to enter into the Term B Loan Facility in connection with the Separation, which together with the Term A Loan Facility and the Notes will constitute approximately $3 billion of debt. See “Description of Material Indebtedness” for a description of the Term Loan Facilities, the Revolving Facility and the Notes and “Unaudited Pro Forma Combined Financial Statements—Notes to Pro Forma Financial Statements— Transaction Accounting Adjustments” for more information.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nine months ended September 30, 2025 primarily due to a decline in net income caused by decreasing revenue and an increase in net loss on investment activity as described above, partially offset by an increase from changes in operating assets and liabilities. The increase resulting from changes in operating assets and liabilities was primarily due to decreases in other operating assets and liabilities related to timing of payments on content obligations. Operating assets and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liabilities in our combined statements of cash flows generally fluctuate based on the timing of amortization and related payments for our content costs and the timing of collections of receivables.</w:t>
      </w:r>
    </w:p>
    <w:p>
      <w:pPr>
        <w:spacing w:after="0" w:line="16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loss on investment activity. The decrease resulting from changes in operating assets and liabilities in 2024 was primarily due to a decrease in content costs, net, partially offset by an increase in current and noncurrent receivables, net. The increase resulting from changes in operating assets and liabilities in 2023 was primarily due to increases in content costs, net and current and noncurrent receivables, net, partially offset by a decrease in other operating assets and liabilities.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described in Notes 1 and 5 to the unaudited condensed combined financial statements,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capital expenditures, which increased for the nine months ended September 30, 2025 as a result of transaction-related capital spending for facilities and IT systems, and were consistent for the years ended December 31, 2024, 2023 and 2022, partially offset by receivables settled in connection with the centralized cash management programs with Comcast. Other investing activities included net receipts from and payments to Comcast pursuant to loans associated with its centralized cash management programs. See Note 5 to our unaudited condensed combined financial statements and Note 10 to our audited combined financial statements for additional information on these related party loans.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decreased primarily due to changes in net parent investment, which primarily resulted from increased cash generated from operating activities and swept to Comcast during the periods, partially offset by increased capital expenditures funded through Comcast’s centralized cash management program.</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8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5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Beyond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6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the next</w:t>
            </w: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next 12</w:t>
            </w:r>
          </w:p>
        </w:tc>
        <w:tc>
          <w:tcPr>
            <w:tcW w:w="56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programming and production costs include significant amounts related to content contracts shared with Comcast. These contracts, which primarily related to multiyear sports rights agreements, are not included in the amounts presented above as we were not the primary obligor under the contract. As a result, following the Separation we expect to have significant additional contractual obligations including approximately $4.2 billion of additional obligations related to multiyear sports agreements, 19% of which is expected to be due within the 12-month period following the Separation. See Note 4 and Note 10 to our audited combined financial statements for additional information on programming and production costs and related party transactions, respectively.</w:t>
      </w:r>
    </w:p>
    <w:p>
      <w:pPr>
        <w:spacing w:after="0" w:line="187"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will also have obligations under the Debt Financing Transactions described above and we expect to enter into a long-term lease for our headquarters in New York City.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Debt Financing Transactions, our aggregate new debt will constitute approximately $3.0 billion, whereby a portion of which the interest rate will consist of a benchmark rate plus a borrowing margin based on the Term SOFR Rate.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discussed in Note 2 to the unaudited condensed combined financial statements and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combined financial statements.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This relative fair value analysis resulted in the allocation of approximately 40% of Comcast’s Media segment goodwill to Versant.</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5"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Following Versant’s change in chief operating decision maker in 2025 (see Note 1 to our unaudited condensed combined financial statements), we reassessed our reporting units. We performed a quantitative assessment in connection with this change and with our annual impairment assessment as of July 1, 2025 and concluded that the estimated fair value of the Versant reporting units substantially exceeded their carrying value and no impairment was required.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using Level 3 inputs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8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21" w:lineRule="exact"/>
        <w:rPr>
          <w:sz w:val="20"/>
          <w:szCs w:val="20"/>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83"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 NOW (formerly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Versant will be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 —Agreements with Comcast” for additional information regarding these 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strong portfolio of brands delivers compelling news, sports and entertainment content that we distribute through our networks and digital platforms. Our networks were collectively watched by an average audience of over 60 million unique viewers each week in 2024, with MS NOW (formerly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My Source News Opinion World (MS NOW) (formerly MSNBC)</w:t>
      </w:r>
    </w:p>
    <w:p>
      <w:pPr>
        <w:spacing w:after="0" w:line="135" w:lineRule="exact"/>
        <w:rPr>
          <w:sz w:val="20"/>
          <w:szCs w:val="20"/>
          <w:color w:val="auto"/>
        </w:rPr>
      </w:pPr>
    </w:p>
    <w:p>
      <w:pPr>
        <w:ind w:left="1080" w:right="40" w:hanging="424"/>
        <w:spacing w:after="0" w:line="258"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is a premier destination for politics, news and opinion through informed, distinct perspectives and analysis. MS NOW operates across multiple media platforms: MVPDs, digital, social platforms, podcasts and live events. With highly loyal and engaged audiences representing over 14 million viewers weekly in 2024 according to Nielsen, MS NOW is home to many of the country’s most influential political news programs that shape daily public discourse. In August 2025, we announced the rebranding of MSNBC as MS NOW. This gives us the opportunity to create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distinct brand that underscores our mission to serve as the destination for domestic and international breaking news and best-in-class opinion journalism. The rebranding became effective in November 2025. We have discontinued use of the MSNBC brand and now use MS NOW for the network and all related platforms and products.</w:t>
      </w:r>
    </w:p>
    <w:p>
      <w:pPr>
        <w:spacing w:after="0" w:line="81" w:lineRule="exact"/>
        <w:rPr>
          <w:sz w:val="20"/>
          <w:szCs w:val="20"/>
          <w:color w:val="auto"/>
        </w:rPr>
      </w:pPr>
    </w:p>
    <w:p>
      <w:pPr>
        <w:ind w:left="1080" w:right="120" w:hanging="424"/>
        <w:spacing w:after="0" w:line="266"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saw one of its largest audiences on record in 2024, finishing the year as the number two network across all cable television networks according to Nielsen for the seventh consecutive year. For 2022-2024, MS NOW (formerly MSNBC) was the only top-20 cable network with two consecutive years of audience gains.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NOW (formerly MSNBC) has rapidly grown its digital audience in recent years, including through MSNBC.com and the MSNBC mobile app, averaging 30 million monthly unique visitors in 2024. MSNBC.com and the MSNBC mobile app have been discontinued in connection with the rebranding of MSNBC, and we began using www.ms.now and the MS NOW mobile app for the network. Additionally, in 2024, MSNBC (since rebranded to MS NOW) was the number one news brand across all of YouTube and the number one cable news brand on TikTok. MS NOW (formerly MSNBC) generated nearly 160 million total downloads across its audio portfolio.</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CNBC</w:t>
      </w:r>
    </w:p>
    <w:p>
      <w:pPr>
        <w:spacing w:after="0" w:line="135" w:lineRule="exact"/>
        <w:rPr>
          <w:sz w:val="20"/>
          <w:szCs w:val="20"/>
          <w:color w:val="auto"/>
        </w:rPr>
      </w:pPr>
    </w:p>
    <w:p>
      <w:pPr>
        <w:ind w:left="1080" w:right="120" w:hanging="424"/>
        <w:spacing w:after="0" w:line="261"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85"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has expanded its audience through branded products, including direct-to-consumer streaming services, investing club, podcasts, conferences and other live events. CNBC.com has the number one business news website based on total minutes of audience usage for four consecutive years, according to comScore.</w:t>
      </w:r>
      <w:r>
        <w:rPr>
          <w:rFonts w:ascii="Times New Roman" w:cs="Times New Roman" w:eastAsia="Times New Roman" w:hAnsi="Times New Roman"/>
          <w:sz w:val="26"/>
          <w:szCs w:val="26"/>
          <w:color w:val="auto"/>
          <w:vertAlign w:val="superscript"/>
        </w:rPr>
        <w:t>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 Network</w:t>
      </w:r>
    </w:p>
    <w:p>
      <w:pPr>
        <w:spacing w:after="0" w:line="135" w:lineRule="exact"/>
        <w:rPr>
          <w:sz w:val="20"/>
          <w:szCs w:val="20"/>
          <w:color w:val="auto"/>
        </w:rPr>
      </w:pPr>
    </w:p>
    <w:p>
      <w:pPr>
        <w:ind w:left="1080" w:right="120" w:hanging="424"/>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has been a top-five cable entertainment network each year for the past 30 years. USA Network ended 2024 as the number eight network across all cable television networks according to Nielsen.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3" w:lineRule="exact"/>
        <w:rPr>
          <w:sz w:val="20"/>
          <w:szCs w:val="20"/>
          <w:color w:val="auto"/>
        </w:rPr>
      </w:pPr>
    </w:p>
    <w:p>
      <w:pPr>
        <w:ind w:left="340" w:right="220" w:hanging="224"/>
        <w:spacing w:after="0" w:line="209" w:lineRule="auto"/>
        <w:tabs>
          <w:tab w:leader="none" w:pos="340" w:val="left"/>
        </w:tabs>
        <w:numPr>
          <w:ilvl w:val="0"/>
          <w:numId w:val="1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January 2021—December 2024, Desktop &amp; Mobile excluding Social Incremental, Total Minutes, Desktop 2+ and Total Mobile 13+, News/Information—Business/Finance News Category showing domains only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Network’s extensive content library consists of a wide variety of on-demand films and television shows that are generally licensed under long-term contracts with major studios.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 Channel</w:t>
      </w:r>
    </w:p>
    <w:p>
      <w:pPr>
        <w:spacing w:after="0" w:line="135" w:lineRule="exact"/>
        <w:rPr>
          <w:sz w:val="20"/>
          <w:szCs w:val="20"/>
          <w:color w:val="auto"/>
        </w:rPr>
      </w:pPr>
    </w:p>
    <w:p>
      <w:pPr>
        <w:ind w:left="1080" w:right="100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13"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celebrated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10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GolfNow</w:t>
      </w:r>
    </w:p>
    <w:p>
      <w:pPr>
        <w:spacing w:after="0" w:line="135" w:lineRule="exact"/>
        <w:rPr>
          <w:sz w:val="20"/>
          <w:szCs w:val="20"/>
          <w:color w:val="auto"/>
        </w:rPr>
      </w:pPr>
    </w:p>
    <w:p>
      <w:pPr>
        <w:ind w:left="1080" w:right="40" w:hanging="424"/>
        <w:spacing w:after="0" w:line="266"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67"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SportsEngine</w:t>
      </w:r>
    </w:p>
    <w:p>
      <w:pPr>
        <w:spacing w:after="0" w:line="135" w:lineRule="exact"/>
        <w:rPr>
          <w:sz w:val="20"/>
          <w:szCs w:val="20"/>
          <w:color w:val="auto"/>
        </w:rPr>
      </w:pPr>
    </w:p>
    <w:p>
      <w:pPr>
        <w:ind w:left="1080" w:right="280" w:hanging="424"/>
        <w:spacing w:after="0" w:line="261"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has expanded into youth sports subscription video streaming, providing off-location access to youth sports competition, and also offers and facilitates background screenings for coaches and volunteers.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platforms have millions of touchpoints with parents and families each year and those users are also consumers of its diverse portfolio of sports, entertainment and news products.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w:t>
      </w:r>
    </w:p>
    <w:p>
      <w:pPr>
        <w:spacing w:after="0" w:line="135" w:lineRule="exact"/>
        <w:rPr>
          <w:sz w:val="20"/>
          <w:szCs w:val="20"/>
          <w:color w:val="auto"/>
        </w:rPr>
      </w:pPr>
    </w:p>
    <w:p>
      <w:pPr>
        <w:ind w:left="1080" w:right="4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substantial millennial and Gen Z audiences.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News Digital’s in-house original production studio and 24/7 news team create engaging news content and easy-to-watch, shareable programming that continues to generate conversation and community.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SYFY</w:t>
      </w:r>
    </w:p>
    <w:p>
      <w:pPr>
        <w:spacing w:after="0" w:line="135" w:lineRule="exact"/>
        <w:rPr>
          <w:sz w:val="20"/>
          <w:szCs w:val="20"/>
          <w:color w:val="auto"/>
        </w:rPr>
      </w:pPr>
    </w:p>
    <w:p>
      <w:pPr>
        <w:ind w:left="1080" w:right="68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provides content on a multiplatform basis through SYFY’s network and related digital services.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home to popular horror and science fiction programming such as The Twilight Zone and originals including SurrealEstate, The Ark and Revival.</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Oxygen True Crime</w:t>
      </w:r>
    </w:p>
    <w:p>
      <w:pPr>
        <w:spacing w:after="0" w:line="135" w:lineRule="exact"/>
        <w:rPr>
          <w:sz w:val="20"/>
          <w:szCs w:val="20"/>
          <w:color w:val="auto"/>
        </w:rPr>
      </w:pPr>
    </w:p>
    <w:p>
      <w:pPr>
        <w:ind w:left="1080" w:right="16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was the second most-viewed true crime network in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Fandango Media</w:t>
      </w:r>
    </w:p>
    <w:p>
      <w:pPr>
        <w:spacing w:after="0" w:line="135" w:lineRule="exact"/>
        <w:rPr>
          <w:sz w:val="20"/>
          <w:szCs w:val="20"/>
          <w:color w:val="auto"/>
        </w:rPr>
      </w:pPr>
    </w:p>
    <w:p>
      <w:pPr>
        <w:ind w:left="1080" w:right="260" w:hanging="424"/>
        <w:spacing w:after="0" w:line="265"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9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 as of December 31, 2024.</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9"/>
        </w:trPr>
        <w:tc>
          <w:tcPr>
            <w:tcW w:w="9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173"/>
        </w:trPr>
        <w:tc>
          <w:tcPr>
            <w:tcW w:w="9260" w:type="dxa"/>
            <w:vAlign w:val="bottom"/>
            <w:gridSpan w:val="2"/>
            <w:vMerge w:val="continue"/>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(mm)</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822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MS NOW (formerly MSNBC)</w:t>
            </w:r>
            <w:r>
              <w:rPr>
                <w:rFonts w:ascii="Times New Roman" w:cs="Times New Roman" w:eastAsia="Times New Roman" w:hAnsi="Times New Roman"/>
                <w:sz w:val="24"/>
                <w:szCs w:val="24"/>
                <w:color w:val="auto"/>
                <w:vertAlign w:val="superscript"/>
              </w:rPr>
              <w:t>(2)</w:t>
            </w:r>
          </w:p>
        </w:tc>
        <w:tc>
          <w:tcPr>
            <w:tcW w:w="10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CNBC</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Network</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Golf Channel</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SYFY</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Oxygen True Crime</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7626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51" w:lineRule="exact"/>
        <w:rPr>
          <w:sz w:val="20"/>
          <w:szCs w:val="20"/>
          <w:color w:val="auto"/>
        </w:rPr>
      </w:pPr>
    </w:p>
    <w:p>
      <w:pPr>
        <w:ind w:left="1200" w:right="80" w:hanging="652"/>
        <w:spacing w:after="0" w:line="282" w:lineRule="auto"/>
        <w:tabs>
          <w:tab w:leader="none" w:pos="12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data is based on information from Nielsen as of December 31, 2024 using its Cable Coverage Universe Estimates report and dynamic ad insertion estimates. The Nielsen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460" w:hanging="224"/>
        <w:spacing w:after="0" w:line="209" w:lineRule="auto"/>
        <w:tabs>
          <w:tab w:leader="none" w:pos="340" w:val="left"/>
        </w:tabs>
        <w:numPr>
          <w:ilvl w:val="0"/>
          <w:numId w:val="1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July 2024 – August 2024, Desktop &amp; Mobile excluding Social Incremental, Monthly Unique Visitors, Desktop 2+ and Total Mobile 18+, [C] Fandango Sites.</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5"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right="300"/>
        <w:spacing w:after="0" w:line="257" w:lineRule="auto"/>
        <w:rPr>
          <w:sz w:val="20"/>
          <w:szCs w:val="20"/>
          <w:color w:val="auto"/>
        </w:rPr>
      </w:pPr>
      <w:r>
        <w:rPr>
          <w:rFonts w:ascii="Times New Roman" w:cs="Times New Roman" w:eastAsia="Times New Roman" w:hAnsi="Times New Roman"/>
          <w:sz w:val="18"/>
          <w:szCs w:val="18"/>
          <w:color w:val="auto"/>
        </w:rPr>
        <w:t>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1" w:lineRule="exact"/>
        <w:rPr>
          <w:sz w:val="20"/>
          <w:szCs w:val="20"/>
          <w:color w:val="auto"/>
        </w:rPr>
      </w:pPr>
    </w:p>
    <w:p>
      <w:pPr>
        <w:ind w:left="1200" w:right="440" w:hanging="652"/>
        <w:spacing w:after="0" w:line="260" w:lineRule="auto"/>
        <w:tabs>
          <w:tab w:leader="none" w:pos="12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we discontinued use of the MSNBC brand and now use MS NOW for the network and all related platforms and products.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right="560" w:firstLine="440"/>
        <w:spacing w:after="0" w:line="281" w:lineRule="auto"/>
        <w:rPr>
          <w:sz w:val="20"/>
          <w:szCs w:val="20"/>
          <w:color w:val="auto"/>
        </w:rPr>
      </w:pPr>
      <w:r>
        <w:rPr>
          <w:rFonts w:ascii="Times New Roman" w:cs="Times New Roman" w:eastAsia="Times New Roman" w:hAnsi="Times New Roman"/>
          <w:sz w:val="17"/>
          <w:szCs w:val="17"/>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technical and production staff to provide quality news programming. This model is designed to enable in-depth reporting and political analysis while streamlining production costs.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a summary of certain significant sports programming and related content that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and in August 2025, we announced that Versant’s sports programming will come together under the new brand, USA Sports.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Television Rights</w:t>
            </w:r>
            <w:r>
              <w:rPr>
                <w:rFonts w:ascii="Times New Roman" w:cs="Times New Roman" w:eastAsia="Times New Roman" w:hAnsi="Times New Roman"/>
                <w:sz w:val="10"/>
                <w:szCs w:val="10"/>
                <w:b w:val="1"/>
                <w:bCs w:val="1"/>
                <w:color w:val="auto"/>
              </w:rPr>
              <w:t>(1)</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09"/>
        </w:trPr>
        <w:tc>
          <w:tcPr>
            <w:tcW w:w="8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Premier League</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2027-28 season</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PGA Tour, The Open Championship, Ryder Cup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Between 2028 and 2032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USGA / US Open</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2028-29 season</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NASCAR</w:t>
            </w:r>
            <w:r>
              <w:rPr>
                <w:rFonts w:ascii="Times New Roman" w:cs="Times New Roman" w:eastAsia="Times New Roman" w:hAnsi="Times New Roman"/>
                <w:sz w:val="25"/>
                <w:szCs w:val="25"/>
                <w:color w:val="auto"/>
                <w:vertAlign w:val="superscript"/>
              </w:rPr>
              <w:t>(2)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WNBA</w:t>
            </w:r>
            <w:r>
              <w:rPr>
                <w:rFonts w:ascii="Times New Roman" w:cs="Times New Roman" w:eastAsia="Times New Roman" w:hAnsi="Times New Roman"/>
                <w:sz w:val="25"/>
                <w:szCs w:val="25"/>
                <w:color w:val="auto"/>
                <w:vertAlign w:val="superscript"/>
              </w:rPr>
              <w:t>(3)</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2036 season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560" w:hanging="424"/>
        <w:spacing w:after="0" w:line="261"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rights agreements generally provided rights across both NBCUniversal and the Company and the audited combined statements of income included allocations of costs related to these contracts.</w:t>
      </w:r>
    </w:p>
    <w:p>
      <w:pPr>
        <w:ind w:left="540" w:right="740" w:hanging="424"/>
        <w:spacing w:after="0" w:line="250"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unilateral right by the other party (i.e., the licensor) to the agreement, under certain circumstances, to shorten the term of the agreement by one year.</w:t>
      </w:r>
    </w:p>
    <w:p>
      <w:pPr>
        <w:ind w:left="540" w:right="300" w:hanging="424"/>
        <w:spacing w:after="0" w:line="260" w:lineRule="auto"/>
        <w:tabs>
          <w:tab w:leader="none" w:pos="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WNBA season, includes the rights to produce and distribute a specified number of WNBA regular season and playoff games, including certain games from three WNBA Finals series over the term of the agreement.</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 NOW (formerly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(since rebranded to MS NOW)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MS NOW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 NOW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 NOW (formerly MSNBC)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62"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5" w:right="5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FCC regulations restrict cable operator-affiliated cable networks from certain discriminatory practices with respect to distribution by MVPDs.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October 21, 2025, we had approximately 4,032 full-time and part-time employees calculated on a full-time equivalent basis. Approximately 10% of our employees were located in over 12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6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Business Risk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4 to our unaudited condensed combined financial statements and Note 9 to our audited combined financial statements for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Following the Separation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the date of this information statement, regarding certain individuals who are expected to serve as our executive officers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be the Chief Executive Officer of Versant. Mr. Lazarus has served in various roles at NBCUniversal since 2011,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Anand M. Kini </w:t>
      </w:r>
      <w:r>
        <w:rPr>
          <w:rFonts w:ascii="Times New Roman" w:cs="Times New Roman" w:eastAsia="Times New Roman" w:hAnsi="Times New Roman"/>
          <w:sz w:val="18"/>
          <w:szCs w:val="18"/>
          <w:color w:val="auto"/>
        </w:rPr>
        <w:t>will be the Chief Financial Officer and Chief Operating Officer of Versant. Mr. Kini 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Strategy, Comcast Corporation since 2023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Jordan R. Fasbender </w:t>
      </w:r>
      <w:r>
        <w:rPr>
          <w:rFonts w:ascii="Times New Roman" w:cs="Times New Roman" w:eastAsia="Times New Roman" w:hAnsi="Times New Roman"/>
          <w:sz w:val="18"/>
          <w:szCs w:val="18"/>
          <w:color w:val="auto"/>
        </w:rPr>
        <w:t>will be the General Counsel and Corporate Secretary of Versant. Ms. Fasbender served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Following the Separation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individuals are expected to serve as members of our Board following the Separation.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Novak</w:t>
            </w:r>
          </w:p>
        </w:tc>
        <w:tc>
          <w:tcPr>
            <w:tcW w:w="24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Eun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65"/>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serve on the Board of Directors. For Mr. Lazarus’ biography, see “—Executive Officers Following the Separation” above.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Lazarus’ qualifications for election include his service as Chief Executive Officer of Versant and his previous service in various leadership roles at NBCUniversal since 2011.</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Novak </w:t>
      </w:r>
      <w:r>
        <w:rPr>
          <w:rFonts w:ascii="Times New Roman" w:cs="Times New Roman" w:eastAsia="Times New Roman" w:hAnsi="Times New Roman"/>
          <w:sz w:val="18"/>
          <w:szCs w:val="18"/>
          <w:color w:val="auto"/>
        </w:rPr>
        <w:t>will be the Chairman of our Board. Mr. Novak has served as a director of Comcast Corporation since 2016. Prior to that, Mr. Novak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Chief Executive Officer of YUM! Brands, Inc. from 2000 to 2014, the Chairman of its board of directors from 2001 to 2014 and the Executive Chairman of its board of directors from 2015 to 2016. Mr. Novak is the founder of David Novak Leadership, Inc., which provides online leadership training to transform managers into confident, capable engaging leaders, and currently serves on the board of directors of Lift-a-Life Novak Family Foundation.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Rebecca Campbell </w:t>
      </w:r>
      <w:r>
        <w:rPr>
          <w:rFonts w:ascii="Times New Roman" w:cs="Times New Roman" w:eastAsia="Times New Roman" w:hAnsi="Times New Roman"/>
          <w:sz w:val="18"/>
          <w:szCs w:val="18"/>
          <w:color w:val="auto"/>
        </w:rPr>
        <w:t>will serve on the Board of Directors. Mrs. Campbell was appointed Interim Chief Executive Officer of Meow Wolf,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arts and entertainment company, in 2025 and has served on the company’s board of directors since 2024. Mrs. Campbell spent over 25 years at The Walt Disney Company, a multinational entertainment and media company, where she held a range of senior leadership roles across its international and direct-to-consumer businesses. From 2020 to 2023, Mrs. Campbell served as Chairman of International Operations and Direct-to-Consumer at Disney, where she was responsible for global operations and all facets of the company’s Direct-to-Consumer portfolio. From 2019 to 2020, she was President of Disneyland Resort, overseeing two theme parks, three resort hotels, and Downtown Disney, while leading a team of 31,000 cast members. From 2018 to 2019, she was based in London as President of Europe, Middle East &amp; Africa. From 2010 to 2018, she served as President of the ABC Owned Television Stations &amp; ABC Daytime Television. Mrs. Campbell also served on the board of directors of Broadcast Music, Inc. (BMI) from 2015 to 2024. Additionally, she has been involved with Big Brothers Big Sisters of Greater Los Angeles since 2016,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Creighton Condon </w:t>
      </w:r>
      <w:r>
        <w:rPr>
          <w:rFonts w:ascii="Times New Roman" w:cs="Times New Roman" w:eastAsia="Times New Roman" w:hAnsi="Times New Roman"/>
          <w:sz w:val="18"/>
          <w:szCs w:val="18"/>
          <w:color w:val="auto"/>
        </w:rPr>
        <w:t>will serve on the Board of Directors. Mr. Condon is Of Counsel at the global law firm of Allen Overy Shearman Sterling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position he has held since 2024. He previously was a Partner of Shearman &amp; Sterling LLP from 1991 to 2023, and served as its Senior Partner from 2012 to 2018, European Managing Partner from 2008 to 2012 and Global Mergers and Acquisitions Practice Group Leader from 2012 until being elected the Senior Partner of the firm. He advises clients on mergers, acquisitions, divestitures and joint ventures, and counsels boards of directors and special committees on corporate governance matters, change of control transactions, shareholder activism and complex structural issues.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Michael Conway </w:t>
      </w:r>
      <w:r>
        <w:rPr>
          <w:rFonts w:ascii="Times New Roman" w:cs="Times New Roman" w:eastAsia="Times New Roman" w:hAnsi="Times New Roman"/>
          <w:sz w:val="17"/>
          <w:szCs w:val="17"/>
          <w:color w:val="auto"/>
        </w:rPr>
        <w:t>will serve on the Board of Directors. Mr. Conway is the former Chief Executive Officer of Starbucks North America, a position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held until his retirement in 2024. Previously, he served in a variety of executive roles at Starbucks Corporation, a publicly traded multinational coffee house and specialty coffee retailer, including Group President, Starbucks International and Global Channel Development from 2021 to 2024, Executive Vice President and President, Starbucks International Licensed Markets from 2020 to 2021, Executive Vice President and President, Starbucks Canada from 2018 to 2020, Executive Vice President and President, Licensed Stores, U.S. and Latin America from 2016 to 2018 and Executive Vice President and President, Global Channel Development from 2013 to 2016, responsible for all commercial and business strategy functions for global grocery and foodservice and expanding into emerging international markets. Prior to joining Starbucks, Mr. Conway worked at Johnson &amp; Johnson from 2004 to 2013 and worked at the Campbell Soup Company from 1994 to 2004. Mr. Conway is a member of the board of directors of McCormick &amp; Company, where he is currently member of the nominating and corporate governance committee and served on the audit committee from 2015-2022.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1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Eun </w:t>
      </w:r>
      <w:r>
        <w:rPr>
          <w:rFonts w:ascii="Times New Roman" w:cs="Times New Roman" w:eastAsia="Times New Roman" w:hAnsi="Times New Roman"/>
          <w:sz w:val="18"/>
          <w:szCs w:val="18"/>
          <w:color w:val="auto"/>
        </w:rPr>
        <w:t>will serve on the Board of Directors. Mr. Eun is currently a Founding Advisor of Kanza AI, a generative AI platform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wellness, and medicine, and the Co-founder of Alakai Group, LLC, an investment firm. Prior to Alakai, Mr. Eun served as Executive Vice Chairman of Archegos Capital Management LP, a family investment office, in 2021 and served as a Venture Partner of Valo Ventures, a venture capital investment firm, from 2021 to 2023. From 2012 to 2020, Mr. Eun was President and Chief Innovation Officer of Samsung Electronics, where he founded Samsung NEXT, the company’s innovation arm focused on startup investments, M&amp;A, and new business creation. Earlier in his career, he held senior leadership roles at Google, AOL, Time Warner and NBC. Since 2023, Mr. Eun has served as a member of the board of directors of Howard Hughes Holdings Inc., a publicly traded real estate development company, where he is Chair of the technology committee and a member of the audit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 Hassell </w:t>
      </w:r>
      <w:r>
        <w:rPr>
          <w:rFonts w:ascii="Times New Roman" w:cs="Times New Roman" w:eastAsia="Times New Roman" w:hAnsi="Times New Roman"/>
          <w:sz w:val="18"/>
          <w:szCs w:val="18"/>
          <w:color w:val="auto"/>
        </w:rPr>
        <w:t>will serve on the Board of Directors. Mr. Hassell is the Former Chairman and Chief Executive Officer of The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Mellon Corporation (BNY). He had direct responsibility for oversight of the company’s broad range of banking and investment services businesses, as well as operations and technology. He was named to BNY’s executive committee in 1994 and named president and elected to its board of directors in 1998. In 2011, Mr. Hassell was named Chairman and CEO of BNY. Mr. Hassell served as a director on the board of Comcast Corporation from 2008 until 2025 and Metlife, Inc. from 2018 until 2024. Mr. Hassell previously served as a trustee of Duke University and currently serves as a member of the board of directors of the Duke University Health System. Over a career spanning more than decades at BNY, Mr. Hassell developed deep expertise in 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Mahoney </w:t>
      </w:r>
      <w:r>
        <w:rPr>
          <w:rFonts w:ascii="Times New Roman" w:cs="Times New Roman" w:eastAsia="Times New Roman" w:hAnsi="Times New Roman"/>
          <w:sz w:val="18"/>
          <w:szCs w:val="18"/>
          <w:color w:val="auto"/>
        </w:rPr>
        <w:t>will serve on the Board of Directors. Mr. Mahoney is the current Chairman and Chief Executive Officer of Peter Millar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apparel company, which is a division of Richemont S.A., a position he has held since 2005. Prior to his tenure at Peter Millar, Mr. Mahoney served in leadership and executive positions at Polo Ralph Lauren. Mr. Mahoney is on the board of directors of Fleet Feet, a running-inspired company. He has served on the board of The First Tee of the Triangle, a non-profit that focuses 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fostering and developing positive life skills in young men and women through golf. He served on the board of directors of Wake County Boys &amp; Girls Clubs, which helps local youth reach their full potential through after-school and summer programs. He also served as a trustee on the board of St. Mary’s School, an all-girls boarding and day school in Raleigh, North Carolina.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17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Maritza Montiel </w:t>
      </w:r>
      <w:r>
        <w:rPr>
          <w:rFonts w:ascii="Times New Roman" w:cs="Times New Roman" w:eastAsia="Times New Roman" w:hAnsi="Times New Roman"/>
          <w:sz w:val="18"/>
          <w:szCs w:val="18"/>
          <w:color w:val="auto"/>
        </w:rPr>
        <w:t>will serve on the Board of Directors. Ms. Montiel served for 39 years at Deloitte &amp; Touche LLP, the multinational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before retiring in 2014. Her most recent position was as Deputy Chief Executive Officer and Vice Chairman of the firm’s U.S. business. As Deputy Chief Executive Officer, Ms. Montiel led a variety of strategic initiatives including the transformation of the Federal Government Services Practice. She was also a member of the Deloitte US and Global Board of Directors. Ms. Montiel is a member of the board of directors of McCormick &amp; Company, where she formerly chaired the audit committee, and Royal Caribbean Cruises Ltd., where she serves on the audit committee and the compensation committee. She also served as a member of the board of directors of Comcast Corporation from 2018 to 2024 and AptarGroup, Inc. from 2015 until 2023, where she served on the audit committee.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185" w:lineRule="exact"/>
        <w:rPr>
          <w:sz w:val="20"/>
          <w:szCs w:val="20"/>
          <w:color w:val="auto"/>
        </w:rPr>
      </w:pPr>
    </w:p>
    <w:p>
      <w:pPr>
        <w:jc w:val="both"/>
        <w:ind w:left="120" w:right="2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Leonard Potter </w:t>
      </w:r>
      <w:r>
        <w:rPr>
          <w:rFonts w:ascii="Times New Roman" w:cs="Times New Roman" w:eastAsia="Times New Roman" w:hAnsi="Times New Roman"/>
          <w:sz w:val="17"/>
          <w:szCs w:val="17"/>
          <w:color w:val="auto"/>
        </w:rPr>
        <w:t>will serve on the Board of Directors. Mr. Potter founded Wildcat Capital Management, LLC, a registered investment advisor,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2011, and continues to serve as its President and Chief Investment Officer. In 2017, Mr. Potter also co-founded Vida Ventures, a biotech venture fund management company, and continues to serve as a senior managing director and senior advisor to its affiliated funds. From 2002 through 2009, Mr.</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Potter was a Managing Director—Private Equity at Soros Fund Management LLC where he served as co-head of its private equity group. Earlier in his career, Mr. Potter spent ten years as an attorney specializing in mergers, acquisitions, corporate governance and corporate finance at Morgan, Lewis &amp; Bockius LLP, and at Willkie Farr &amp; Gallagher LLP. Mr. Potter has served and continues to serve as a director on a number of boards of public and private companies, including Hilton Grand Vacations, Inc., where he serves as chairman of its board of directors and its nominating and corporate governance committee, and SLR Investment Corp.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is expected to consist of ten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will consist of ten members. Our Board expects to determine that each of David Novak, Rebecca S. Campbell, Creighton Cordon, Michael A. Conway, David Eun, Gerald L. Hassell, W. Scott Mahoney, Maritza Montiel and Leonard A. Potter is independent under the rules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 determining independence, the Board will consider whether a director has any relationship that would interfere with such director’s exercise of independent judgment in carrying out the responsibilities of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completion of the Separation, our Board will have an Audit Committee, a Compensation Committee and a Governance Committee, each of which will operate under written charters approved by the full Board. We intend to comply with the listing requirements and other rules and regulations of Nasdaq, as amended or modified from time to time, with respect to each of these committees and each of these committees will be comprised exclusively of independent directors. The charters of all the Committees will be posted on our website after the Separation.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expected to be Maritza Montiel, Leonard A. Potter and Rebecca S. Campbell. Maritza Montiel is expected to be the Chair of our Audit Committee. We expect that each member of our Audit Committee will meet the requirements for independence under the current Nasdaq listing standards and SEC rules and regulations. We expect that all the members of our Audit Committee will be financially sophisticated. In addition, we expect to determine that each member of our audit committee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94"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auditors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permissible non-audit services to be provided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our annual and quarterly statements prior to filing with the SEC;</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to shareholders annually for inclusion in our proxy statement.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expected to be Gerald L. Hassell, David Novak and Michael A. Conway. Gerald L. Hassell is expected to be the Chair of the Compensation Committee. We expect that each member of the Compensation Committee will meet the requirements for independence under the current Nasdaq listing standards and SEC rules and regulations. The responsibilities of the Compensation Committee will be more fully described in the Compensation Committee Charter and will include, among other duties:</w:t>
      </w:r>
    </w:p>
    <w:p>
      <w:pPr>
        <w:spacing w:after="0" w:line="85" w:lineRule="exact"/>
        <w:rPr>
          <w:sz w:val="20"/>
          <w:szCs w:val="20"/>
          <w:color w:val="auto"/>
        </w:rPr>
      </w:pPr>
    </w:p>
    <w:p>
      <w:pPr>
        <w:ind w:left="1080" w:right="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and benefits plans and policies generally, including reviewing and approving any equity-based compensation plans and executive incentive compensation plans;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61"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our Board compensation for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programs and strategies related to human capital management, including with respect to talent recruitment, development and retention, employee engagement and workforce composition.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on executive compensation and reviewing the Compensation Discussion and Analysis disclosure that, in each case, are required to be included in our proxy statement;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whether any risks in our compensation policies and practices for our employees are reasonably likely to have a material adverse effect on Versant;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Governance Committee are expected to be Creighton Condon, David Eun and W. Scott Mahoney. Creighton Condon is expected to be the Chair of our Governance Committee. We expect that each member of the Governance Committee will meet the requirements for independence under the current Nasdaq listing standards. The responsibilities of the Governance Committee will be more fully described in our Governance Committee Charter and will include, among other duties:</w:t>
      </w:r>
    </w:p>
    <w:p>
      <w:pPr>
        <w:spacing w:after="0" w:line="85" w:lineRule="exact"/>
        <w:rPr>
          <w:sz w:val="20"/>
          <w:szCs w:val="20"/>
          <w:color w:val="auto"/>
        </w:rPr>
      </w:pPr>
    </w:p>
    <w:p>
      <w:pPr>
        <w:ind w:left="1080" w:right="26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criteria for membership for our Board and identify individuals qualified to become Board members, and recommend to our Board director nominees for election;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size and responsibilities of our Board and its committees and recommend any proposed changes to our Board;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Corporate Governance Guidelines and Code of Conduct and periodically reviewing and reassessing the adequacy of such Corporate Governance Guidelines and Code of Conduct;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including a review of any recommendations or issues that arise with respect to our Board or committee nominees or membership, Board performance, corporate governance or any other matters that the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our Board will adopt a Code of Conduct that will apply to all of our employees, officers and directors. Upon completion of the Separation, the full text of our Code of Conduct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60"/>
          </w:cols>
          <w:pgMar w:left="320" w:top="455" w:right="5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information statement, we have identified the following individuals who we expect will be our “named executive officers” or “NEOs”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80"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Executive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anticipation of the Separation, our Board will adopt a written charter for the Compensation Committee that establishes, among other things, the Compensation Committee’s purpose and its responsibilities with respect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expect that an outside compensation consultant will advise on the design of compensation programs for Versant in connection with the Separation.</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our Compensation Committee will engage an independent compensation consultant to advise on compensation program design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each of Messrs. Lazarus and Kini and Ms. Fasbender has entered into a new employment agreement with Versant Media, LLC, a newly formed Pennsylvania limited liability company that is currently a wholly-owned subsidiary of Comcast but will become a wholly-owned subsidiary of Versant effective on the Distribution Date. The employment agreements for Messrs. Lazarus and Kini and Ms. Fasbender will become effective on the Distribution Date. Each of these agreements provide for an initial term of employment of four years (or, in the case of Mr. Kini, five years) from the Distribution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Each of the NEO’s employment agreements provides for the payment of an initial base salary equal to $2,500,000 for Mr. Lazarus, $2,266,000 for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Kini and $1,000,000 for Ms. Fasbender. Each of the NEOs will also be eligible to receive an annual performance bonus with an annual target bonus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equal to, for Mr. Lazarus, 300% of his base salary, for Mr. Kini, 200% of his base salary, and for Ms. Fasbender, 120% of her base salary.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will also provide for annual equity awards under our long-term incentive plan with an annual target grant date fair market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$12,500,000 for Mr. Lazarus, $6,400,000 for Mr. Kini and $2,000,000 for Ms. Fasbender. In addition, the agreements provide for an initial equity award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Versant common stock under the Omnibus Plan (as defined below) in the form of time-vesting restricted stock units (“RSUs”)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performance-vesting restricted stock units with a grant date fair market value of $12,500,000 for Mr. Lazarus, $7,500,000 for Mr. Kini and $1,000,000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Ms. Fasbender (the “Founders Grants”).</w:t>
      </w:r>
    </w:p>
    <w:p>
      <w:pPr>
        <w:spacing w:after="0" w:line="207"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Under their employment agreements, our NEOs have agreed not to solicit our employees or exclusive service providers for one year after termination of their employment for any reason. Each NEO has also agreed to maintain the confidentiality of our information and not to use such information, except for our benefit, at all times during and after their employment with us. In the case of Messrs. Lazarus and Kini (but not Ms. Fasbender), in the event an NEO’s employment is terminated for “cause” or if an NEO resigns from employment without “good reason” (each as defined in the NEO’s agreement), Messrs. Lazarus and Kini have agreed not to compete with us for one year after termination of their employment.</w:t>
      </w:r>
    </w:p>
    <w:p>
      <w:pPr>
        <w:spacing w:after="0" w:line="16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an NEO’s employment is terminated by us without cause or by the NEO for “good reason,” subject to an NEO’s timely execution and non-revocation of a release of claims, such NEO is entitled to the following benefits:</w:t>
      </w:r>
    </w:p>
    <w:p>
      <w:pPr>
        <w:spacing w:after="0" w:line="67"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base salary payments for two years following the NEO’s termination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entitlement to receive the NEO’s annual target bonus payments for the two year period following the NEO’s termination date (with the prorated bonus relating to the portion of the relevant bonus year elapsed prior to the termination date calculated based on actual achievement of the applicable performance criteria);</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unvested equity outstanding as of the NEO’s termination date for two years following the termination date (other than the Founders Grant) and, to the extent applicable, continued vesting of all Converted Versant RSUs until such Converted Versant RSUs fully vest;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benefit plans and programs available to similarly-situated employees for two years following the NEO’s termination date.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Upon Separation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including Comcast Equity Awards held by our NEOs, will be equitably adjusted in accordance with the terms of the Comcast equity incentive plans. Specifically, we intend that, in connection with the Separation, outstanding Comcast Equity Awards will generally be adjusted as follows:</w:t>
      </w:r>
    </w:p>
    <w:p>
      <w:pPr>
        <w:spacing w:after="0" w:line="81" w:lineRule="exact"/>
        <w:rPr>
          <w:sz w:val="20"/>
          <w:szCs w:val="20"/>
          <w:color w:val="auto"/>
        </w:rPr>
      </w:pPr>
    </w:p>
    <w:p>
      <w:pPr>
        <w:ind w:left="1080" w:right="40" w:hanging="424"/>
        <w:spacing w:after="0" w:line="253"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3"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As of November 21, 2025, Versant Participants held 1,974,590 Comcast RSUs with respect to approximately 1,974,590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Clawbacks and Other Remedies for Potential Misconduct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Separation, Versant will adopt a clawback policy as required under stock exchange listing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Prohibitions on Hedging and Pledging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Omnibus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Separation, we intend to adopt the Omnibus Plan, subject to approval of our Board and Comcast, as our sole stockholder.</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Omnibus Plan is to promote our ability to recruit and retain employees and other eligible service providers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 growth and profitability of the Company by providing the incentive of long-term awards for continued employment or other service and the attainment of performance objectives.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Omnibus Plan will be administered by the Compensation Committee or any other committee or subcommittee that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(including prospective employees who have accepted offers of employment), nonemployee directors and other advisors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r>
        <w:rPr>
          <w:rFonts w:ascii="Times New Roman" w:cs="Times New Roman" w:eastAsia="Times New Roman" w:hAnsi="Times New Roman"/>
          <w:sz w:val="18"/>
          <w:szCs w:val="18"/>
          <w:color w:val="auto"/>
        </w:rPr>
        <w:t>. Subject to adjustment as described below and except for “substitute awards” (i.e., awards granted in assumption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substitution of awards previously granted by an acquired company), the maximum number of shares of Versant Class A common stock available for issuance under the Omnibus Plan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will be 19,000,000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based on the estimated issuance of approximately 144,150,019 shares of our Class A common stock and 377,775 shares of our Class B common stock to holders of Comcast common stock in connection with the Separation. The maximum number of shares of Versant Class A common stock available for issuance with respect to incentive stock options (“ISOs”) will be equal to the Share Pool.</w:t>
      </w:r>
    </w:p>
    <w:p>
      <w:pPr>
        <w:spacing w:after="0" w:line="183"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3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of certain corporate transactions or events affecting the shares, or of changes in applicable laws, regulations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spacing w:after="0" w:line="18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Summary of Award Types</w:t>
      </w:r>
      <w:r>
        <w:rPr>
          <w:rFonts w:ascii="Times New Roman" w:cs="Times New Roman" w:eastAsia="Times New Roman" w:hAnsi="Times New Roman"/>
          <w:sz w:val="18"/>
          <w:szCs w:val="18"/>
          <w:color w:val="auto"/>
        </w:rPr>
        <w:t>. The Omnibus Plan permits the grant of nonqualified stock options and ISOs (“stock options”),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(“SARs”), restricted stock,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terms and conditions of the Omnibus Plan will apply to Converted Versant RSUs only to the extent that such terms and conditions are not inconsistent with the terms of the Employee Matters Agreement and the terms of the applicable Converted Versant RSUs, as contemplated by the Employee Matters Agreement.</w:t>
      </w:r>
    </w:p>
    <w:p>
      <w:pPr>
        <w:spacing w:after="0" w:line="18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payment of dividends, dividend equivalents or other distributions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Under the Omnibus Plan, in the event of a “change in control” (as such term will be defined under the Omnibus Plan)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take any one or more of the following actions, as described in more detail in the Omnibus Plan:</w:t>
      </w:r>
    </w:p>
    <w:p>
      <w:pPr>
        <w:spacing w:after="0" w:line="112" w:lineRule="exact"/>
        <w:rPr>
          <w:sz w:val="20"/>
          <w:szCs w:val="20"/>
          <w:color w:val="auto"/>
        </w:rPr>
      </w:pPr>
    </w:p>
    <w:p>
      <w:pPr>
        <w:ind w:left="5480" w:right="4120" w:hanging="4824"/>
        <w:spacing w:after="0" w:line="454" w:lineRule="auto"/>
        <w:tabs>
          <w:tab w:leader="none" w:pos="107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continuation, assumption, substitution or replacement of an award; 109</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subject to performance-related vesting conditions, determine the level of attainment of the applicable performance conditions;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award in consideration for a payment (subject to the terms and conditions of the Omnibus Plan), including cancelling any underwater stock options or SARs for no consideration.</w:t>
      </w:r>
    </w:p>
    <w:p>
      <w:pPr>
        <w:spacing w:after="0" w:line="158" w:lineRule="exact"/>
        <w:rPr>
          <w:sz w:val="20"/>
          <w:szCs w:val="20"/>
          <w:color w:val="auto"/>
        </w:rPr>
      </w:pPr>
    </w:p>
    <w:p>
      <w:pPr>
        <w:jc w:val="both"/>
        <w:ind w:left="120" w:right="2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Transferability of Awards</w:t>
      </w:r>
      <w:r>
        <w:rPr>
          <w:rFonts w:ascii="Times New Roman" w:cs="Times New Roman" w:eastAsia="Times New Roman" w:hAnsi="Times New Roman"/>
          <w:sz w:val="17"/>
          <w:szCs w:val="17"/>
          <w:color w:val="auto"/>
        </w:rPr>
        <w:t>. No award will be transferable by a participant other than by will or to the participant’s designated beneficiaries,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53"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Awards granted under the Omnibus Plan will be subject to any clawback or recoupment arrangement or policy we have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clawback policy adopted to comply with the SEC’s recent clawback rules implementing Section 10D of the Exchange Act.</w:t>
      </w:r>
    </w:p>
    <w:p>
      <w:pPr>
        <w:spacing w:after="0" w:line="155"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Repricing</w:t>
      </w:r>
      <w:r>
        <w:rPr>
          <w:rFonts w:ascii="Times New Roman" w:cs="Times New Roman" w:eastAsia="Times New Roman" w:hAnsi="Times New Roman"/>
          <w:sz w:val="17"/>
          <w:szCs w:val="17"/>
          <w:color w:val="auto"/>
        </w:rPr>
        <w:t>. Except in the event of certain corporate transactions (as described above), the Administrator may not, without shareholder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reprice any previously granted “underwater” stock option, SAR or similar award, including by cancellation and regrant or any other method.</w:t>
      </w:r>
    </w:p>
    <w:p>
      <w:pPr>
        <w:spacing w:after="0" w:line="13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Omnibus Plan</w:t>
      </w:r>
      <w:r>
        <w:rPr>
          <w:rFonts w:ascii="Times New Roman" w:cs="Times New Roman" w:eastAsia="Times New Roman" w:hAnsi="Times New Roman"/>
          <w:sz w:val="18"/>
          <w:szCs w:val="18"/>
          <w:color w:val="auto"/>
        </w:rPr>
        <w:t>. Except to the extent prohibited by applicable law and unless otherwise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85" w:lineRule="exact"/>
        <w:rPr>
          <w:sz w:val="20"/>
          <w:szCs w:val="20"/>
          <w:color w:val="auto"/>
        </w:rPr>
      </w:pPr>
    </w:p>
    <w:p>
      <w:pPr>
        <w:jc w:val="center"/>
        <w:ind w:left="88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Term of the Omnibus Plan</w:t>
      </w:r>
      <w:r>
        <w:rPr>
          <w:rFonts w:ascii="Times New Roman" w:cs="Times New Roman" w:eastAsia="Times New Roman" w:hAnsi="Times New Roman"/>
          <w:sz w:val="18"/>
          <w:szCs w:val="18"/>
          <w:color w:val="auto"/>
        </w:rPr>
        <w:t>. The Omnibus Plan will terminate on the tenth anniversary of its effective date, unless earlier terminated by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three fiscal years or currently proposed,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had or will have a direct or indirect material interest.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of Directors Structure,” “Management—Compensation of Directors” and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from Comcast</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 Agreements with Comcast” for information regarding these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current business of Comcast, we engage in related party transactions with Comcast. Those transactions are described in more detail in Note 10 to the accompanying audited combined financial statements and Note 5 to the accompanying unaudited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COMMON STOCK BY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After the Separation, Comcast will not directly or indirectly own any of our common stock.</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November 21, 2025 (the “Reference Date”) by (i) persons beneficially owning more than five percent (5%) of any class at the time of Distribution and (ii) each director and executive officer of the Company.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November 21, 2025. The table is based upon an assumption that, for every twenty-five shares of Comcast Class A common stock or Comcast Class B common stock held by such persons, they will receive one share of Versant Class A common stock or Versant Class B common stock, respectively.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52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Amount Beneficially Owned</w:t>
            </w:r>
            <w:r>
              <w:rPr>
                <w:rFonts w:ascii="Times New Roman" w:cs="Times New Roman" w:eastAsia="Times New Roman" w:hAnsi="Times New Roman"/>
                <w:sz w:val="10"/>
                <w:szCs w:val="10"/>
                <w:b w:val="1"/>
                <w:bCs w:val="1"/>
                <w:color w:val="auto"/>
              </w:rPr>
              <w:t>(1)</w:t>
            </w:r>
          </w:p>
        </w:tc>
        <w:tc>
          <w:tcPr>
            <w:tcW w:w="18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A</w:t>
            </w:r>
          </w:p>
        </w:tc>
        <w:tc>
          <w:tcPr>
            <w:tcW w:w="6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David Eun</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3160" w:type="dxa"/>
            <w:vAlign w:val="bottom"/>
            <w:gridSpan w:val="4"/>
          </w:tcPr>
          <w:p>
            <w:pPr>
              <w:ind w:left="2260"/>
              <w:spacing w:after="0"/>
              <w:rPr>
                <w:sz w:val="20"/>
                <w:szCs w:val="20"/>
                <w:color w:val="auto"/>
              </w:rPr>
            </w:pPr>
            <w:r>
              <w:rPr>
                <w:rFonts w:ascii="Times New Roman" w:cs="Times New Roman" w:eastAsia="Times New Roman" w:hAnsi="Times New Roman"/>
                <w:sz w:val="18"/>
                <w:szCs w:val="18"/>
                <w:color w:val="auto"/>
              </w:rPr>
              <w:t>302</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3160" w:type="dxa"/>
            <w:vAlign w:val="bottom"/>
            <w:gridSpan w:val="4"/>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509</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31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7,155</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316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Novak</w:t>
            </w:r>
          </w:p>
        </w:tc>
        <w:tc>
          <w:tcPr>
            <w:tcW w:w="31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13,182</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31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21,164</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45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tabs>
          <w:tab w:leader="none" w:pos="5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reflects rounding for share-based compensation in the aggregate, not by specific tranche or award.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twenty-five shares of Comcast Class A common stock or Comcast Class B common stock held by such persons, they will receive one share of Versant Class A common stock or Versant Class B common stock, respectively.</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TITLE OF VOTING CLASS</w:t>
            </w:r>
          </w:p>
        </w:tc>
        <w:tc>
          <w:tcPr>
            <w:tcW w:w="3280" w:type="dxa"/>
            <w:vAlign w:val="bottom"/>
            <w:gridSpan w:val="2"/>
            <w:vMerge w:val="continue"/>
          </w:tcPr>
          <w:p>
            <w:pPr>
              <w:spacing w:after="0"/>
              <w:rPr>
                <w:sz w:val="12"/>
                <w:szCs w:val="12"/>
                <w:color w:val="auto"/>
              </w:rPr>
            </w:pPr>
          </w:p>
        </w:tc>
        <w:tc>
          <w:tcPr>
            <w:tcW w:w="25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7"/>
        </w:trPr>
        <w:tc>
          <w:tcPr>
            <w:tcW w:w="2940" w:type="dxa"/>
            <w:vAlign w:val="bottom"/>
            <w:gridSpan w:val="2"/>
            <w:vMerge w:val="continue"/>
          </w:tcPr>
          <w:p>
            <w:pPr>
              <w:spacing w:after="0"/>
              <w:rPr>
                <w:sz w:val="16"/>
                <w:szCs w:val="16"/>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2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16"/>
                <w:szCs w:val="16"/>
                <w:color w:val="auto"/>
              </w:rPr>
            </w:pPr>
          </w:p>
        </w:tc>
        <w:tc>
          <w:tcPr>
            <w:tcW w:w="30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Vanguard Group</w:t>
            </w:r>
          </w:p>
        </w:tc>
        <w:tc>
          <w:tcPr>
            <w:tcW w:w="20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6"/>
                <w:szCs w:val="16"/>
                <w:color w:val="auto"/>
              </w:rPr>
              <w:t>14,943,251</w:t>
            </w:r>
            <w:r>
              <w:rPr>
                <w:rFonts w:ascii="Times New Roman" w:cs="Times New Roman" w:eastAsia="Times New Roman" w:hAnsi="Times New Roman"/>
                <w:sz w:val="22"/>
                <w:szCs w:val="22"/>
                <w:color w:val="auto"/>
                <w:vertAlign w:val="superscript"/>
              </w:rPr>
              <w:t>(2)</w:t>
            </w:r>
          </w:p>
        </w:tc>
        <w:tc>
          <w:tcPr>
            <w:tcW w:w="20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100 Vanguard Blvd., Malvern, PA 19355</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BlackRock, Inc.</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11,928,617</w:t>
            </w:r>
            <w:r>
              <w:rPr>
                <w:rFonts w:ascii="Times New Roman" w:cs="Times New Roman" w:eastAsia="Times New Roman" w:hAnsi="Times New Roman"/>
                <w:sz w:val="26"/>
                <w:szCs w:val="26"/>
                <w:color w:val="auto"/>
                <w:w w:val="94"/>
                <w:vertAlign w:val="superscript"/>
              </w:rPr>
              <w:t>(3)</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8.3%</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55 East 52nd Street, New York, NY 10055</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3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Brian L. Roberts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377,775</w:t>
            </w:r>
            <w:r>
              <w:rPr>
                <w:rFonts w:ascii="Times New Roman" w:cs="Times New Roman" w:eastAsia="Times New Roman" w:hAnsi="Times New Roman"/>
                <w:sz w:val="26"/>
                <w:szCs w:val="26"/>
                <w:color w:val="auto"/>
                <w:w w:val="96"/>
                <w:vertAlign w:val="superscript"/>
              </w:rPr>
              <w:t>(4)</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 PA 19103</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4"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a Schedule 13G/A filing with the SEC on June 5, 2025 made by The Vanguard Group setting forth information related to Comcast share ownership as of May 30, 2025. The Vanguard Group disclosed having shared voting power over 4,647,346 shares of Comcast Class A common stock, sole dispositive power over 354,729,449 shares of Comcast Class A common stock and shared dispositive power over 18,851,829 shares of Comcast Class A common stock.</w:t>
      </w:r>
    </w:p>
    <w:p>
      <w:pPr>
        <w:spacing w:after="0" w:line="1" w:lineRule="exact"/>
        <w:rPr>
          <w:rFonts w:ascii="Times New Roman" w:cs="Times New Roman" w:eastAsia="Times New Roman" w:hAnsi="Times New Roman"/>
          <w:sz w:val="18"/>
          <w:szCs w:val="18"/>
          <w:color w:val="auto"/>
        </w:rPr>
      </w:pPr>
    </w:p>
    <w:p>
      <w:pPr>
        <w:ind w:left="540" w:right="280" w:hanging="424"/>
        <w:spacing w:after="0" w:line="265" w:lineRule="auto"/>
        <w:tabs>
          <w:tab w:leader="none" w:pos="5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is based upon a Schedule 13G/A filing with the SEC on February 13, 2024 made by BlackRock, Inc. setting forth information related to Comcast share ownership as of December 31, 2023. BlackRock, Inc. disclosed having sole voting power over 267,562,663 shares of Comcast Class A common stock and sole dispositive power over 298,215,422 shares of Comcast Class A common stock.</w:t>
      </w:r>
    </w:p>
    <w:p>
      <w:pPr>
        <w:ind w:left="540" w:right="100" w:hanging="424"/>
        <w:spacing w:after="0" w:line="253" w:lineRule="auto"/>
        <w:tabs>
          <w:tab w:leader="none" w:pos="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377,775 shares of Class B common stock that will be owned by a limited liability company of which Mr. Roberts is the managing member. The shares of Class B common stock beneficially owned by Mr. Roberts will represent 33 1/3% of the combined voting power of our stock, which percentage is generally non-dilutable under the terms of our articles of incorporation. The Class B common stock will be convertible on a share-for-share basis into Class A common stock.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7"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and should be read in conjunction with, and are qualified in their entirety by, the relevant documentation evidencing the indebtedness, which in each case is filed as an exhibit to the registration statement of which this information statement forms a part or will be filed as an exhibit to our filings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is a summary and should be read in conjunction with, and is qualified in its entirety by, the Credit Agreements (as defined below) and the other agreements governing the Senior Credit Facilities (as defined below). On October 3, 2025, Versant entered into a credit agreement (the “TLA/Revolver Credit Agreement”) providing for a term loan of $1.0 billion due January 2031 (the “Term A Loan Facility”) and a revolving credit facility of $750 million due January 2031 (the “Revolving Credit Facility”). The Company intends to enter into a credit agreement (the “TLB Credit Agreement”; the TLB Credit Agreement, together with the TLA/Revolver Credit Agreement, the “Credit Agreements”) providing for a term loan of $1.0 billion with a five-year term to maturity (the “Term B Loan Facility”; the Term B Loan Facility, together with the Term A Loan Facility, the “Term Loan Facilities”; the Term Loan Facilities, together with the Revolving Credit Facility, the “Senior Credit Facilities”). Commitments under the Term B Loan Facility were fully allocated in October 2025, subject to entry into of the TLB Credit Agreement which is expected to occur substantially concurrently with the consummation of the Separation.</w:t>
      </w:r>
    </w:p>
    <w:p>
      <w:pPr>
        <w:spacing w:after="0" w:line="188"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and after the Escrow Release Date (as defined below), the Senior Credit Facilities are expected to be secured by substantially all the assets of the Company and its material, wholly-owned U.S. subsidiaries, subject to certain exceptions. The Term Loan Facilities are expected to be denominated in U.S. dollars, and borrowings under the Revolving Credit Facility may be made available in U.S. dollars, euros, pounds sterling and Canadian dollars.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 (i) U.S. dollars bear interest at a rate per annum equal to, at our option, either (a) a term SOFR based rate or (b) a U.S. dollar base rate, (ii) Canadian dollars bear interest at a rate per annum equal to, at our option, either (a) Canadian Overnight Repo Rate Average (“CORRA”) based rate or (b) a Canadian dollar prime rate, (iii) euros bear interest at a rate per annum equal to EURIBOR and (iv) pounds sterling bear interest at a rate per annum equal to Sterling Overnight Index Average (“SONIA”) (provided, however, that the term SOFR-based rate, CORRA-based rate, EURIBOR, SONIA and Canadian dollar prime rate shall be no less than 0.00% per annum at any time and the U.S. dollar base rate shall be no less than 1.00% per annum at any time), in each case, plus an applicable margin.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applicable interest rate margins for borrowings under the Term A Loan Facility and the Revolving Credit Facility will be initially (a) 0.75% per annum in the case of U.S. dollar base rate or Canadian dollar prime rate borrowings and (b) 1.75% per annum in the case of SOFR, CORRA, EURIBOR or SONIA borrowings; provided that the applicable interest rate margins for both the Term A Loan Facility and the Revolving Credit Facility shall be subject to two stepdowns of 0.25% each based on, and subject to, the achievement of a consolidated first lien net leverage ratio of equal to or less than (x) 1.00:1.00 and (y) 0.75:1.00, respectively, as of the last day of the most recently ended period of four consecutive fiscal quarters for which financial statements have been delivered. In addition, the Company is required to pay commitment fees of 0.25% per annum on the unutilized commitments under the Revolving Credit Facility, payable quarterly in arrears, subject to one stepdown to 0.125% per annum based on, and subject to, the achievement of a consolidated first lien net leverage ratio of equal to or less than 1.00:1.00 as of the last day of the most recently ended period of four consecutive fiscal quarters for which financial statements have been delivered. The Company is also required to pay letter of credit fees on the maximum amount available to be drawn under all outstanding letters of credit in an amount equal to the applicable margin on SOFR borrowings under the Revolving Credit Facility on a per annum basis, payable quarterly in arrears, as well as customary fronting fees for the issuance of letters of credit and agency fees.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Borrowings under the Term B Loan Facility are expected to bear interest at a rate per annum equal to, at the Company’s option, either a term SOFR-based rate or a U.S. dollar base rate, in each case, plus an applicable margin of (a) 2.50% per annum in the case of U.S. dollar base rate borrowings and (b) 3.50% per annum in the case of SOFR borrowings, subject to SOFR-based rate floor of 0.00% per annum and U.S. dollar base rate floor of 1.00% per annum.</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and customary baskets set forth, or to be set forth, in the Credit Agreements, the Company is required to make mandatory prepayments of the loans under the Term A Loan Facility, and expects to be required to make mandatory prepayments of the loans under the Term B Loan Facility, under certain circumstances, including from: (i) 100% of the net cash proceeds of insurance and condemnation proceeds for property or asset losses and certain property or asset dispositions (subject to reinvestment rights, decrease based on leverage ratios and net proceeds thresholds), (ii) 100% of the net cash proceeds from the incurrence of debt (other than permitted debt as described in the Credit Agreements) and (iii) solely in the case of the Term B Loan Facility, 50% of Excess Cash Flow (to be defined in the TLB Credit Agreement) (subject to decrease based on a leverage ratio).</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amortization rate for the Term A Loan Facility is 5.00% per annum, payable in quarterly installments, with the balance being payable on the maturity date of the Term A Loan Facility. The amortization rate for the Term B Loan Facility is expected to be 7.00% per annum, payable in quarterly installments, until the balance is payable on the maturity date of the Term B Loan Facility.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permitted to voluntarily reduce unutilized portion of the revolving commitment amount and repay outstanding loans under the Term A Loan Facility and the Revolving Credit Facility at any time without prepayment premium or penalty. The Company expects to be permitted to voluntarily repay outstanding loans under the Term B Loan Facility at any time, (a) subject to the payment of a customary T+50 make-whole premium if such prepayment occurs prior to the first anniversary of the closing date, (b) subject to a prepayment premium of 1% if such prepayment occurs on or after the first anniversary of the closing date and before the second anniversary of the closing date and (c) at par if such prepayment occurs on or after the second anniversary of the closing date.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and the Guarantors under the Senior Credit Facilities and certain hedging arrangements and cash management arrangements will be (or, in the case of the Term B Loan Facility, are expected to be) secured by first-priority security interests in the collateral securing such facilities subject to certain exclusions set forth in the credit documentation governing the Senior Credit Facilities.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TLA/Revolver Credit Agreement contains (and it is expected that the TLB Credit Agreement will contain) a number of covenants that, among other things and subject to certain exceptions, restrict the Company’s and its subsidiaries’ ability to:</w:t>
      </w:r>
    </w:p>
    <w:p>
      <w:pPr>
        <w:spacing w:after="0" w:line="67" w:lineRule="exact"/>
        <w:rPr>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and other arrangements that include negative pledge clauses;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capital stock or redeem, repurchase or retire capital stock or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amalgamate or sell assets, including equity interests of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of or waivers under subordinated indebtedness.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Term A Loan Facility and the Revolving Credit Facility also contain a financial covenant that requires the Company to maintain a maximum first lien net leverage ratio of not greater than 3.50:1.00.</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TLA/Revolver Credit Agreement also contains (and it is expected that the TLB Credit Agreement will contain) certain customary affirmative covenants and events of default. If an event of default, as specified in the Credit Agreements, shall occur and be continuing, the borrowers thereunder may be required to repay all amounts outstanding under the Senior Credit Facilities. The Company periodically reviews its debt profile with a view towards extending maturities and/or improving the terms of such debt. The Company may, from time to time, seek amendments to such debt in order to effect such changes.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described above with respect to the Term B Loan Facility are subject to change. Borrowings under the Senior Credit Facilities are subject to a number of conditions. To the extent that any of the conditions with respect to such indebtedness are not satisfied, such indebtedness may not be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October 29, 2025, the Company issued $1.0 billion aggregate principal amount of 7.250% senior secured notes due 2031 (the “Notes”) pursuant to Rule 144A and Regulation S under the Securities Act. The Notes mature on January 30, 2031. Interest on the Notes accrues at 7.250% per annum and will be paid semi-annually, in arrears, on January 30 and July 30 of each year, commencing on July 30, 2026.</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proceeds from the offering of the Notes were placed into an escrow account (the “Escrow Account”) and will be released substantially concurrently with (i) satisfaction or waiver in all material respects of the conditions precedent to borrowing under the Term Loan Facilities and (ii) the consummation of the Transactions (the date of such release, the “Escrow Release Date”).</w:t>
      </w:r>
    </w:p>
    <w:p>
      <w:pPr>
        <w:spacing w:after="0" w:line="176"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Prior to the Escrow Release Date, the Notes are not guaranteed and are secured only by a first-priority security interest in favor of the trustee under the Indenture in the Escrow Account and the escrowed funds therein. From and after the Escrow Release Date, the Notes will be jointly and unconditionally guaranteed on a senior secured basis by each of the Company’s subsidiaries that is a guarantor under the Senior Credit Facilities.</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Escrow Release Date, the Notes and the related guarantees will be the Company’s senior obligations and the senior obligations of the guarantors and will be secured, subject to permitted liens and certain other exceptions, by perfected first-priority security interests in substantially all of the Company’s and each guarantor’s tangible and intangible assets and property, now owned or hereafter acquired, that secure borrowings under the Senior Credit Facilities, subject to certain customary exceptions (the “Collateral”).</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From and after the Escrow Release Date, the Notes and the related guarantees will be: (i) general secured obligations, secured by a first-priority lien (subject to permitted liens and certain other exceptions) on the Collateral;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Company’s and each guarantor’s respective future unsubordinated indebtedness; (iii) senior in right of payment to future indebtedness that expressly provides for its subordination to the Notes or applicable guarantees; (iv) effectively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of the Company’s and each guarantor’s respective existing and future indebtedness secured by a first-priority lien on the Collateral including the Senior Credit Facilities); (v) effectively senior to all of the Company’s and each guarantor’s respective future indebtedness that is unsecured or that is secured by junior liens on the Collateral, in each case to the extent of the value of the Collateral; (vi) structurally subordinated to all existing and future indebtedness and other liabilities of any of the Company’s or any guarantor’s non-guarantor subsidiaries, to the extent of the value of such subsidiaries’ assets; and (vii) effectively subordinated to any of the Company’s or any guarantor’s respective existing or future debt that is secured by assets that are not Collateral, to the extent of the value of such assets.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after the Escrow Release Date and prior to January 30, 2028, the Company may, at its option, redeem the Notes, in whole or in part, at a price equal to 100% of the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amount thereof, plus accrued and unpaid interest, if any, plus the applicable “make-whole” premium set forth in the Indenture. The Company may redeem the Notes, in whole or in part, at any time and from time to time on or after January 30, 2028 at the redemption prices set forth in the Indenture. At any time and from time to time after the Escrow Release Date and prior to January 30, 2028, the Company may redeem up to 10% during any twelve-month period at a redemption price equal to 103% of the principal amount thereof, plus accrued and unpaid interest, if any. The Company may, at its option, also redeem up to 40% of the aggregate principal amount of the Notes at any time and from time to time after the Escrow Release Date and prior to January 30, 2028 in an amount equal to the net proceeds from certain equity offerings at the redemption price equal to 107.250% of the principal amount thereof plus accrued and unpaid interest, if any.</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Indenture limits the Company’s and its restricted subsidiaries’ ability to, among other things, incur or guarantee debt; make certain investments and other restricted payments; create liens; enter into transactions with affiliates; merge or consolidate with another company; and transfer and sell assets. These covenants are subject to a number of important limitations and exceptions.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upon certain events constituting a change of control under the Indenture, the holders of the Notes have the right to require us to offer to repurchase the Notes at a purchase price equal to 101% of the principal amount thereof, plus accrued and unpaid interest, to, but excluding the date of purchase.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 if the Company or its restricted subsidiaries engage in certain asset sales, the Company must prepay certain debt, invest the net cash proceeds from such sales in the Company’s business within a specified period of time or make an offer to purchase a principal amount of Notes equal to the excess net cash proceeds of such asset sale, subject to certain exceptions. The purchase price of the Notes purchased will be 100% of their principal amount, plus accrued and unpaid interest to, but excluding, the repurchase date.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Indenture also provides for customary events of default, which, if any of them occurs, may cause the principal of and accrued interest on the Notes to become, or to be declared, due and payable. Events of default (subject in certain cases to customary grace and cure periods), include, among others, nonpayment of principal or interest, breach of other covenants or agreements in the Indenture, failure to pay certain other indebtedness, failure to pay certain final judgments, failure of certain guarantees to be enforceable, certain events of bankruptcy or insolvency and failure of certain security interests to be valid or enforceable.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Upon completion of the Separation, we will have two classes of common stock outstanding: Class A common stock, par value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$0.01 per share, and Class B common stock, par value $0.01 per share. Under our articles of incorporation, there are authorized 7,500,000,000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75,000,000 shares of Class B common stock and 20,000,000 shares of preferred stock. Upon completion of the Separation, 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estimate that we will have outstanding an aggregate of approximately 144,150,019 shares of our Class A common stock and 377,775 shares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B common stock (based on 3,603,750,474 shares of Comcast Class A common stock and 9,444,375 shares of Comcast Class B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on November 21, 2025). The actual number of shares to be distributed will be determined on the record date. All outstanding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and Class B common stock are fully paid and non-assessable, and the shares of Class A common stock and Class B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to be issued upon completion of the Distribution will be fully paid and non-assessable.</w:t>
      </w:r>
    </w:p>
    <w:p>
      <w:pPr>
        <w:spacing w:after="0" w:line="20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As a general matter, on all matters submitted for a vote to holders of all classes of our voting stock, holders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preferential rights of any preferred stock then outstanding, holders of our Class A common stock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8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Class B common stock</w:t>
      </w:r>
      <w:r>
        <w:rPr>
          <w:rFonts w:ascii="Times New Roman" w:cs="Times New Roman" w:eastAsia="Times New Roman" w:hAnsi="Times New Roman"/>
          <w:sz w:val="18"/>
          <w:szCs w:val="18"/>
          <w:color w:val="auto"/>
        </w:rPr>
        <w:t>. The Class B common stock is convertible share for share into Class A common stock,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Approval rights</w:t>
      </w:r>
      <w:r>
        <w:rPr>
          <w:rFonts w:ascii="Times New Roman" w:cs="Times New Roman" w:eastAsia="Times New Roman" w:hAnsi="Times New Roman"/>
          <w:sz w:val="18"/>
          <w:szCs w:val="18"/>
          <w:color w:val="auto"/>
        </w:rPr>
        <w:t>. Except as required by law, holders of Class A common stock have no specific approval rights over any corporate actions.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B common stock have an approval right over (1) any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Preferences on liquidation</w:t>
      </w:r>
      <w:r>
        <w:rPr>
          <w:rFonts w:ascii="Times New Roman" w:cs="Times New Roman" w:eastAsia="Times New Roman" w:hAnsi="Times New Roman"/>
          <w:sz w:val="18"/>
          <w:szCs w:val="18"/>
          <w:color w:val="auto"/>
        </w:rPr>
        <w:t>. In the event of our liquidation, dissolution or winding-up, either voluntary or involuntary,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Mergers, consolidations, etc. </w:t>
      </w:r>
      <w:r>
        <w:rPr>
          <w:rFonts w:ascii="Times New Roman" w:cs="Times New Roman" w:eastAsia="Times New Roman" w:hAnsi="Times New Roman"/>
          <w:sz w:val="18"/>
          <w:szCs w:val="18"/>
          <w:color w:val="auto"/>
        </w:rPr>
        <w:t>Our articles of incorporation provide that if in a transaction such as a merger, consolidation, share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holders of Class A common stock and Class B common stock do not have any preemptive rights to acquire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any securities we may issue. We have been advised that the Class A common stock is exempt from existing Pennsylvania personal property tax.</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The Class B common stock is convertible on a share-for-share basis into Class A common stock. After the consummation of the Separation, if Mr. Roberts were to convert the Class B common stock he beneficially owns into Class A common stock, he would beneficially own approximately 1% of the Class A common stock that would be outstanding after the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have the authority to issue up to 20,000,000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Board of Directors will initially consist of ten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annually by the shareholders at each annual meeting of shareholders for a term expiring at the next annual meeting of shareholders. See “Management—Board of Directors Following the Separation.”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Shareholder Action by Written Consent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special meetings of shareholders may be called by our Board of Directors and not by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articles of incorporation, including the approval by the Board of Directors noted above, our bylaws grant our shareholders the power to alter, amend or repeal our bylaws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 and Proposals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the meeting is first announced by Versant. In order for a shareholder proposal to be considered for inclusion in our proxy statement and form of proxy relating to our annual meeting of shareholders to be held in 2026 pursuant to Rule 14a-8 under the Exchange Act, the proposal must be received by us no later than January 8, 2026.</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Versant’s articles of incorporation,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Some of the provisions of our articles of incorporation and bylaws (as described above), including the rights of holders of our Class B common stock, could make the following more difficult:</w:t>
      </w:r>
    </w:p>
    <w:p>
      <w:pPr>
        <w:spacing w:after="0" w:line="67" w:lineRule="exact"/>
        <w:rPr>
          <w:sz w:val="20"/>
          <w:szCs w:val="20"/>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control of us by means of a proxy contest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Anti-Takeover Statutes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of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Its telephone number is 651-450-4064.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Versant has been approved to have its shares of Class A common stock listed on Nasdaq under the ticker symbol “VSNT”, subject to official notice of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1"/>
            <w:vMerge w:val="restart"/>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Income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 for the years ended 2024, 2023 and 2022</w:t>
            </w:r>
          </w:p>
        </w:tc>
        <w:tc>
          <w:tcPr>
            <w:tcW w:w="40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49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Equity for the years ended 2024, 2023 and 2022</w:t>
            </w:r>
          </w:p>
        </w:tc>
        <w:tc>
          <w:tcPr>
            <w:tcW w:w="442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53"/>
        </w:trPr>
        <w:tc>
          <w:tcPr>
            <w:tcW w:w="2940" w:type="dxa"/>
            <w:vAlign w:val="bottom"/>
            <w:tcBorders>
              <w:top w:val="single" w:sz="8" w:color="0000EE"/>
            </w:tcBorders>
          </w:tcPr>
          <w:p>
            <w:pPr>
              <w:spacing w:after="0"/>
              <w:rPr>
                <w:sz w:val="24"/>
                <w:szCs w:val="24"/>
                <w:color w:val="auto"/>
              </w:rPr>
            </w:pPr>
          </w:p>
        </w:tc>
        <w:tc>
          <w:tcPr>
            <w:tcW w:w="7620" w:type="dxa"/>
            <w:vAlign w:val="bottom"/>
            <w:gridSpan w:val="13"/>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2025 and 2024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Combined Statements of Income for the three and nine months ended September 30, 2025 and 2024</w:t>
            </w:r>
          </w:p>
        </w:tc>
        <w:tc>
          <w:tcPr>
            <w:tcW w:w="252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8040" w:type="dxa"/>
            <w:vAlign w:val="bottom"/>
            <w:tcBorders>
              <w:bottom w:val="single" w:sz="8" w:color="0000EE"/>
            </w:tcBorders>
            <w:gridSpan w:val="11"/>
            <w:vMerge w:val="continue"/>
          </w:tcPr>
          <w:p>
            <w:pPr>
              <w:spacing w:after="0"/>
              <w:rPr>
                <w:sz w:val="14"/>
                <w:szCs w:val="14"/>
                <w:color w:val="auto"/>
              </w:rPr>
            </w:pPr>
          </w:p>
        </w:tc>
        <w:tc>
          <w:tcPr>
            <w:tcW w:w="2520" w:type="dxa"/>
            <w:vAlign w:val="bottom"/>
            <w:gridSpan w:val="3"/>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 for the three and nine months ended September 30, 2025 and 2024</w:t>
            </w:r>
          </w:p>
        </w:tc>
        <w:tc>
          <w:tcPr>
            <w:tcW w:w="134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Cash Flows for the nine months ended September 30, 2025 and 2024</w:t>
            </w:r>
          </w:p>
        </w:tc>
        <w:tc>
          <w:tcPr>
            <w:tcW w:w="292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Balance Sheets as of September 30, 2025 and December 31, 2024</w:t>
            </w:r>
          </w:p>
        </w:tc>
        <w:tc>
          <w:tcPr>
            <w:tcW w:w="418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Equity for the three and nine months ended September 30, 2025 and 2024</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88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17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20" w:type="dxa"/>
            <w:vAlign w:val="bottom"/>
            <w:gridSpan w:val="9"/>
          </w:tcPr>
          <w:p>
            <w:pPr>
              <w:jc w:val="center"/>
              <w:ind w:right="490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360" w:firstLine="2427"/>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Comcast Corporation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7 to the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81" w:lineRule="exact"/>
        <w:rPr>
          <w:sz w:val="20"/>
          <w:szCs w:val="20"/>
          <w:color w:val="auto"/>
        </w:rPr>
      </w:pPr>
    </w:p>
    <w:p>
      <w:pPr>
        <w:ind w:left="1080" w:right="14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(a)</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$1.26 billion, $1.34 billion and $1.39 billion for 2024, 2023 and 2022, respectively.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$1.42 billion, $1.42 billion and $1.43 billion for 2024, 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1,541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1,779</w:t>
            </w:r>
          </w:p>
        </w:tc>
      </w:tr>
      <w:tr>
        <w:trPr>
          <w:trHeight w:val="20"/>
        </w:trPr>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(2,492)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(2,355)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(2,486)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11,560</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11,677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13,078</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10,805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12,373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12,480</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totaled $82 million, $105 million and $140 million in 2024, 2023 and 2022, respectively, included in selling, general and administrative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 The levels of the hierarchy are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7,445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7,834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55" w:right="5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7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5"/>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$1,253</w:t>
            </w:r>
          </w:p>
        </w:tc>
        <w:tc>
          <w:tcPr>
            <w:tcW w:w="4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$1,364</w:t>
            </w: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1,245</w:t>
            </w:r>
          </w:p>
        </w:tc>
        <w:tc>
          <w:tcPr>
            <w:tcW w:w="4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1,346</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Changes in Allowance for</w:t>
            </w:r>
          </w:p>
        </w:tc>
      </w:tr>
      <w:tr>
        <w:trPr>
          <w:trHeight w:val="173"/>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4"/>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$ 18</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$ 17</w:t>
            </w: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$ 18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4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ind w:left="1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4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$2,749</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4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3,064</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3,154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3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40" w:type="dxa"/>
            <w:vAlign w:val="bottom"/>
            <w:gridSpan w:val="2"/>
            <w:vMerge w:val="continue"/>
          </w:tcPr>
          <w:p>
            <w:pPr>
              <w:spacing w:after="0"/>
              <w:rPr>
                <w:sz w:val="24"/>
                <w:szCs w:val="24"/>
                <w:color w:val="auto"/>
              </w:rPr>
            </w:pPr>
          </w:p>
        </w:tc>
        <w:tc>
          <w:tcPr>
            <w:tcW w:w="3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6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ind w:left="1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4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$1,695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$1,744</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36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4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2,606</w:t>
            </w: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2,749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0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F-14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$519</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$555</w:t>
            </w: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r>
      <w:tr>
        <w:trPr>
          <w:trHeight w:val="216"/>
        </w:trPr>
        <w:tc>
          <w:tcPr>
            <w:tcW w:w="88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639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706</w:t>
            </w:r>
          </w:p>
        </w:tc>
        <w:tc>
          <w:tcPr>
            <w:tcW w:w="4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content costs recorded in our combined balance sheets as of December 31, 2024.</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44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42"/>
        </w:trPr>
        <w:tc>
          <w:tcPr>
            <w:tcW w:w="8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8440" w:type="dxa"/>
            <w:vAlign w:val="bottom"/>
            <w:shd w:val="clear" w:color="auto" w:fill="CCEEFF"/>
          </w:tcPr>
          <w:p>
            <w:pPr>
              <w:jc w:val="right"/>
              <w:ind w:right="799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440" w:type="dxa"/>
            <w:vAlign w:val="bottom"/>
          </w:tcPr>
          <w:p>
            <w:pPr>
              <w:jc w:val="right"/>
              <w:ind w:right="799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40" w:type="dxa"/>
            <w:vAlign w:val="bottom"/>
            <w:shd w:val="clear" w:color="auto" w:fill="CCEEFF"/>
          </w:tcPr>
          <w:p>
            <w:pPr>
              <w:jc w:val="right"/>
              <w:ind w:right="799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2024 totaling $335 million.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fair value of the investment, then the fair value is not estimated. We record the changes in value from observable events and impairments to investment and other income (loss), net.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150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79"/>
        </w:trPr>
        <w:tc>
          <w:tcPr>
            <w:tcW w:w="7740" w:type="dxa"/>
            <w:vAlign w:val="bottom"/>
          </w:tcPr>
          <w:p>
            <w:pPr>
              <w:spacing w:after="0"/>
              <w:rPr>
                <w:sz w:val="6"/>
                <w:szCs w:val="6"/>
                <w:color w:val="auto"/>
              </w:rPr>
            </w:pPr>
          </w:p>
        </w:tc>
        <w:tc>
          <w:tcPr>
            <w:tcW w:w="1780" w:type="dxa"/>
            <w:vAlign w:val="bottom"/>
            <w:gridSpan w:val="2"/>
            <w:vMerge w:val="restart"/>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774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4"/>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17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3 - 16 years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$ 471</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$ 517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7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8 - 35 years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7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(404)</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$ 143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$63 million, $67 million and $61 million for the years ended December 31, 2024, 2023 and 2022, respectively.</w:t>
      </w:r>
    </w:p>
    <w:p>
      <w:pPr>
        <w:spacing w:after="0" w:line="162"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83"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2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5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as of</w:t>
            </w: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(7,477)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other</w:t>
            </w:r>
          </w:p>
        </w:tc>
        <w:tc>
          <w:tcPr>
            <w:tcW w:w="1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$926 million, $924 million and $931 million for the years ended December 31, 2024, 2023 and 2022, respectively.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0"/>
        </w:trPr>
        <w:tc>
          <w:tcPr>
            <w:tcW w:w="6680" w:type="dxa"/>
            <w:vAlign w:val="bottom"/>
            <w:tcBorders>
              <w:top w:val="single" w:sz="8" w:color="CCEEFF"/>
            </w:tcBorders>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1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center"/>
              <w:ind w:lef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3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tc>
        <w:tc>
          <w:tcPr>
            <w:tcW w:w="2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0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center"/>
              <w:ind w:left="17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$ 472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$ 508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8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9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34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840" w:type="dxa"/>
            <w:vAlign w:val="bottom"/>
            <w:gridSpan w:val="3"/>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9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$ 530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$387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478</w:t>
            </w: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591</w:t>
            </w: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6"/>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5"/>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8"/>
                <w:szCs w:val="18"/>
                <w:color w:val="auto"/>
              </w:rPr>
            </w:pPr>
          </w:p>
        </w:tc>
        <w:tc>
          <w:tcPr>
            <w:tcW w:w="7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5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Sales to related parties were $1.26 billion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$1.34 billion and $1.39 billion during the years ended December 31, 2024, 2023 and 2022, respectively.</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due for these transactions were $208 million and $219 million as of December 31, 2024 and 2023, respectively.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76"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$35 million and $18 million as of December 31, 2024 and 2023, respectively. Our payable balances pursuant to these contracts are presented in accrued expenses and other current liabilities in the combined balance sheets and totaled $12 million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$266 million, $277 million and $259 million in 2024, 2023 and 2022, respectively.</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$870 million, $910 million and $897 million in 2024,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Pr>
          <w:p>
            <w:pPr>
              <w:spacing w:after="0"/>
              <w:rPr>
                <w:sz w:val="10"/>
                <w:szCs w:val="10"/>
                <w:color w:val="auto"/>
              </w:rPr>
            </w:pPr>
          </w:p>
        </w:tc>
        <w:tc>
          <w:tcPr>
            <w:tcW w:w="660" w:type="dxa"/>
            <w:vAlign w:val="bottom"/>
            <w:gridSpan w:val="2"/>
          </w:tcPr>
          <w:p>
            <w:pPr>
              <w:jc w:val="center"/>
              <w:ind w:right="4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18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1,663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5,078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5,339</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(2)</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2,227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2,395</w:t>
            </w: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1,034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1,073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1,331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loss,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1,331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80" w:hanging="424"/>
        <w:spacing w:after="0" w:line="261"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$184 million and $309 million for the three months ended September 30, 2025 and 2024, respectively, and $757 million and $954 million for the nine months ended September 30, 2025 and 2024, respectively.</w:t>
      </w:r>
    </w:p>
    <w:p>
      <w:pPr>
        <w:ind w:left="540" w:right="80" w:hanging="424"/>
        <w:spacing w:after="0" w:line="260" w:lineRule="auto"/>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$464 million and $534 million for the three months ended September 30, 2025 and 2024, respectively, and $969 million and $1.1 billion for the nine months ended September 30, 2025 and 2024,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tcPr>
          <w:p>
            <w:pPr>
              <w:jc w:val="center"/>
              <w:ind w:right="8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Pr>
          <w:p>
            <w:pPr>
              <w:spacing w:after="0"/>
              <w:rPr>
                <w:sz w:val="10"/>
                <w:szCs w:val="10"/>
                <w:color w:val="auto"/>
              </w:rPr>
            </w:pPr>
          </w:p>
        </w:tc>
        <w:tc>
          <w:tcPr>
            <w:tcW w:w="660" w:type="dxa"/>
            <w:vAlign w:val="bottom"/>
            <w:gridSpan w:val="2"/>
          </w:tcPr>
          <w:p>
            <w:pPr>
              <w:jc w:val="center"/>
              <w:ind w:right="50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ind w:right="20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4"/>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280" w:type="dxa"/>
            <w:vAlign w:val="bottom"/>
          </w:tcPr>
          <w:p>
            <w:pPr>
              <w:spacing w:after="0"/>
              <w:rPr>
                <w:sz w:val="15"/>
                <w:szCs w:val="15"/>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w:t>
            </w:r>
          </w:p>
        </w:tc>
        <w:tc>
          <w:tcPr>
            <w:tcW w:w="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(expense) benefit: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F-24</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on investment activity and other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1,601</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(1,401)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(1,535)</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(1,413)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(1,553)</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F-25</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5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8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4"/>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$441 and $404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$8,818 and $8,118</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10,805</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10,915</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11,310</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0"/>
        </w:trPr>
        <w:tc>
          <w:tcPr>
            <w:tcW w:w="8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F-26</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5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10,463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2"/>
              </w:rPr>
              <w:t>11,336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10,805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11,029</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1"/>
              </w:rPr>
              <w:t>119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11,139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10,289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11,139</w:t>
            </w: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Condensed Combined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in early 2026 and is subject to market, regulatory and certain other conditions, including final approval of Comcast’s Board of Directors.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(since rebranded to MS NOW),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condensed combined financial statements, the Versant businesses were operated as part of Comcast’s Media segment. The condensed combined financial statements have been derived from Comcast’s historical accounting records as if Versant operations had been conducted independently from Comcast, and reflect the assets, liabilities, revenues and expenses of the Company on a historical cost basis. The condensed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Accordingly, certain information related to our significant accounting policies and footnote disclosures normally included in financial statements prepared in accordance with U.S. GAAP have been condensed or omitted. These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combined balance sheets include assets and liabilities specifically attributable to the Company and certain assets and liabilities held by Comcast but specifically identifiable or otherwise attributable to our business. Assets and liabilities included in our audited condensed combined balance sheets were based on an assessment as of 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condensed combined balance sheets may be included in the Separation. Comcast’s third-party debt and related interest expense have not been attributed to the Company because the borrowings are not specifically identifiable to the Company and the Company is not the legal obligor. The condensed combined financial statements reflect noncontrolling interests for certain subsidiaries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in the condensed combined financial statements, in which a third party has a minority ownership interest.</w:t>
      </w:r>
    </w:p>
    <w:p>
      <w:pPr>
        <w:spacing w:after="0" w:line="225"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statements of income include all revenues and costs directly attributable to our business, including costs related to production activities that use centralized Comcast operations and directly charged to us based on usage. The condensed combined statements of income also include allocations of costs for administrative functions and services performed on our behalf by other centralized functions within Comcast and allocations of costs for the use of shared assets (see Note 5). These expenses have been allocated on a pro rata basis using an applicable measure of revenue. All allocations and estimates reflected in the condensed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condensed combined financial statements. The total net effect of the deemed settlement of these transactions is included in net Parent investment and the net effect of changes in net Parent investment is presented in financing activities in the condensed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condensed combined financial statements and are considered related party transactions. See Note 5 for more information.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combined financial statements, with further details included throughout the footnotes, including certain of our significant operating expenses in Note 3.</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and early adoption is permitted.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8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13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1,039</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$3,095</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622</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5,078</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5,339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 amount of future revenue to be earned related to fixed price contracts with advertisers in excess of one year totaled $271 million as of September 30, 2025, which will be recognized over the next 6 years. The amount of future revenue to be earned related to fixed pricing under existing third-party content licensing agreements is $9 million as of September 30, 2025. The majority of this revenue will be recognized within two years.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278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78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9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1,245</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September 30, 2025 and December 31, 2024, our ten largest multichannel video provider customers accounted for approximately 50% and 55% of our total accounts receivable, respectively. Refer to Note 5 for revenue and accounts receivable information related to distribution and other arrangements with Comcast.</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gift card liability for our movie ticket platform was $42 million and $53 million, respectively, including $29 million and $37 million in accrued expenses and other current liabilities, respectively, with the remainder presented in other noncurrent liabilities. Revenue recorded related to breakage on these gift cards was $2 million for both the three months ended September 30, 2025 and 2024, and $9 million and $7 million for the nine months ended September 30, 2025 and 2024,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Costs of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5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7"/>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24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$1,864</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960</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2,227</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2,395</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24"/>
                <w:szCs w:val="24"/>
                <w:color w:val="auto"/>
              </w:rPr>
            </w:pPr>
          </w:p>
        </w:tc>
        <w:tc>
          <w:tcPr>
            <w:tcW w:w="15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5"/>
                <w:szCs w:val="15"/>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7"/>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224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839</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1,864</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2,056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1180" w:type="dxa"/>
            <w:vAlign w:val="bottom"/>
            <w:gridSpan w:val="4"/>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20" w:type="dxa"/>
            <w:vAlign w:val="bottom"/>
            <w:tcBorders>
              <w:bottom w:val="single" w:sz="8" w:color="auto"/>
            </w:tcBorders>
          </w:tcPr>
          <w:p>
            <w:pPr>
              <w:spacing w:after="0"/>
              <w:rPr>
                <w:sz w:val="19"/>
                <w:szCs w:val="19"/>
                <w:color w:val="auto"/>
              </w:rPr>
            </w:pPr>
          </w:p>
        </w:tc>
        <w:tc>
          <w:tcPr>
            <w:tcW w:w="1000" w:type="dxa"/>
            <w:vAlign w:val="bottom"/>
            <w:gridSpan w:val="3"/>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to related parties were $184 million and $309 million during the three months ended September 30, 2025 and 2024, respectively,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$757 million and $954 million during the nine months ended September 30, 2025 and 2024, respectively. Accounts receivable due for these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were $115 million and $208 million as of September 30, 2025 and December 31, 2024, respectively.</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Costs of revenue from related parties were $398 million and $478 million for the three months ended September 30, 2025 and 2024, respectively, and $751 million and $924 million for the nine months ended September 30, 2025 and 2024, respectively. Capitalized content costs related to these costs were $302 million and $286 million as of September 30, 2025 and December 31, 2024, respectively. Content obligations related to these costs were $93 million and $112 million as of September 30, 2025 and December 31, 2024, respectively.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$2 million and $3 million for the three months ended September 30, 2025 and 2024 respectively, and $6 million and $9 million for the nine months ended September 30, 2025 and 2024, respectively, and are presented in selling, general and administrative expenses. Amounts payable for these transactions were not material as of September 30, 2025 or December 31, 2024.</w:t>
      </w:r>
    </w:p>
    <w:p>
      <w:pPr>
        <w:spacing w:after="0" w:line="17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Prior to the third quarter 2025, we had related party loan balances associated with the participation of certain of our subsidiaries in Comcast’s centralized cash management programs. Our receivable balances pursuant to these contracts were presented in other current assets in the condensed combined balance sheets and totaled $35 million as of December 31, 2024. Our payable balances pursuant to these contracts were presented in accrued expenses and other current liabilities in the condensed combined balance sheets and totaled $12 million as of December 31, 2024. Activity related to loans receivable and payable is presented in the condensed combined statements of cash flows in other investing and other financing activities, respectively.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condensed combined statement of income and are reflected in the condensed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cost of revenue for these services were $66 million and $57 million for three months ended September 30, 2025 and 2024 respectively, and $218 million and $202 million for the nine months ended September 30, 2025 and 2024, respectively.</w:t>
      </w:r>
    </w:p>
    <w:p>
      <w:pPr>
        <w:spacing w:after="0" w:line="162"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$214 million and $177 million for the three months ended September 30, 2025 and 2024, respectively, and $673 million and $667 million for the nine months ended September 30, 2025 and 2024,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Supplemental Financial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Approximately $5 million and $32 million of costs incurred by Comcast related to the Separation have been included in selling, general and administrative expenses in our combined statements of income for the three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nine months ended September 30, 2025, respectively. These costs include legal, consulting, advisory and audit fees that will directly benefit the Versant business as a standalone company, or for which the Versant business is the legal obligor.</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the third quarter of 2025, we recorded an unrealized impairment loss of $40 million for one of our investments. The estimated fair value of $94 million was determined based on an analysis that leveraged multiples of earnings from comparable public companies, which are Level 2 inputs. The cumulative amount of downward adjustments to our nonmarketable equity securities totaled $102 million for investments that continue to be held as of September 30, 2025.</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the third quarter of 2025, we recorded a valuation allowance for $10 million of deferred tax assets resulting from the nonmarketable equity security impairment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November 18, 2025, which is the issue date of these condensed combined financial statements and concluded that other than the financing transactions described below, no additional subsequent events have occurred that would require recognition in the condensed combined financial statements or disclosure in the notes to the condensed combined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Debt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2025, Versant Media Group, Inc. entered into new senior secured credit facilities (the “Senior Credit Facilities”) initially consisting of a five-year $1.0 billion senior secured term A loan facility due January 2031 (the “Term A Loan Facility”), which will be funded on the Separation date, and a five-year $750 million senior secured revolving credit facility (the “Revolving Credit Facility”) due January 2031. The interest rates on borrowings under the Senior Credit Facilities consist of a benchmark rate plus a borrowing margin. As of October 2025, the borrowing margin for borrowings based on the Term SOFR Rate, as defined in the agreement, was 1.75%</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October 2025, Versant Media Group, Inc. also entered into an indenture pursuant to which it issued $1.0 billion aggregate principal amount of 7.25% Senior Secured Notes due January 2031 (the “Senior Secured Notes”). The Senior Secured Notes are subject to a special mandatory redemption at a price of 100% of the principal amount, plus accrued and unpaid interest, if the Separation is not consummated by March 2, 2026. The net proceeds from the offering of the Senior Secured Notes were deposited in an escrow account in favor of the trustee, together with certain additional cash contributed by Comcast. The amounts in escrow will be released upon consummation of the Separation.</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Borrowings under the Senior Credit Facilities and the Senior Secured Notes will be secured, subject to permitted liens and certain other exceptions, by perfected first-priority security interests in substantially all tangible and intangible assets and property of Versant Media Group, Inc. and its wholly owned direct or indirect domestic subsidiaries following the Separation.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31645" cy="659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173164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 are receiving this communication because you hold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securities in Comcast Corporation (“Comcast”). Comcast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has released informational materials regarding its previously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announced spin-off of Versant Media Group, Inc., comprised</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of certain cable channels and complementary digital assets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“Separation”) that are now available for your review.</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This notice provides instructions on how to access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 materials for informational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purposes only.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 may view the materials, which consist of the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Information Statement, plus any supplements, prepared 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connection with the Separation online at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i w:val="1"/>
          <w:iCs w:val="1"/>
          <w:color w:val="auto"/>
        </w:rPr>
        <w:t xml:space="preserve">www.materialnotice.com </w:t>
      </w:r>
      <w:r>
        <w:rPr>
          <w:rFonts w:ascii="Times New Roman" w:cs="Times New Roman" w:eastAsia="Times New Roman" w:hAnsi="Times New Roman"/>
          <w:sz w:val="17"/>
          <w:szCs w:val="17"/>
          <w:color w:val="auto"/>
        </w:rPr>
        <w:t>and easily request a paper or e-mail</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copy (see reverse side).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See the reverse side for instructions on how to access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6050" cy="7112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146050" cy="71120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69" w:name="page170"/>
    <w:bookmarkEnd w:id="169"/>
    <w:p>
      <w:pPr>
        <w:ind w:left="91" w:hanging="91"/>
        <w:spacing w:after="0"/>
        <w:tabs>
          <w:tab w:leader="none" w:pos="9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   </w:t>
      </w:r>
      <w:r>
        <w:rPr>
          <w:rFonts w:ascii="Times New Roman" w:cs="Times New Roman" w:eastAsia="Times New Roman" w:hAnsi="Times New Roman"/>
          <w:sz w:val="18"/>
          <w:szCs w:val="18"/>
          <w:b w:val="1"/>
          <w:bCs w:val="1"/>
          <w:color w:val="auto"/>
        </w:rPr>
        <w:t>How to Access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300470" cy="22371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6300470" cy="2237105"/>
                    </a:xfrm>
                    <a:prstGeom prst="rect">
                      <a:avLst/>
                    </a:prstGeom>
                    <a:noFill/>
                  </pic:spPr>
                </pic:pic>
              </a:graphicData>
            </a:graphic>
          </wp:anchor>
        </w:drawing>
      </w:r>
    </w:p>
    <w:p>
      <w:pPr>
        <w:sectPr>
          <w:pgSz w:w="11900" w:h="16838" w:orient="portrait"/>
          <w:cols w:equalWidth="0" w:num="1">
            <w:col w:w="9731"/>
          </w:cols>
          <w:pgMar w:left="989" w:top="266" w:right="1179" w:bottom="1440" w:gutter="0" w:footer="0" w:header="0"/>
        </w:sectPr>
      </w:pPr>
    </w:p>
    <w:p>
      <w:pPr>
        <w:spacing w:after="0" w:line="144" w:lineRule="exact"/>
        <w:rPr>
          <w:sz w:val="20"/>
          <w:szCs w:val="20"/>
          <w:color w:val="auto"/>
        </w:rPr>
      </w:pPr>
    </w:p>
    <w:p>
      <w:pPr>
        <w:ind w:left="291"/>
        <w:spacing w:after="0"/>
        <w:tabs>
          <w:tab w:leader="none" w:pos="6610" w:val="left"/>
          <w:tab w:leader="none" w:pos="8770" w:val="left"/>
        </w:tabs>
        <w:rPr>
          <w:sz w:val="20"/>
          <w:szCs w:val="20"/>
          <w:color w:val="auto"/>
        </w:rPr>
      </w:pPr>
      <w:r>
        <w:rPr>
          <w:rFonts w:ascii="Times New Roman" w:cs="Times New Roman" w:eastAsia="Times New Roman" w:hAnsi="Times New Roman"/>
          <w:sz w:val="18"/>
          <w:szCs w:val="18"/>
          <w:b w:val="1"/>
          <w:bCs w:val="1"/>
          <w:color w:val="auto"/>
        </w:rPr>
        <w:t>Materials Available to VIEW or RECEIVE:</w:t>
      </w:r>
      <w:r>
        <w:rPr>
          <w:sz w:val="20"/>
          <w:szCs w:val="20"/>
          <w:color w:val="auto"/>
        </w:rPr>
        <w:tab/>
      </w:r>
      <w:r>
        <w:rPr>
          <w:rFonts w:ascii="Times New Roman" w:cs="Times New Roman" w:eastAsia="Times New Roman" w:hAnsi="Times New Roman"/>
          <w:sz w:val="18"/>
          <w:szCs w:val="18"/>
          <w:color w:val="auto"/>
        </w:rPr>
        <w:t xml:space="preserve">g                             </w:t>
      </w:r>
      <w:r>
        <w:rPr>
          <w:sz w:val="20"/>
          <w:szCs w:val="20"/>
          <w:color w:val="auto"/>
        </w:rPr>
        <w:tab/>
      </w:r>
      <w:r>
        <w:rPr>
          <w:rFonts w:ascii="Times New Roman" w:cs="Times New Roman" w:eastAsia="Times New Roman" w:hAnsi="Times New Roman"/>
          <w:sz w:val="18"/>
          <w:szCs w:val="18"/>
          <w:color w:val="auto"/>
        </w:rPr>
        <w:t xml:space="preserve">                </w:t>
      </w:r>
    </w:p>
    <w:p>
      <w:pPr>
        <w:spacing w:after="0" w:line="239"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pacing w:after="0" w:line="3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i w:val="1"/>
          <w:iCs w:val="1"/>
          <w:color w:val="auto"/>
        </w:rPr>
        <w:t>www.materialnotice.com.</w:t>
      </w:r>
      <w:r>
        <w:rPr>
          <w:rFonts w:ascii="Times New Roman" w:cs="Times New Roman" w:eastAsia="Times New Roman" w:hAnsi="Times New Roman"/>
          <w:sz w:val="18"/>
          <w:szCs w:val="18"/>
          <w:color w:val="auto"/>
        </w:rPr>
        <w:t xml:space="preserve"> Have the information that is printed in the box marked by the arrow above.</w:t>
      </w:r>
    </w:p>
    <w:p>
      <w:pPr>
        <w:spacing w:after="0" w:line="95"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3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color w:val="auto"/>
        </w:rPr>
        <w:t>If you want to receive a paper or e-mail copy of these materials, you must request one. There is NO charge for requesting a copy.</w:t>
      </w:r>
    </w:p>
    <w:p>
      <w:pPr>
        <w:spacing w:after="0" w:line="9"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color w:val="auto"/>
        </w:rPr>
        <w:t>Please choose one of the following methods to make your request:</w:t>
      </w:r>
    </w:p>
    <w:p>
      <w:pPr>
        <w:spacing w:after="0" w:line="97" w:lineRule="exact"/>
        <w:rPr>
          <w:sz w:val="20"/>
          <w:szCs w:val="20"/>
          <w:color w:val="auto"/>
        </w:rPr>
      </w:pPr>
    </w:p>
    <w:tbl>
      <w:tblPr>
        <w:tblLayout w:type="fixed"/>
        <w:tblInd w:w="1371" w:type="dxa"/>
        <w:tblCellMar>
          <w:top w:w="0" w:type="dxa"/>
          <w:left w:w="0" w:type="dxa"/>
          <w:bottom w:w="0" w:type="dxa"/>
          <w:right w:w="0" w:type="dxa"/>
        </w:tblCellMar>
      </w:tblP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1)</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www.materialnotice.com</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2)</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1-800-579-1639</w:t>
            </w:r>
          </w:p>
        </w:tc>
      </w:tr>
      <w:tr>
        <w:trPr>
          <w:trHeight w:val="23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3)</w:t>
            </w: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w:t>
            </w:r>
          </w:p>
        </w:tc>
        <w:tc>
          <w:tcPr>
            <w:tcW w:w="27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sendmaterial@materialnotice.com</w:t>
            </w:r>
          </w:p>
        </w:tc>
      </w:tr>
    </w:tbl>
    <w:p>
      <w:pPr>
        <w:spacing w:after="0" w:line="90" w:lineRule="exact"/>
        <w:rPr>
          <w:sz w:val="20"/>
          <w:szCs w:val="20"/>
          <w:color w:val="auto"/>
        </w:rPr>
      </w:pPr>
    </w:p>
    <w:p>
      <w:pPr>
        <w:ind w:left="471" w:right="60" w:hanging="179"/>
        <w:spacing w:after="0" w:line="282" w:lineRule="auto"/>
        <w:rPr>
          <w:sz w:val="20"/>
          <w:szCs w:val="20"/>
          <w:color w:val="auto"/>
        </w:rPr>
      </w:pPr>
      <w:r>
        <w:rPr>
          <w:rFonts w:ascii="Times New Roman" w:cs="Times New Roman" w:eastAsia="Times New Roman" w:hAnsi="Times New Roman"/>
          <w:sz w:val="18"/>
          <w:szCs w:val="18"/>
          <w:color w:val="auto"/>
        </w:rPr>
        <w:t>*  If requesting materials by e-mail, please send a blank e-mail with the information that is printed in the box marked by the arrow above in the subject line.</w:t>
      </w:r>
    </w:p>
    <w:p>
      <w:pPr>
        <w:spacing w:after="0" w:line="54"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8"/>
          <w:szCs w:val="18"/>
          <w:color w:val="auto"/>
        </w:rPr>
        <w:t>Requests, instructions and other inquiries sent to this e-mail address will NOT be forwarded to your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257175</wp:posOffset>
            </wp:positionV>
            <wp:extent cx="146050" cy="7200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146050" cy="720090"/>
                    </a:xfrm>
                    <a:prstGeom prst="rect">
                      <a:avLst/>
                    </a:prstGeom>
                    <a:noFill/>
                  </pic:spPr>
                </pic:pic>
              </a:graphicData>
            </a:graphic>
          </wp:anchor>
        </w:drawing>
      </w:r>
    </w:p>
    <w:p>
      <w:pPr>
        <w:sectPr>
          <w:pgSz w:w="11900" w:h="16838" w:orient="portrait"/>
          <w:cols w:equalWidth="0" w:num="1">
            <w:col w:w="9731"/>
          </w:cols>
          <w:pgMar w:left="989" w:top="266" w:right="1179" w:bottom="1440" w:gutter="0" w:footer="0" w:header="0"/>
          <w:type w:val="continuous"/>
        </w:sectPr>
      </w:pPr>
    </w:p>
    <w:bookmarkStart w:id="170" w:name="page171"/>
    <w:bookmarkEnd w:id="17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SEPARATION WILL BE ACHIEVED THROUGH A PRO RATA DISTRIBUTION (THE “DISTRIBUTION”) OF 100% OF THE SHARES OF CLASS A COMMON STOCK OF VERSANT MEDIA GROUP, INC. (“VERSANT”) TO THE HOLDERS OF COMCAST’S CLASS A COMMON STOCK AND 100% OF THE SHARES OF CLASS B COMMON STOCK OF VERSANT TO THE HOLDERS OF COMCAST’S CLASS B COMMON STOCK. IMMEDIATELY FOLLOWING THE DISTRIBUTION, WHICH WILL BE EFFECTIVE AS OF THE DATE AND TIME REFERENCED IN THE INFORMATION STATEMENT THAT VERSANT HAS PREPARED IN CONNECTION WITH THE SEPARATION, VERSANT WILL BE AN INDEPENDENT, PUBLICLY TRADED COMPANY. NO VOTE OR OTHER ACTION IS REQUIRED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148590</wp:posOffset>
            </wp:positionV>
            <wp:extent cx="137160" cy="7283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137160" cy="728345"/>
                    </a:xfrm>
                    <a:prstGeom prst="rect">
                      <a:avLst/>
                    </a:prstGeom>
                    <a:noFill/>
                  </pic:spPr>
                </pic:pic>
              </a:graphicData>
            </a:graphic>
          </wp:anchor>
        </w:drawing>
      </w:r>
    </w:p>
    <w:p>
      <w:pPr>
        <w:sectPr>
          <w:pgSz w:w="11900" w:h="16838" w:orient="portrait"/>
          <w:cols w:equalWidth="0" w:num="1">
            <w:col w:w="10720"/>
          </w:cols>
          <w:pgMar w:left="660" w:top="270" w:right="51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PAGE WAS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181610</wp:posOffset>
            </wp:positionV>
            <wp:extent cx="162560" cy="728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162560" cy="728980"/>
                    </a:xfrm>
                    <a:prstGeom prst="rect">
                      <a:avLst/>
                    </a:prstGeom>
                    <a:noFill/>
                  </pic:spPr>
                </pic:pic>
              </a:graphicData>
            </a:graphic>
          </wp:anchor>
        </w:drawing>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1)"/>
      <w:numFmt w:val="lowerLetter"/>
      <w:start w:val="1"/>
    </w:lvl>
  </w:abstractNum>
  <w:abstractNum w:abstractNumId="1">
    <w:nsid w:val="5DC79EA8"/>
    <w:multiLevelType w:val="hybridMultilevel"/>
    <w:lvl w:ilvl="0">
      <w:lvlJc w:val="left"/>
      <w:lvlText w:val="(%1)"/>
      <w:numFmt w:val="lowerLetter"/>
      <w:start w:val="2"/>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1"/>
      <w:numFmt w:val="decimal"/>
      <w:start w:val="1"/>
    </w:lvl>
    <w:lvl w:ilvl="1">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1:"/>
      <w:numFmt w:val="upperLetter"/>
      <w:start w:val="17"/>
    </w:lvl>
  </w:abstractNum>
  <w:abstractNum w:abstractNumId="10">
    <w:nsid w:val="8F2B15E"/>
    <w:multiLevelType w:val="hybridMultilevel"/>
    <w:lvl w:ilvl="0">
      <w:lvlJc w:val="left"/>
      <w:lvlText w:val="%1:"/>
      <w:numFmt w:val="upperLetter"/>
      <w:start w:val="1"/>
    </w:lvl>
  </w:abstractNum>
  <w:abstractNum w:abstractNumId="11">
    <w:nsid w:val="1A32234B"/>
    <w:multiLevelType w:val="hybridMultilevel"/>
    <w:lvl w:ilvl="0">
      <w:lvlJc w:val="left"/>
      <w:lvlText w:val="%1:"/>
      <w:numFmt w:val="upperLetter"/>
      <w:start w:val="17"/>
    </w:lvl>
  </w:abstractNum>
  <w:abstractNum w:abstractNumId="12">
    <w:nsid w:val="3B0FD379"/>
    <w:multiLevelType w:val="hybridMultilevel"/>
    <w:lvl w:ilvl="0">
      <w:lvlJc w:val="left"/>
      <w:lvlText w:val="%1:"/>
      <w:numFmt w:val="upperLetter"/>
      <w:start w:val="1"/>
    </w:lvl>
  </w:abstractNum>
  <w:abstractNum w:abstractNumId="13">
    <w:nsid w:val="68EB2F63"/>
    <w:multiLevelType w:val="hybridMultilevel"/>
    <w:lvl w:ilvl="0">
      <w:lvlJc w:val="left"/>
      <w:lvlText w:val="%1:"/>
      <w:numFmt w:val="upperLetter"/>
      <w:start w:val="17"/>
    </w:lvl>
  </w:abstractNum>
  <w:abstractNum w:abstractNumId="14">
    <w:nsid w:val="4962813B"/>
    <w:multiLevelType w:val="hybridMultilevel"/>
    <w:lvl w:ilvl="0">
      <w:lvlJc w:val="left"/>
      <w:lvlText w:val="%1:"/>
      <w:numFmt w:val="upperLetter"/>
      <w:start w:val="1"/>
    </w:lvl>
  </w:abstractNum>
  <w:abstractNum w:abstractNumId="15">
    <w:nsid w:val="60B6DF70"/>
    <w:multiLevelType w:val="hybridMultilevel"/>
    <w:lvl w:ilvl="0">
      <w:lvlJc w:val="left"/>
      <w:lvlText w:val="%1:"/>
      <w:numFmt w:val="upperLetter"/>
      <w:start w:val="17"/>
    </w:lvl>
  </w:abstractNum>
  <w:abstractNum w:abstractNumId="16">
    <w:nsid w:val="6A5EE64"/>
    <w:multiLevelType w:val="hybridMultilevel"/>
    <w:lvl w:ilvl="0">
      <w:lvlJc w:val="left"/>
      <w:lvlText w:val="%1:"/>
      <w:numFmt w:val="upperLetter"/>
      <w:start w:val="1"/>
    </w:lvl>
  </w:abstractNum>
  <w:abstractNum w:abstractNumId="17">
    <w:nsid w:val="14330624"/>
    <w:multiLevelType w:val="hybridMultilevel"/>
    <w:lvl w:ilvl="0">
      <w:lvlJc w:val="left"/>
      <w:lvlText w:val="%1:"/>
      <w:numFmt w:val="upperLetter"/>
      <w:start w:val="17"/>
    </w:lvl>
  </w:abstractNum>
  <w:abstractNum w:abstractNumId="18">
    <w:nsid w:val="7FFFCA11"/>
    <w:multiLevelType w:val="hybridMultilevel"/>
    <w:lvl w:ilvl="0">
      <w:lvlJc w:val="left"/>
      <w:lvlText w:val="%1:"/>
      <w:numFmt w:val="upperLetter"/>
      <w:start w:val="1"/>
    </w:lvl>
  </w:abstractNum>
  <w:abstractNum w:abstractNumId="19">
    <w:nsid w:val="1A27709E"/>
    <w:multiLevelType w:val="hybridMultilevel"/>
    <w:lvl w:ilvl="0">
      <w:lvlJc w:val="left"/>
      <w:lvlText w:val="%1:"/>
      <w:numFmt w:val="upperLetter"/>
      <w:start w:val="17"/>
    </w:lvl>
  </w:abstractNum>
  <w:abstractNum w:abstractNumId="20">
    <w:nsid w:val="71EA1109"/>
    <w:multiLevelType w:val="hybridMultilevel"/>
    <w:lvl w:ilvl="0">
      <w:lvlJc w:val="left"/>
      <w:lvlText w:val="%1:"/>
      <w:numFmt w:val="upperLetter"/>
      <w:start w:val="1"/>
    </w:lvl>
  </w:abstractNum>
  <w:abstractNum w:abstractNumId="21">
    <w:nsid w:val="100F59DC"/>
    <w:multiLevelType w:val="hybridMultilevel"/>
    <w:lvl w:ilvl="0">
      <w:lvlJc w:val="left"/>
      <w:lvlText w:val="%1:"/>
      <w:numFmt w:val="upperLetter"/>
      <w:start w:val="17"/>
    </w:lvl>
  </w:abstractNum>
  <w:abstractNum w:abstractNumId="22">
    <w:nsid w:val="7FB7E0AA"/>
    <w:multiLevelType w:val="hybridMultilevel"/>
    <w:lvl w:ilvl="0">
      <w:lvlJc w:val="left"/>
      <w:lvlText w:val="%1:"/>
      <w:numFmt w:val="upperLetter"/>
      <w:start w:val="1"/>
    </w:lvl>
  </w:abstractNum>
  <w:abstractNum w:abstractNumId="23">
    <w:nsid w:val="6EB5BD4"/>
    <w:multiLevelType w:val="hybridMultilevel"/>
    <w:lvl w:ilvl="0">
      <w:lvlJc w:val="left"/>
      <w:lvlText w:val="%1:"/>
      <w:numFmt w:val="upperLetter"/>
      <w:start w:val="17"/>
    </w:lvl>
  </w:abstractNum>
  <w:abstractNum w:abstractNumId="24">
    <w:nsid w:val="6F6DD9AC"/>
    <w:multiLevelType w:val="hybridMultilevel"/>
    <w:lvl w:ilvl="0">
      <w:lvlJc w:val="left"/>
      <w:lvlText w:val="%1:"/>
      <w:numFmt w:val="upperLetter"/>
      <w:start w:val="1"/>
    </w:lvl>
  </w:abstractNum>
  <w:abstractNum w:abstractNumId="25">
    <w:nsid w:val="94211F2"/>
    <w:multiLevelType w:val="hybridMultilevel"/>
    <w:lvl w:ilvl="0">
      <w:lvlJc w:val="left"/>
      <w:lvlText w:val="%1:"/>
      <w:numFmt w:val="upperLetter"/>
      <w:start w:val="17"/>
    </w:lvl>
  </w:abstractNum>
  <w:abstractNum w:abstractNumId="26">
    <w:nsid w:val="885E1B"/>
    <w:multiLevelType w:val="hybridMultilevel"/>
    <w:lvl w:ilvl="0">
      <w:lvlJc w:val="left"/>
      <w:lvlText w:val="%1:"/>
      <w:numFmt w:val="upperLetter"/>
      <w:start w:val="1"/>
    </w:lvl>
  </w:abstractNum>
  <w:abstractNum w:abstractNumId="27">
    <w:nsid w:val="76272110"/>
    <w:multiLevelType w:val="hybridMultilevel"/>
    <w:lvl w:ilvl="0">
      <w:lvlJc w:val="left"/>
      <w:lvlText w:val="%1:"/>
      <w:numFmt w:val="upperLetter"/>
      <w:start w:val="17"/>
    </w:lvl>
  </w:abstractNum>
  <w:abstractNum w:abstractNumId="28">
    <w:nsid w:val="4C04A8AF"/>
    <w:multiLevelType w:val="hybridMultilevel"/>
    <w:lvl w:ilvl="0">
      <w:lvlJc w:val="left"/>
      <w:lvlText w:val="%1:"/>
      <w:numFmt w:val="upperLetter"/>
      <w:start w:val="1"/>
    </w:lvl>
  </w:abstractNum>
  <w:abstractNum w:abstractNumId="29">
    <w:nsid w:val="1716703B"/>
    <w:multiLevelType w:val="hybridMultilevel"/>
    <w:lvl w:ilvl="0">
      <w:lvlJc w:val="left"/>
      <w:lvlText w:val="%1:"/>
      <w:numFmt w:val="upperLetter"/>
      <w:start w:val="17"/>
    </w:lvl>
  </w:abstractNum>
  <w:abstractNum w:abstractNumId="30">
    <w:nsid w:val="14E17E33"/>
    <w:multiLevelType w:val="hybridMultilevel"/>
    <w:lvl w:ilvl="0">
      <w:lvlJc w:val="left"/>
      <w:lvlText w:val="%1:"/>
      <w:numFmt w:val="upperLetter"/>
      <w:start w:val="1"/>
    </w:lvl>
  </w:abstractNum>
  <w:abstractNum w:abstractNumId="31">
    <w:nsid w:val="3222E7CD"/>
    <w:multiLevelType w:val="hybridMultilevel"/>
    <w:lvl w:ilvl="0">
      <w:lvlJc w:val="left"/>
      <w:lvlText w:val="%1:"/>
      <w:numFmt w:val="upperLetter"/>
      <w:start w:val="17"/>
    </w:lvl>
  </w:abstractNum>
  <w:abstractNum w:abstractNumId="32">
    <w:nsid w:val="74DE0EE3"/>
    <w:multiLevelType w:val="hybridMultilevel"/>
    <w:lvl w:ilvl="0">
      <w:lvlJc w:val="left"/>
      <w:lvlText w:val="%1:"/>
      <w:numFmt w:val="upperLetter"/>
      <w:start w:val="1"/>
    </w:lvl>
  </w:abstractNum>
  <w:abstractNum w:abstractNumId="33">
    <w:nsid w:val="68EBC550"/>
    <w:multiLevelType w:val="hybridMultilevel"/>
    <w:lvl w:ilvl="0">
      <w:lvlJc w:val="left"/>
      <w:lvlText w:val="%1:"/>
      <w:numFmt w:val="upperLetter"/>
      <w:start w:val="17"/>
    </w:lvl>
  </w:abstractNum>
  <w:abstractNum w:abstractNumId="34">
    <w:nsid w:val="2DF6D648"/>
    <w:multiLevelType w:val="hybridMultilevel"/>
    <w:lvl w:ilvl="0">
      <w:lvlJc w:val="left"/>
      <w:lvlText w:val="%1:"/>
      <w:numFmt w:val="upperLetter"/>
      <w:start w:val="1"/>
    </w:lvl>
  </w:abstractNum>
  <w:abstractNum w:abstractNumId="35">
    <w:nsid w:val="46B7D447"/>
    <w:multiLevelType w:val="hybridMultilevel"/>
    <w:lvl w:ilvl="0">
      <w:lvlJc w:val="left"/>
      <w:lvlText w:val="%1:"/>
      <w:numFmt w:val="upperLetter"/>
      <w:start w:val="17"/>
    </w:lvl>
  </w:abstractNum>
  <w:abstractNum w:abstractNumId="36">
    <w:nsid w:val="4A2AC315"/>
    <w:multiLevelType w:val="hybridMultilevel"/>
    <w:lvl w:ilvl="0">
      <w:lvlJc w:val="left"/>
      <w:lvlText w:val="%1:"/>
      <w:numFmt w:val="upperLetter"/>
      <w:start w:val="1"/>
    </w:lvl>
  </w:abstractNum>
  <w:abstractNum w:abstractNumId="37">
    <w:nsid w:val="39EE015C"/>
    <w:multiLevelType w:val="hybridMultilevel"/>
    <w:lvl w:ilvl="0">
      <w:lvlJc w:val="left"/>
      <w:lvlText w:val="%1:"/>
      <w:numFmt w:val="upperLetter"/>
      <w:start w:val="17"/>
    </w:lvl>
  </w:abstractNum>
  <w:abstractNum w:abstractNumId="38">
    <w:nsid w:val="57FC4FBB"/>
    <w:multiLevelType w:val="hybridMultilevel"/>
    <w:lvl w:ilvl="0">
      <w:lvlJc w:val="left"/>
      <w:lvlText w:val="%1:"/>
      <w:numFmt w:val="upperLetter"/>
      <w:start w:val="1"/>
    </w:lvl>
  </w:abstractNum>
  <w:abstractNum w:abstractNumId="39">
    <w:nsid w:val="CC1016F"/>
    <w:multiLevelType w:val="hybridMultilevel"/>
    <w:lvl w:ilvl="0">
      <w:lvlJc w:val="left"/>
      <w:lvlText w:val="%1:"/>
      <w:numFmt w:val="upperLetter"/>
      <w:start w:val="17"/>
    </w:lvl>
  </w:abstractNum>
  <w:abstractNum w:abstractNumId="40">
    <w:nsid w:val="43F18422"/>
    <w:multiLevelType w:val="hybridMultilevel"/>
    <w:lvl w:ilvl="0">
      <w:lvlJc w:val="left"/>
      <w:lvlText w:val="%1:"/>
      <w:numFmt w:val="upperLetter"/>
      <w:start w:val="1"/>
    </w:lvl>
  </w:abstractNum>
  <w:abstractNum w:abstractNumId="41">
    <w:nsid w:val="60EF0119"/>
    <w:multiLevelType w:val="hybridMultilevel"/>
    <w:lvl w:ilvl="0">
      <w:lvlJc w:val="left"/>
      <w:lvlText w:val="%1:"/>
      <w:numFmt w:val="upperLetter"/>
      <w:start w:val="17"/>
    </w:lvl>
  </w:abstractNum>
  <w:abstractNum w:abstractNumId="42">
    <w:nsid w:val="26F324BA"/>
    <w:multiLevelType w:val="hybridMultilevel"/>
    <w:lvl w:ilvl="0">
      <w:lvlJc w:val="left"/>
      <w:lvlText w:val="%1:"/>
      <w:numFmt w:val="upperLetter"/>
      <w:start w:val="1"/>
    </w:lvl>
  </w:abstractNum>
  <w:abstractNum w:abstractNumId="43">
    <w:nsid w:val="7F01579B"/>
    <w:multiLevelType w:val="hybridMultilevel"/>
    <w:lvl w:ilvl="0">
      <w:lvlJc w:val="left"/>
      <w:lvlText w:val="%1:"/>
      <w:numFmt w:val="upperLetter"/>
      <w:start w:val="17"/>
    </w:lvl>
  </w:abstractNum>
  <w:abstractNum w:abstractNumId="44">
    <w:nsid w:val="49DA307D"/>
    <w:multiLevelType w:val="hybridMultilevel"/>
    <w:lvl w:ilvl="0">
      <w:lvlJc w:val="left"/>
      <w:lvlText w:val="%1:"/>
      <w:numFmt w:val="upperLetter"/>
      <w:start w:val="1"/>
    </w:lvl>
  </w:abstractNum>
  <w:abstractNum w:abstractNumId="45">
    <w:nsid w:val="7055A5F5"/>
    <w:multiLevelType w:val="hybridMultilevel"/>
    <w:lvl w:ilvl="0">
      <w:lvlJc w:val="left"/>
      <w:lvlText w:val="%1:"/>
      <w:numFmt w:val="upperLetter"/>
      <w:start w:val="17"/>
    </w:lvl>
  </w:abstractNum>
  <w:abstractNum w:abstractNumId="46">
    <w:nsid w:val="5FB8370B"/>
    <w:multiLevelType w:val="hybridMultilevel"/>
    <w:lvl w:ilvl="0">
      <w:lvlJc w:val="left"/>
      <w:lvlText w:val="%1:"/>
      <w:numFmt w:val="upperLetter"/>
      <w:start w:val="1"/>
    </w:lvl>
  </w:abstractNum>
  <w:abstractNum w:abstractNumId="47">
    <w:nsid w:val="50801EE1"/>
    <w:multiLevelType w:val="hybridMultilevel"/>
    <w:lvl w:ilvl="0">
      <w:lvlJc w:val="left"/>
      <w:lvlText w:val="%1:"/>
      <w:numFmt w:val="upperLetter"/>
      <w:start w:val="17"/>
    </w:lvl>
  </w:abstractNum>
  <w:abstractNum w:abstractNumId="48">
    <w:nsid w:val="488AC1A"/>
    <w:multiLevelType w:val="hybridMultilevel"/>
    <w:lvl w:ilvl="0">
      <w:lvlJc w:val="left"/>
      <w:lvlText w:val="%1:"/>
      <w:numFmt w:val="upperLetter"/>
      <w:start w:val="1"/>
    </w:lvl>
  </w:abstractNum>
  <w:abstractNum w:abstractNumId="49">
    <w:nsid w:val="5FB8011C"/>
    <w:multiLevelType w:val="hybridMultilevel"/>
    <w:lvl w:ilvl="0">
      <w:lvlJc w:val="left"/>
      <w:lvlText w:val="%1:"/>
      <w:numFmt w:val="upperLetter"/>
      <w:start w:val="17"/>
    </w:lvl>
  </w:abstractNum>
  <w:abstractNum w:abstractNumId="50">
    <w:nsid w:val="6AA78F7F"/>
    <w:multiLevelType w:val="hybridMultilevel"/>
    <w:lvl w:ilvl="0">
      <w:lvlJc w:val="left"/>
      <w:lvlText w:val="%1:"/>
      <w:numFmt w:val="upperLetter"/>
      <w:start w:val="1"/>
    </w:lvl>
  </w:abstractNum>
  <w:abstractNum w:abstractNumId="51">
    <w:nsid w:val="7672BD23"/>
    <w:multiLevelType w:val="hybridMultilevel"/>
    <w:lvl w:ilvl="0">
      <w:lvlJc w:val="left"/>
      <w:lvlText w:val="%1:"/>
      <w:numFmt w:val="upperLetter"/>
      <w:start w:val="17"/>
    </w:lvl>
  </w:abstractNum>
  <w:abstractNum w:abstractNumId="52">
    <w:nsid w:val="6FC75AF8"/>
    <w:multiLevelType w:val="hybridMultilevel"/>
    <w:lvl w:ilvl="0">
      <w:lvlJc w:val="left"/>
      <w:lvlText w:val="%1:"/>
      <w:numFmt w:val="upperLetter"/>
      <w:start w:val="1"/>
    </w:lvl>
  </w:abstractNum>
  <w:abstractNum w:abstractNumId="53">
    <w:nsid w:val="6A5F7029"/>
    <w:multiLevelType w:val="hybridMultilevel"/>
    <w:lvl w:ilvl="0">
      <w:lvlJc w:val="left"/>
      <w:lvlText w:val="%1:"/>
      <w:numFmt w:val="upperLetter"/>
      <w:start w:val="17"/>
    </w:lvl>
  </w:abstractNum>
  <w:abstractNum w:abstractNumId="54">
    <w:nsid w:val="7D5E18F8"/>
    <w:multiLevelType w:val="hybridMultilevel"/>
    <w:lvl w:ilvl="0">
      <w:lvlJc w:val="left"/>
      <w:lvlText w:val="%1:"/>
      <w:numFmt w:val="upperLetter"/>
      <w:start w:val="1"/>
    </w:lvl>
  </w:abstractNum>
  <w:abstractNum w:abstractNumId="55">
    <w:nsid w:val="5F3534A4"/>
    <w:multiLevelType w:val="hybridMultilevel"/>
    <w:lvl w:ilvl="0">
      <w:lvlJc w:val="left"/>
      <w:lvlText w:val="%1:"/>
      <w:numFmt w:val="upperLetter"/>
      <w:start w:val="17"/>
    </w:lvl>
  </w:abstractNum>
  <w:abstractNum w:abstractNumId="56">
    <w:nsid w:val="73A1821B"/>
    <w:multiLevelType w:val="hybridMultilevel"/>
    <w:lvl w:ilvl="0">
      <w:lvlJc w:val="left"/>
      <w:lvlText w:val="%1:"/>
      <w:numFmt w:val="upperLetter"/>
      <w:start w:val="1"/>
    </w:lvl>
  </w:abstractNum>
  <w:abstractNum w:abstractNumId="57">
    <w:nsid w:val="7DE67713"/>
    <w:multiLevelType w:val="hybridMultilevel"/>
    <w:lvl w:ilvl="0">
      <w:lvlJc w:val="left"/>
      <w:lvlText w:val="%1:"/>
      <w:numFmt w:val="upperLetter"/>
      <w:start w:val="17"/>
    </w:lvl>
  </w:abstractNum>
  <w:abstractNum w:abstractNumId="58">
    <w:nsid w:val="555C55B5"/>
    <w:multiLevelType w:val="hybridMultilevel"/>
    <w:lvl w:ilvl="0">
      <w:lvlJc w:val="left"/>
      <w:lvlText w:val="%1:"/>
      <w:numFmt w:val="upperLetter"/>
      <w:start w:val="1"/>
    </w:lvl>
  </w:abstractNum>
  <w:abstractNum w:abstractNumId="59">
    <w:nsid w:val="3FA62ACA"/>
    <w:multiLevelType w:val="hybridMultilevel"/>
    <w:lvl w:ilvl="0">
      <w:lvlJc w:val="left"/>
      <w:lvlText w:val="%1:"/>
      <w:numFmt w:val="upperLetter"/>
      <w:start w:val="17"/>
    </w:lvl>
  </w:abstractNum>
  <w:abstractNum w:abstractNumId="60">
    <w:nsid w:val="14FCE74E"/>
    <w:multiLevelType w:val="hybridMultilevel"/>
    <w:lvl w:ilvl="0">
      <w:lvlJc w:val="left"/>
      <w:lvlText w:val="%1:"/>
      <w:numFmt w:val="upperLetter"/>
      <w:start w:val="1"/>
    </w:lvl>
  </w:abstractNum>
  <w:abstractNum w:abstractNumId="61">
    <w:nsid w:val="6A3DD3E8"/>
    <w:multiLevelType w:val="hybridMultilevel"/>
    <w:lvl w:ilvl="0">
      <w:lvlJc w:val="left"/>
      <w:lvlText w:val="%1:"/>
      <w:numFmt w:val="upperLetter"/>
      <w:start w:val="17"/>
    </w:lvl>
  </w:abstractNum>
  <w:abstractNum w:abstractNumId="62">
    <w:nsid w:val="71C91298"/>
    <w:multiLevelType w:val="hybridMultilevel"/>
    <w:lvl w:ilvl="0">
      <w:lvlJc w:val="left"/>
      <w:lvlText w:val="%1:"/>
      <w:numFmt w:val="upperLetter"/>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1)"/>
      <w:numFmt w:val="decimal"/>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
      <w:numFmt w:val="bullet"/>
      <w:start w:val="1"/>
    </w:lvl>
  </w:abstractNum>
  <w:abstractNum w:abstractNumId="77">
    <w:nsid w:val="7C58FD05"/>
    <w:multiLevelType w:val="hybridMultilevel"/>
    <w:lvl w:ilvl="0">
      <w:lvlJc w:val="left"/>
      <w:lvlText w:val="•"/>
      <w:numFmt w:val="bullet"/>
      <w:start w:val="1"/>
    </w:lvl>
  </w:abstractNum>
  <w:abstractNum w:abstractNumId="78">
    <w:nsid w:val="23D86AAC"/>
    <w:multiLevelType w:val="hybridMultilevel"/>
    <w:lvl w:ilvl="0">
      <w:lvlJc w:val="left"/>
      <w:lvlText w:val="•"/>
      <w:numFmt w:val="bullet"/>
      <w:start w:val="1"/>
    </w:lvl>
  </w:abstractNum>
  <w:abstractNum w:abstractNumId="79">
    <w:nsid w:val="45E6D486"/>
    <w:multiLevelType w:val="hybridMultilevel"/>
    <w:lvl w:ilvl="0">
      <w:lvlJc w:val="left"/>
      <w:lvlText w:val="•"/>
      <w:numFmt w:val="bullet"/>
      <w:start w:val="1"/>
    </w:lvl>
  </w:abstractNum>
  <w:abstractNum w:abstractNumId="80">
    <w:nsid w:val="5C10FE21"/>
    <w:multiLevelType w:val="hybridMultilevel"/>
    <w:lvl w:ilvl="0">
      <w:lvlJc w:val="left"/>
      <w:lvlText w:val="•"/>
      <w:numFmt w:val="bullet"/>
      <w:start w:val="1"/>
    </w:lvl>
  </w:abstractNum>
  <w:abstractNum w:abstractNumId="81">
    <w:nsid w:val="E7FFA2B"/>
    <w:multiLevelType w:val="hybridMultilevel"/>
    <w:lvl w:ilvl="0">
      <w:lvlJc w:val="left"/>
      <w:lvlText w:val="•"/>
      <w:numFmt w:val="bullet"/>
      <w:start w:val="1"/>
    </w:lvl>
  </w:abstractNum>
  <w:abstractNum w:abstractNumId="82">
    <w:nsid w:val="3C5991AA"/>
    <w:multiLevelType w:val="hybridMultilevel"/>
    <w:lvl w:ilvl="0">
      <w:lvlJc w:val="left"/>
      <w:lvlText w:val="•"/>
      <w:numFmt w:val="bullet"/>
      <w:start w:val="1"/>
    </w:lvl>
  </w:abstractNum>
  <w:abstractNum w:abstractNumId="83">
    <w:nsid w:val="4BD8591A"/>
    <w:multiLevelType w:val="hybridMultilevel"/>
    <w:lvl w:ilvl="0">
      <w:lvlJc w:val="left"/>
      <w:lvlText w:val="•"/>
      <w:numFmt w:val="bullet"/>
      <w:start w:val="1"/>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
      <w:numFmt w:val="bullet"/>
      <w:start w:val="1"/>
    </w:lvl>
  </w:abstractNum>
  <w:abstractNum w:abstractNumId="87">
    <w:nsid w:val="6C80EC70"/>
    <w:multiLevelType w:val="hybridMultilevel"/>
    <w:lvl w:ilvl="0">
      <w:lvlJc w:val="left"/>
      <w:lvlText w:val="•"/>
      <w:numFmt w:val="bullet"/>
      <w:start w:val="1"/>
    </w:lvl>
  </w:abstractNum>
  <w:abstractNum w:abstractNumId="88">
    <w:nsid w:val="379E21B5"/>
    <w:multiLevelType w:val="hybridMultilevel"/>
    <w:lvl w:ilvl="0">
      <w:lvlJc w:val="left"/>
      <w:lvlText w:val="•"/>
      <w:numFmt w:val="bullet"/>
      <w:start w:val="1"/>
    </w:lvl>
  </w:abstractNum>
  <w:abstractNum w:abstractNumId="89">
    <w:nsid w:val="69E373"/>
    <w:multiLevelType w:val="hybridMultilevel"/>
    <w:lvl w:ilvl="0">
      <w:lvlJc w:val="left"/>
      <w:lvlText w:val="•"/>
      <w:numFmt w:val="bullet"/>
      <w:start w:val="1"/>
    </w:lvl>
  </w:abstractNum>
  <w:abstractNum w:abstractNumId="90">
    <w:nsid w:val="2C27173B"/>
    <w:multiLevelType w:val="hybridMultilevel"/>
    <w:lvl w:ilvl="0">
      <w:lvlJc w:val="left"/>
      <w:lvlText w:val="•"/>
      <w:numFmt w:val="bullet"/>
      <w:start w:val="1"/>
    </w:lvl>
  </w:abstractNum>
  <w:abstractNum w:abstractNumId="91">
    <w:nsid w:val="4C9B0904"/>
    <w:multiLevelType w:val="hybridMultilevel"/>
    <w:lvl w:ilvl="0">
      <w:lvlJc w:val="left"/>
      <w:lvlText w:val="•"/>
      <w:numFmt w:val="bullet"/>
      <w:start w:val="1"/>
    </w:lvl>
  </w:abstractNum>
  <w:abstractNum w:abstractNumId="92">
    <w:nsid w:val="6AA7B75C"/>
    <w:multiLevelType w:val="hybridMultilevel"/>
    <w:lvl w:ilvl="0">
      <w:lvlJc w:val="left"/>
      <w:lvlText w:val="•"/>
      <w:numFmt w:val="bullet"/>
      <w:start w:val="1"/>
    </w:lvl>
  </w:abstractNum>
  <w:abstractNum w:abstractNumId="93">
    <w:nsid w:val="1DF029D3"/>
    <w:multiLevelType w:val="hybridMultilevel"/>
    <w:lvl w:ilvl="0">
      <w:lvlJc w:val="left"/>
      <w:lvlText w:val="•"/>
      <w:numFmt w:val="bullet"/>
      <w:start w:val="1"/>
    </w:lvl>
  </w:abstractNum>
  <w:abstractNum w:abstractNumId="94">
    <w:nsid w:val="5675FF36"/>
    <w:multiLevelType w:val="hybridMultilevel"/>
    <w:lvl w:ilvl="0">
      <w:lvlJc w:val="left"/>
      <w:lvlText w:val="(%1)"/>
      <w:numFmt w:val="decimal"/>
      <w:start w:val="1"/>
    </w:lvl>
  </w:abstractNum>
  <w:abstractNum w:abstractNumId="95">
    <w:nsid w:val="3DD15094"/>
    <w:multiLevelType w:val="hybridMultilevel"/>
    <w:lvl w:ilvl="0">
      <w:lvlJc w:val="left"/>
      <w:lvlText w:val="(%1)"/>
      <w:numFmt w:val="decimal"/>
      <w:start w:val="3"/>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4"/>
    </w:lvl>
  </w:abstractNum>
  <w:abstractNum w:abstractNumId="99">
    <w:nsid w:val="175DFCF0"/>
    <w:multiLevelType w:val="hybridMultilevel"/>
    <w:lvl w:ilvl="0">
      <w:lvlJc w:val="left"/>
      <w:lvlText w:val="(%1)"/>
      <w:numFmt w:val="lowerLetter"/>
      <w:start w:val="7"/>
    </w:lvl>
  </w:abstractNum>
  <w:abstractNum w:abstractNumId="100">
    <w:nsid w:val="4F97E3E4"/>
    <w:multiLevelType w:val="hybridMultilevel"/>
    <w:lvl w:ilvl="0">
      <w:lvlJc w:val="left"/>
      <w:lvlText w:val="(%1)"/>
      <w:numFmt w:val="lowerLetter"/>
      <w:start w:val="8"/>
    </w:lvl>
  </w:abstractNum>
  <w:abstractNum w:abstractNumId="101">
    <w:nsid w:val="53B0A9E"/>
    <w:multiLevelType w:val="hybridMultilevel"/>
    <w:lvl w:ilvl="0">
      <w:lvlJc w:val="left"/>
      <w:lvlText w:val="(%1)"/>
      <w:numFmt w:val="lowerLetter"/>
      <w:start w:val="1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
      <w:numFmt w:val="bullet"/>
      <w:start w:val="1"/>
    </w:lvl>
  </w:abstractNum>
  <w:abstractNum w:abstractNumId="104">
    <w:nsid w:val="56438D15"/>
    <w:multiLevelType w:val="hybridMultilevel"/>
    <w:lvl w:ilvl="0">
      <w:lvlJc w:val="left"/>
      <w:lvlText w:val="(%1)"/>
      <w:numFmt w:val="decimal"/>
      <w:start w:val="1"/>
    </w:lvl>
  </w:abstractNum>
  <w:abstractNum w:abstractNumId="105">
    <w:nsid w:val="519E3149"/>
    <w:multiLevelType w:val="hybridMultilevel"/>
    <w:lvl w:ilvl="0">
      <w:lvlJc w:val="left"/>
      <w:lvlText w:val="(%1)"/>
      <w:numFmt w:val="decimal"/>
      <w:start w:val="1"/>
    </w:lvl>
  </w:abstractNum>
  <w:abstractNum w:abstractNumId="106">
    <w:nsid w:val="2C6E4AFD"/>
    <w:multiLevelType w:val="hybridMultilevel"/>
    <w:lvl w:ilvl="0">
      <w:lvlJc w:val="left"/>
      <w:lvlText w:val="(%1)"/>
      <w:numFmt w:val="lowerLetter"/>
      <w:start w:val="1"/>
    </w:lvl>
  </w:abstractNum>
  <w:abstractNum w:abstractNumId="107">
    <w:nsid w:val="17A1B582"/>
    <w:multiLevelType w:val="hybridMultilevel"/>
    <w:lvl w:ilvl="0">
      <w:lvlJc w:val="left"/>
      <w:lvlText w:val="(%1)"/>
      <w:numFmt w:val="decimal"/>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
      <w:numFmt w:val="bullet"/>
      <w:start w:val="1"/>
    </w:lvl>
  </w:abstractNum>
  <w:abstractNum w:abstractNumId="110">
    <w:nsid w:val="5D888A08"/>
    <w:multiLevelType w:val="hybridMultilevel"/>
    <w:lvl w:ilvl="0">
      <w:lvlJc w:val="left"/>
      <w:lvlText w:val="•"/>
      <w:numFmt w:val="bullet"/>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2"/>
      <w:numFmt w:val="bullet"/>
      <w:start w:val="1"/>
    </w:lvl>
  </w:abstractNum>
  <w:abstractNum w:abstractNumId="113">
    <w:nsid w:val="19E21BB2"/>
    <w:multiLevelType w:val="hybridMultilevel"/>
    <w:lvl w:ilvl="0">
      <w:lvlJc w:val="left"/>
      <w:lvlText w:val="•"/>
      <w:numFmt w:val="bullet"/>
      <w:start w:val="1"/>
    </w:lvl>
  </w:abstractNum>
  <w:abstractNum w:abstractNumId="114">
    <w:nsid w:val="75E0858A"/>
    <w:multiLevelType w:val="hybridMultilevel"/>
    <w:lvl w:ilvl="0">
      <w:lvlJc w:val="left"/>
      <w:lvlText w:val="•"/>
      <w:numFmt w:val="bullet"/>
      <w:start w:val="1"/>
    </w:lvl>
  </w:abstractNum>
  <w:abstractNum w:abstractNumId="115">
    <w:nsid w:val="57A61A29"/>
    <w:multiLevelType w:val="hybridMultilevel"/>
    <w:lvl w:ilvl="0">
      <w:lvlJc w:val="left"/>
      <w:lvlText w:val="•"/>
      <w:numFmt w:val="bullet"/>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
      <w:numFmt w:val="bullet"/>
      <w:start w:val="1"/>
    </w:lvl>
  </w:abstractNum>
  <w:abstractNum w:abstractNumId="118">
    <w:nsid w:val="4427069A"/>
    <w:multiLevelType w:val="hybridMultilevel"/>
    <w:lvl w:ilvl="0">
      <w:lvlJc w:val="left"/>
      <w:lvlText w:val="•"/>
      <w:numFmt w:val="bullet"/>
      <w:start w:val="1"/>
    </w:lvl>
  </w:abstractNum>
  <w:abstractNum w:abstractNumId="119">
    <w:nsid w:val="B37E80A"/>
    <w:multiLevelType w:val="hybridMultilevel"/>
    <w:lvl w:ilvl="0">
      <w:lvlJc w:val="left"/>
      <w:lvlText w:val="•"/>
      <w:numFmt w:val="bullet"/>
      <w:start w:val="1"/>
    </w:lvl>
  </w:abstractNum>
  <w:abstractNum w:abstractNumId="120">
    <w:nsid w:val="2157F6BC"/>
    <w:multiLevelType w:val="hybridMultilevel"/>
    <w:lvl w:ilvl="0">
      <w:lvlJc w:val="left"/>
      <w:lvlText w:val="•"/>
      <w:numFmt w:val="bullet"/>
      <w:start w:val="1"/>
    </w:lvl>
  </w:abstractNum>
  <w:abstractNum w:abstractNumId="121">
    <w:nsid w:val="704E1DD5"/>
    <w:multiLevelType w:val="hybridMultilevel"/>
    <w:lvl w:ilvl="0">
      <w:lvlJc w:val="left"/>
      <w:lvlText w:val="•"/>
      <w:numFmt w:val="bullet"/>
      <w:start w:val="1"/>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3"/>
      <w:numFmt w:val="bullet"/>
      <w:start w:val="1"/>
    </w:lvl>
  </w:abstractNum>
  <w:abstractNum w:abstractNumId="124">
    <w:nsid w:val="E3E47A8"/>
    <w:multiLevelType w:val="hybridMultilevel"/>
    <w:lvl w:ilvl="0">
      <w:lvlJc w:val="left"/>
      <w:lvlText w:val="(%1)"/>
      <w:numFmt w:val="decimal"/>
      <w:start w:val="2"/>
    </w:lvl>
  </w:abstractNum>
  <w:abstractNum w:abstractNumId="125">
    <w:nsid w:val="2E48F044"/>
    <w:multiLevelType w:val="hybridMultilevel"/>
    <w:lvl w:ilvl="0">
      <w:lvlJc w:val="left"/>
      <w:lvlText w:val="(%1)"/>
      <w:numFmt w:val="decimal"/>
      <w:start w:val="1"/>
    </w:lvl>
  </w:abstractNum>
  <w:abstractNum w:abstractNumId="126">
    <w:nsid w:val="49D0FEAC"/>
    <w:multiLevelType w:val="hybridMultilevel"/>
    <w:lvl w:ilvl="0">
      <w:lvlJc w:val="left"/>
      <w:lvlText w:val="•"/>
      <w:numFmt w:val="bullet"/>
      <w:start w:val="1"/>
    </w:lvl>
  </w:abstractNum>
  <w:abstractNum w:abstractNumId="127">
    <w:nsid w:val="4BEE5A5B"/>
    <w:multiLevelType w:val="hybridMultilevel"/>
    <w:lvl w:ilvl="0">
      <w:lvlJc w:val="left"/>
      <w:lvlText w:val="•"/>
      <w:numFmt w:val="bullet"/>
      <w:start w:val="1"/>
    </w:lvl>
  </w:abstractNum>
  <w:abstractNum w:abstractNumId="128">
    <w:nsid w:val="5551B9F3"/>
    <w:multiLevelType w:val="hybridMultilevel"/>
    <w:lvl w:ilvl="0">
      <w:lvlJc w:val="left"/>
      <w:lvlText w:val="•"/>
      <w:numFmt w:val="bullet"/>
      <w:start w:val="1"/>
    </w:lvl>
  </w:abstractNum>
  <w:abstractNum w:abstractNumId="129">
    <w:nsid w:val="24F6AB8E"/>
    <w:multiLevelType w:val="hybridMultilevel"/>
    <w:lvl w:ilvl="0">
      <w:lvlJc w:val="left"/>
      <w:lvlText w:val="•"/>
      <w:numFmt w:val="bullet"/>
      <w:start w:val="1"/>
    </w:lvl>
  </w:abstractNum>
  <w:abstractNum w:abstractNumId="130">
    <w:nsid w:val="634C574C"/>
    <w:multiLevelType w:val="hybridMultilevel"/>
    <w:lvl w:ilvl="0">
      <w:lvlJc w:val="left"/>
      <w:lvlText w:val="•"/>
      <w:numFmt w:val="bullet"/>
      <w:start w:val="1"/>
    </w:lvl>
  </w:abstractNum>
  <w:abstractNum w:abstractNumId="131">
    <w:nsid w:val="24E99DD7"/>
    <w:multiLevelType w:val="hybridMultilevel"/>
    <w:lvl w:ilvl="0">
      <w:lvlJc w:val="left"/>
      <w:lvlText w:val="•"/>
      <w:numFmt w:val="bullet"/>
      <w:start w:val="1"/>
    </w:lvl>
  </w:abstractNum>
  <w:abstractNum w:abstractNumId="132">
    <w:nsid w:val="2A31B62D"/>
    <w:multiLevelType w:val="hybridMultilevel"/>
    <w:lvl w:ilvl="0">
      <w:lvlJc w:val="left"/>
      <w:lvlText w:val="•"/>
      <w:numFmt w:val="bullet"/>
      <w:start w:val="1"/>
    </w:lvl>
  </w:abstractNum>
  <w:abstractNum w:abstractNumId="133">
    <w:nsid w:val="1849C29B"/>
    <w:multiLevelType w:val="hybridMultilevel"/>
    <w:lvl w:ilvl="0">
      <w:lvlJc w:val="left"/>
      <w:lvlText w:val="•"/>
      <w:numFmt w:val="bullet"/>
      <w:start w:val="1"/>
    </w:lvl>
  </w:abstractNum>
  <w:abstractNum w:abstractNumId="134">
    <w:nsid w:val="7DFF9D09"/>
    <w:multiLevelType w:val="hybridMultilevel"/>
    <w:lvl w:ilvl="0">
      <w:lvlJc w:val="left"/>
      <w:lvlText w:val="•"/>
      <w:numFmt w:val="bullet"/>
      <w:start w:val="1"/>
    </w:lvl>
  </w:abstractNum>
  <w:abstractNum w:abstractNumId="135">
    <w:nsid w:val="754342"/>
    <w:multiLevelType w:val="hybridMultilevel"/>
    <w:lvl w:ilvl="0">
      <w:lvlJc w:val="left"/>
      <w:lvlText w:val="*"/>
      <w:numFmt w:val="bullet"/>
      <w:start w:val="1"/>
    </w:lvl>
  </w:abstractNum>
  <w:abstractNum w:abstractNumId="136">
    <w:nsid w:val="69E7F3E5"/>
    <w:multiLevelType w:val="hybridMultilevel"/>
    <w:lvl w:ilvl="0">
      <w:lvlJc w:val="left"/>
      <w:lvlText w:val="(%1)"/>
      <w:numFmt w:val="decimal"/>
      <w:start w:val="1"/>
    </w:lvl>
  </w:abstractNum>
  <w:abstractNum w:abstractNumId="137">
    <w:nsid w:val="2A6DE806"/>
    <w:multiLevelType w:val="hybridMultilevel"/>
    <w:lvl w:ilvl="0">
      <w:lvlJc w:val="left"/>
      <w:lvlText w:val="(%1)"/>
      <w:numFmt w:val="decimal"/>
      <w:start w:val="1"/>
    </w:lvl>
  </w:abstractNum>
  <w:abstractNum w:abstractNumId="138">
    <w:nsid w:val="1816F8C4"/>
    <w:multiLevelType w:val="hybridMultilevel"/>
    <w:lvl w:ilvl="0">
      <w:lvlJc w:val="left"/>
      <w:lvlText w:val="•"/>
      <w:numFmt w:val="bullet"/>
      <w:start w:val="1"/>
    </w:lvl>
  </w:abstractNum>
  <w:abstractNum w:abstractNumId="139">
    <w:nsid w:val="37DF2233"/>
    <w:multiLevelType w:val="hybridMultilevel"/>
    <w:lvl w:ilvl="0">
      <w:lvlJc w:val="left"/>
      <w:lvlText w:val="•"/>
      <w:numFmt w:val="bullet"/>
      <w:start w:val="1"/>
    </w:lvl>
  </w:abstractNum>
  <w:abstractNum w:abstractNumId="140">
    <w:nsid w:val="7AB49DAF"/>
    <w:multiLevelType w:val="hybridMultilevel"/>
    <w:lvl w:ilvl="0">
      <w:lvlJc w:val="left"/>
      <w:lvlText w:val="(%1)"/>
      <w:numFmt w:val="decimal"/>
      <w:start w:val="2"/>
    </w:lvl>
  </w:abstractNum>
  <w:abstractNum w:abstractNumId="141">
    <w:nsid w:val="759F82CD"/>
    <w:multiLevelType w:val="hybridMultilevel"/>
    <w:lvl w:ilvl="0">
      <w:lvlJc w:val="left"/>
      <w:lvlText w:val="•"/>
      <w:numFmt w:val="bullet"/>
      <w:start w:val="1"/>
    </w:lvl>
  </w:abstractNum>
  <w:abstractNum w:abstractNumId="142">
    <w:nsid w:val="61E74EA3"/>
    <w:multiLevelType w:val="hybridMultilevel"/>
    <w:lvl w:ilvl="0">
      <w:lvlJc w:val="left"/>
      <w:lvlText w:val="(%1)"/>
      <w:numFmt w:val="lowerLetter"/>
      <w:start w:val="1"/>
    </w:lvl>
  </w:abstractNum>
  <w:abstractNum w:abstractNumId="143">
    <w:nsid w:val="597B4D84"/>
    <w:multiLevelType w:val="hybridMultilevel"/>
    <w:lvl w:ilvl="0">
      <w:lvlJc w:val="left"/>
      <w:lvlText w:val="•"/>
      <w:numFmt w:val="bullet"/>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jpe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jpeg"/><Relationship Id="rId234" Type="http://schemas.openxmlformats.org/officeDocument/2006/relationships/image" Target="media/image212.jpe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jpeg"/><Relationship Id="rId238" Type="http://schemas.openxmlformats.org/officeDocument/2006/relationships/image" Target="media/image216.png"/><Relationship Id="rId239" Type="http://schemas.openxmlformats.org/officeDocument/2006/relationships/image" Target="media/image217.jpeg"/><Relationship Id="rId240" Type="http://schemas.openxmlformats.org/officeDocument/2006/relationships/image" Target="media/image218.png"/><Relationship Id="rId241" Type="http://schemas.openxmlformats.org/officeDocument/2006/relationships/image" Target="media/image219.jpeg"/><Relationship Id="rId20" Type="http://schemas.openxmlformats.org/officeDocument/2006/relationships/hyperlink" Target="http://www.sec.gov/Archives/edgar/data/0002067876/000119312525207527/d894612dex21.htm" TargetMode="External"/><Relationship Id="rId21" Type="http://schemas.openxmlformats.org/officeDocument/2006/relationships/hyperlink" Target="http://www.sec.gov/Archives/edgar/data/2067876/000119312525207527/d894612dex31.htm" TargetMode="External"/><Relationship Id="rId22" Type="http://schemas.openxmlformats.org/officeDocument/2006/relationships/hyperlink" Target="http://www.sec.gov/Archives/edgar/data/0002067876/000119312525207527/d894612dex32.htm" TargetMode="External"/><Relationship Id="rId23" Type="http://schemas.openxmlformats.org/officeDocument/2006/relationships/hyperlink" Target="http://www.sec.gov/Archives/edgar/data/0002067876/000119312525207527/d894612dex101.htm" TargetMode="External"/><Relationship Id="rId24" Type="http://schemas.openxmlformats.org/officeDocument/2006/relationships/hyperlink" Target="http://www.sec.gov/Archives/edgar/data/0002067876/000119312525207527/d894612dex102.htm" TargetMode="External"/><Relationship Id="rId25" Type="http://schemas.openxmlformats.org/officeDocument/2006/relationships/hyperlink" Target="http://www.sec.gov/Archives/edgar/data/0002067876/000119312525285944/d894612dex103.htm" TargetMode="External"/><Relationship Id="rId26" Type="http://schemas.openxmlformats.org/officeDocument/2006/relationships/hyperlink" Target="http://www.sec.gov/Archives/edgar/data/0002067876/000119312525207527/d894612dex104.htm" TargetMode="External"/><Relationship Id="rId27" Type="http://schemas.openxmlformats.org/officeDocument/2006/relationships/hyperlink" Target="http://www.sec.gov/Archives/edgar/data/0002067876/000119312525207527/d894612dex105.htm" TargetMode="External"/><Relationship Id="rId28" Type="http://schemas.openxmlformats.org/officeDocument/2006/relationships/hyperlink" Target="http://www.sec.gov/Archives/edgar/data/0002067876/000119312525260634/d894612dex106.htm" TargetMode="External"/><Relationship Id="rId29" Type="http://schemas.openxmlformats.org/officeDocument/2006/relationships/hyperlink" Target="http://www.sec.gov/Archives/edgar/data/0002067876/000119312525260634/d894612dex107.htm" TargetMode="External"/><Relationship Id="rId30" Type="http://schemas.openxmlformats.org/officeDocument/2006/relationships/hyperlink" Target="http://www.sec.gov/Archives/edgar/data/0002067876/000119312525260634/d894612dex108.htm" TargetMode="External"/><Relationship Id="rId31" Type="http://schemas.openxmlformats.org/officeDocument/2006/relationships/hyperlink" Target="http://www.sec.gov/Archives/edgar/data/0002067876/000119312525260634/d894612dex109.htm" TargetMode="External"/><Relationship Id="rId32" Type="http://schemas.openxmlformats.org/officeDocument/2006/relationships/hyperlink" Target="http://www.sec.gov/Archives/edgar/data/0002067876/000119312525260634/d894612dex1010.htm" TargetMode="External"/><Relationship Id="rId33" Type="http://schemas.openxmlformats.org/officeDocument/2006/relationships/hyperlink" Target="http://www.sec.gov/Archives/edgar/data/0002067876/000119312525260634/d894612dex1011.htm" TargetMode="External"/><Relationship Id="rId34" Type="http://schemas.openxmlformats.org/officeDocument/2006/relationships/hyperlink" Target="http://www.sec.gov/Archives/edgar/data/0002067876/000119312525285944/d894612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2025-12-03T15:41:35Z</dcterms:created>
  <dcterms:modified xsi:type="dcterms:W3CDTF">2025-12-03T15:41:35Z</dcterms:modified>
</cp:coreProperties>
</file>