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Potter Leonard</w:t>
              </w:r>
            </w:hyperlink>
          </w:p>
        </w:tc>
        <w:tc>
          <w:tcPr>
            <w:tcW w:w="86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20" w:type="dxa"/>
            <w:vAlign w:val="bottom"/>
            <w:gridSpan w:val="5"/>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Versant Media Group,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VSNT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40" w:type="dxa"/>
            <w:vAlign w:val="bottom"/>
            <w:gridSpan w:val="3"/>
            <w:vMerge w:val="continue"/>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4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60" w:type="dxa"/>
            <w:vAlign w:val="bottom"/>
            <w:gridSpan w:val="5"/>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6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134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vMerge w:val="restart"/>
          </w:tcPr>
          <w:p>
            <w:pPr>
              <w:spacing w:after="0"/>
              <w:rPr>
                <w:sz w:val="9"/>
                <w:szCs w:val="9"/>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640" w:type="dxa"/>
            <w:vAlign w:val="bottom"/>
            <w:tcBorders>
              <w:top w:val="single" w:sz="8" w:color="EEEEEE"/>
            </w:tcBorders>
          </w:tcPr>
          <w:p>
            <w:pPr>
              <w:spacing w:after="0"/>
              <w:rPr>
                <w:sz w:val="4"/>
                <w:szCs w:val="4"/>
                <w:color w:val="auto"/>
              </w:rPr>
            </w:pPr>
          </w:p>
        </w:tc>
        <w:tc>
          <w:tcPr>
            <w:tcW w:w="160" w:type="dxa"/>
            <w:vAlign w:val="bottom"/>
            <w:tcBorders>
              <w:top w:val="single" w:sz="8" w:color="EEEEEE"/>
            </w:tcBorders>
          </w:tcPr>
          <w:p>
            <w:pPr>
              <w:spacing w:after="0"/>
              <w:rPr>
                <w:sz w:val="4"/>
                <w:szCs w:val="4"/>
                <w:color w:val="auto"/>
              </w:rPr>
            </w:pPr>
          </w:p>
        </w:tc>
        <w:tc>
          <w:tcPr>
            <w:tcW w:w="860" w:type="dxa"/>
            <w:vAlign w:val="bottom"/>
            <w:tcBorders>
              <w:top w:val="single" w:sz="8" w:color="EEEEEE"/>
            </w:tcBorders>
          </w:tcPr>
          <w:p>
            <w:pPr>
              <w:spacing w:after="0"/>
              <w:rPr>
                <w:sz w:val="4"/>
                <w:szCs w:val="4"/>
                <w:color w:val="auto"/>
              </w:rPr>
            </w:pPr>
          </w:p>
        </w:tc>
        <w:tc>
          <w:tcPr>
            <w:tcW w:w="1340" w:type="dxa"/>
            <w:vAlign w:val="bottom"/>
            <w:tcBorders>
              <w:top w:val="single" w:sz="8" w:color="EEEE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5"/>
          </w:tcPr>
          <w:p>
            <w:pPr>
              <w:spacing w:after="0"/>
              <w:rPr>
                <w:sz w:val="20"/>
                <w:szCs w:val="20"/>
                <w:color w:val="auto"/>
              </w:rPr>
            </w:pPr>
            <w:r>
              <w:rPr>
                <w:rFonts w:ascii="Arial" w:cs="Arial" w:eastAsia="Arial" w:hAnsi="Arial"/>
                <w:sz w:val="13"/>
                <w:szCs w:val="13"/>
                <w:color w:val="auto"/>
              </w:rPr>
              <w:t>3. Date of Earliest Transaction (Month/Day/Year)</w:t>
            </w: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C/O VERSANT MEDIA GROUP, INC.</w:t>
            </w:r>
          </w:p>
        </w:tc>
        <w:tc>
          <w:tcPr>
            <w:tcW w:w="164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01/09/2026</w:t>
            </w: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40" w:type="dxa"/>
            <w:vAlign w:val="bottom"/>
            <w:gridSpan w:val="5"/>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900 SYLVAN AVENUE</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32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20" w:type="dxa"/>
            <w:vAlign w:val="bottom"/>
            <w:tcBorders>
              <w:bottom w:val="single" w:sz="8" w:color="2C2C2C"/>
            </w:tcBorders>
          </w:tcPr>
          <w:p>
            <w:pPr>
              <w:spacing w:after="0"/>
              <w:rPr>
                <w:sz w:val="21"/>
                <w:szCs w:val="21"/>
                <w:color w:val="auto"/>
              </w:rPr>
            </w:pPr>
          </w:p>
        </w:tc>
        <w:tc>
          <w:tcPr>
            <w:tcW w:w="78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00" w:type="dxa"/>
            <w:vAlign w:val="bottom"/>
            <w:tcBorders>
              <w:bottom w:val="single" w:sz="8" w:color="2C2C2C"/>
            </w:tcBorders>
          </w:tcPr>
          <w:p>
            <w:pPr>
              <w:spacing w:after="0"/>
              <w:rPr>
                <w:sz w:val="21"/>
                <w:szCs w:val="21"/>
                <w:color w:val="auto"/>
              </w:rPr>
            </w:pPr>
          </w:p>
        </w:tc>
        <w:tc>
          <w:tcPr>
            <w:tcW w:w="24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1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740" w:type="dxa"/>
            <w:vAlign w:val="bottom"/>
            <w:tcBorders>
              <w:bottom w:val="single" w:sz="8" w:color="2C2C2C"/>
            </w:tcBorders>
          </w:tcPr>
          <w:p>
            <w:pPr>
              <w:spacing w:after="0"/>
              <w:rPr>
                <w:sz w:val="21"/>
                <w:szCs w:val="21"/>
                <w:color w:val="auto"/>
              </w:rPr>
            </w:pPr>
          </w:p>
        </w:tc>
        <w:tc>
          <w:tcPr>
            <w:tcW w:w="94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6"/>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4"/>
          </w:tcPr>
          <w:p>
            <w:pPr>
              <w:ind w:left="8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0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3"/>
            <w:vMerge w:val="restart"/>
          </w:tcPr>
          <w:p>
            <w:pPr>
              <w:spacing w:after="0" w:line="318" w:lineRule="exact"/>
              <w:rPr>
                <w:sz w:val="20"/>
                <w:szCs w:val="20"/>
                <w:color w:val="auto"/>
              </w:rPr>
            </w:pPr>
            <w:r>
              <w:rPr>
                <w:rFonts w:ascii="Times New Roman" w:cs="Times New Roman" w:eastAsia="Times New Roman" w:hAnsi="Times New Roman"/>
                <w:sz w:val="17"/>
                <w:szCs w:val="17"/>
                <w:color w:val="0000FF"/>
              </w:rPr>
              <w:t xml:space="preserve">ENGLEWOOD </w:t>
            </w:r>
            <w:r>
              <w:rPr>
                <w:rFonts w:ascii="Times New Roman" w:cs="Times New Roman" w:eastAsia="Times New Roman" w:hAnsi="Times New Roman"/>
                <w:sz w:val="34"/>
                <w:szCs w:val="34"/>
                <w:color w:val="0000FF"/>
                <w:vertAlign w:val="subscript"/>
              </w:rPr>
              <w:t>NJ</w:t>
            </w:r>
          </w:p>
        </w:tc>
        <w:tc>
          <w:tcPr>
            <w:tcW w:w="86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07632</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9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86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line="147" w:lineRule="exact"/>
              <w:rPr>
                <w:sz w:val="20"/>
                <w:szCs w:val="20"/>
                <w:color w:val="auto"/>
              </w:rPr>
            </w:pPr>
            <w:r>
              <w:rPr>
                <w:rFonts w:ascii="Times New Roman" w:cs="Times New Roman" w:eastAsia="Times New Roman" w:hAnsi="Times New Roman"/>
                <w:sz w:val="16"/>
                <w:szCs w:val="16"/>
                <w:color w:val="0000FF"/>
              </w:rPr>
              <w:t>CLIFFS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gridSpan w:val="2"/>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740" w:type="dxa"/>
            <w:vAlign w:val="bottom"/>
            <w:tcBorders>
              <w:bottom w:val="single" w:sz="8" w:color="2C2C2C"/>
            </w:tcBorders>
            <w:gridSpan w:val="8"/>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8"/>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8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820" w:type="dxa"/>
            <w:vAlign w:val="bottom"/>
            <w:gridSpan w:val="5"/>
          </w:tcPr>
          <w:p>
            <w:pPr>
              <w:ind w:left="8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5"/>
          </w:tcPr>
          <w:p>
            <w:pPr>
              <w:ind w:left="840"/>
              <w:spacing w:after="0"/>
              <w:rPr>
                <w:sz w:val="20"/>
                <w:szCs w:val="20"/>
                <w:color w:val="auto"/>
              </w:rPr>
            </w:pPr>
            <w:r>
              <w:rPr>
                <w:rFonts w:ascii="Times New Roman" w:cs="Times New Roman" w:eastAsia="Times New Roman" w:hAnsi="Times New Roman"/>
                <w:sz w:val="17"/>
                <w:szCs w:val="17"/>
                <w:color w:val="0000FF"/>
              </w:rPr>
              <w:t>01/09/2026</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2,378</w:t>
            </w:r>
            <w:r>
              <w:rPr>
                <w:rFonts w:ascii="Times New Roman" w:cs="Times New Roman" w:eastAsia="Times New Roman" w:hAnsi="Times New Roman"/>
                <w:sz w:val="22"/>
                <w:szCs w:val="22"/>
                <w:color w:val="008000"/>
                <w:vertAlign w:val="superscript"/>
              </w:rPr>
              <w:t>(2)</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3"/>
          </w:tcPr>
          <w:p>
            <w:pPr>
              <w:ind w:left="18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tcBorders>
              <w:bottom w:val="single" w:sz="8" w:color="2C2C2C"/>
            </w:tcBorders>
            <w:gridSpan w:val="3"/>
          </w:tcPr>
          <w:p>
            <w:pPr>
              <w:ind w:left="500"/>
              <w:spacing w:after="0"/>
              <w:rPr>
                <w:sz w:val="20"/>
                <w:szCs w:val="20"/>
                <w:color w:val="auto"/>
              </w:rPr>
            </w:pPr>
            <w:r>
              <w:rPr>
                <w:rFonts w:ascii="Times New Roman" w:cs="Times New Roman" w:eastAsia="Times New Roman" w:hAnsi="Times New Roman"/>
                <w:sz w:val="17"/>
                <w:szCs w:val="17"/>
                <w:color w:val="0000FF"/>
              </w:rPr>
              <w:t>2,378</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8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January 2, 2026, Comcast Corporation ("Comcast") completed a pro-rata spinoff distribution ("Distribution") of all of its shares of Versant Media Group, Inc. ("Versant") Class A common stock, par value $0.01 per share ("Versant Class A Common Stock") and Versant Class B common stock, par value $0.01 per share ("Versant Class B Common Stock") to the holders of record of Comcast Class A common stock, par value $0.01 per share ("Comcast Class A Common Stock") and Comcast Class B common stock, par value $0.01 per share ("Comcast Class B Common Stock"), respectively, as of December 16, 2025, the record date for the Distribution ("Record Date").</w:t>
      </w:r>
    </w:p>
    <w:p>
      <w:pPr>
        <w:spacing w:after="0" w:line="24" w:lineRule="exact"/>
        <w:rPr>
          <w:rFonts w:ascii="Times New Roman" w:cs="Times New Roman" w:eastAsia="Times New Roman" w:hAnsi="Times New Roman"/>
          <w:sz w:val="13"/>
          <w:szCs w:val="13"/>
          <w:color w:val="008000"/>
        </w:rPr>
      </w:pPr>
    </w:p>
    <w:p>
      <w:pPr>
        <w:ind w:left="40" w:right="4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 connection with the Reporting Person's appointment as a non-employee director on Versant's board of directors, on January 9, 2026, the Reporting Person was granted restricted stock units with respect to shares of Versant Class A Common Stock ("Versant RSUs") pursuant to the Versant Omnibus Equity Incentive Plan. The Versant RSUs will vest in full on the date of the next regularly scheduled annual general meeting of Versant's shareholders following the date of grant, subject to the Reporting Person's continued service as a non-employee director through such date.</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Jordan Fasbender, as</w:t>
            </w:r>
          </w:p>
        </w:tc>
        <w:tc>
          <w:tcPr>
            <w:tcW w:w="42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01/12/2026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76217" TargetMode="External"/><Relationship Id="rId14" Type="http://schemas.openxmlformats.org/officeDocument/2006/relationships/hyperlink" Target="http://www.sec.gov/cgi-bin/browse-edgar?action=getcompany&amp;CIK=00020678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2026-01-12T17:19:51Z</dcterms:created>
  <dcterms:modified xsi:type="dcterms:W3CDTF">2026-01-12T17:19:51Z</dcterms:modified>
</cp:coreProperties>
</file>