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834459.xml.htm"/>
      <w:bookmarkStart w:id="1" w:name="kswkform4_17728344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Wright Gregory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VERSANT MEDIA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229 WEST 43RD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Versant Media Group, Inc.</w:t>
              </w:r>
            </w:hyperlink>
            <w:r>
              <w:rPr/>
              <w:t xml:space="preserve"> [ </w:t>
            </w:r>
            <w:r>
              <w:rPr>
                <w:rFonts w:ascii="Times;serif" w:hAnsi="Times;serif"/>
                <w:color w:val="0000FF"/>
                <w:sz w:val="24"/>
                <w:shd w:fill="FFFFFF" w:val="clear"/>
              </w:rPr>
              <w:t>VSNT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27,953</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with respect to Versant Media Group, Inc. ("Versant") Class A Common Stock ("RSUs") under the Versant Omnibus Equity Incentive Plan to the Reporting Person on March 5, 2026 (the "Grant Date"). The RSUs shall vest ratably on each of the first three anniversaries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holdings have been adjusted to correct the overreporting of one (1) adjusted and converted RSU received by the Reporting Person in connection with Comcast Corporation's pro-rata spinoff distribution of Versant's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Fasbender,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6507" TargetMode="External"/><Relationship Id="rId5" Type="http://schemas.openxmlformats.org/officeDocument/2006/relationships/hyperlink" Target="http://www.sec.gov/cgi-bin/browse-edgar?action=getcompany&amp;CIK=00020678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3649</Characters>
  <CharactersWithSpaces>4260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