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88265</wp:posOffset>
            </wp:positionV>
            <wp:extent cx="26060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63" w:lineRule="exact"/>
        <w:rPr>
          <w:sz w:val="24"/>
          <w:szCs w:val="24"/>
          <w:color w:val="auto"/>
        </w:rPr>
      </w:pPr>
    </w:p>
    <w:tbl>
      <w:tblPr>
        <w:tblLayout w:type="fixed"/>
        <w:tblInd w:w="20" w:type="dxa"/>
        <w:tblCellMar>
          <w:top w:w="0" w:type="dxa"/>
          <w:left w:w="0" w:type="dxa"/>
          <w:bottom w:w="0" w:type="dxa"/>
          <w:right w:w="0" w:type="dxa"/>
        </w:tblCellMar>
      </w:tblPr>
      <w:tr>
        <w:trPr>
          <w:trHeight w:val="286"/>
        </w:trPr>
        <w:tc>
          <w:tcPr>
            <w:tcW w:w="1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tcPr>
          <w:p>
            <w:pPr>
              <w:jc w:val="center"/>
              <w:ind w:left="1081"/>
              <w:spacing w:after="0"/>
              <w:rPr>
                <w:sz w:val="20"/>
                <w:szCs w:val="20"/>
                <w:color w:val="auto"/>
              </w:rPr>
            </w:pPr>
            <w:r>
              <w:rPr>
                <w:rFonts w:ascii="Times New Roman" w:cs="Times New Roman" w:eastAsia="Times New Roman" w:hAnsi="Times New Roman"/>
                <w:sz w:val="22"/>
                <w:szCs w:val="22"/>
                <w:b w:val="1"/>
                <w:bCs w:val="1"/>
                <w:color w:val="auto"/>
                <w:w w:val="97"/>
              </w:rPr>
              <w:t>FORM 10-K</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(Mark One)</w:t>
            </w:r>
          </w:p>
        </w:tc>
        <w:tc>
          <w:tcPr>
            <w:tcW w:w="20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4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44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802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62"/>
        </w:trPr>
        <w:tc>
          <w:tcPr>
            <w:tcW w:w="14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940" w:type="dxa"/>
            <w:vAlign w:val="bottom"/>
            <w:gridSpan w:val="4"/>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tc>
        <w:tc>
          <w:tcPr>
            <w:tcW w:w="0" w:type="dxa"/>
            <w:vAlign w:val="bottom"/>
          </w:tcPr>
          <w:p>
            <w:pPr>
              <w:spacing w:after="0"/>
              <w:rPr>
                <w:sz w:val="1"/>
                <w:szCs w:val="1"/>
                <w:color w:val="auto"/>
              </w:rPr>
            </w:pPr>
          </w:p>
        </w:tc>
      </w:tr>
      <w:tr>
        <w:trPr>
          <w:trHeight w:val="177"/>
        </w:trPr>
        <w:tc>
          <w:tcPr>
            <w:tcW w:w="1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0" w:type="dxa"/>
            <w:vAlign w:val="bottom"/>
          </w:tcPr>
          <w:p>
            <w:pPr>
              <w:jc w:val="center"/>
              <w:ind w:left="1101"/>
              <w:spacing w:after="0"/>
              <w:rPr>
                <w:sz w:val="20"/>
                <w:szCs w:val="20"/>
                <w:color w:val="auto"/>
              </w:rPr>
            </w:pPr>
            <w:r>
              <w:rPr>
                <w:rFonts w:ascii="Times New Roman" w:cs="Times New Roman" w:eastAsia="Times New Roman" w:hAnsi="Times New Roman"/>
                <w:sz w:val="11"/>
                <w:szCs w:val="11"/>
                <w:b w:val="1"/>
                <w:bCs w:val="1"/>
                <w:color w:val="auto"/>
                <w:w w:val="95"/>
              </w:rPr>
              <w:t>or</w:t>
            </w: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44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802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312"/>
        </w:trPr>
        <w:tc>
          <w:tcPr>
            <w:tcW w:w="1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97"/>
        </w:trPr>
        <w:tc>
          <w:tcPr>
            <w:tcW w:w="1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4"/>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 File Number: 001-42856</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60325</wp:posOffset>
            </wp:positionV>
            <wp:extent cx="1645920" cy="265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265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Versant Media Group,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56515</wp:posOffset>
            </wp:positionV>
            <wp:extent cx="27089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92"/>
        </w:trPr>
        <w:tc>
          <w:tcPr>
            <w:tcW w:w="5100" w:type="dxa"/>
            <w:vAlign w:val="bottom"/>
            <w:gridSpan w:val="3"/>
          </w:tcPr>
          <w:p>
            <w:pPr>
              <w:jc w:val="center"/>
              <w:ind w:left="128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1640" w:type="dxa"/>
            <w:vAlign w:val="bottom"/>
          </w:tcPr>
          <w:p>
            <w:pPr>
              <w:spacing w:after="0"/>
              <w:rPr>
                <w:sz w:val="24"/>
                <w:szCs w:val="24"/>
                <w:color w:val="auto"/>
              </w:rPr>
            </w:pPr>
          </w:p>
        </w:tc>
        <w:tc>
          <w:tcPr>
            <w:tcW w:w="4140" w:type="dxa"/>
            <w:vAlign w:val="bottom"/>
            <w:gridSpan w:val="2"/>
          </w:tcPr>
          <w:p>
            <w:pPr>
              <w:jc w:val="right"/>
              <w:ind w:right="2348"/>
              <w:spacing w:after="0"/>
              <w:rPr>
                <w:sz w:val="20"/>
                <w:szCs w:val="20"/>
                <w:color w:val="auto"/>
              </w:rPr>
            </w:pPr>
            <w:r>
              <w:rPr>
                <w:rFonts w:ascii="Times New Roman" w:cs="Times New Roman" w:eastAsia="Times New Roman" w:hAnsi="Times New Roman"/>
                <w:sz w:val="18"/>
                <w:szCs w:val="18"/>
                <w:b w:val="1"/>
                <w:bCs w:val="1"/>
                <w:color w:val="auto"/>
              </w:rPr>
              <w:t>39-2087186</w:t>
            </w:r>
          </w:p>
        </w:tc>
        <w:tc>
          <w:tcPr>
            <w:tcW w:w="0" w:type="dxa"/>
            <w:vAlign w:val="bottom"/>
          </w:tcPr>
          <w:p>
            <w:pPr>
              <w:spacing w:after="0"/>
              <w:rPr>
                <w:sz w:val="1"/>
                <w:szCs w:val="1"/>
                <w:color w:val="auto"/>
              </w:rPr>
            </w:pPr>
          </w:p>
        </w:tc>
      </w:tr>
      <w:tr>
        <w:trPr>
          <w:trHeight w:val="219"/>
        </w:trPr>
        <w:tc>
          <w:tcPr>
            <w:tcW w:w="5100" w:type="dxa"/>
            <w:vAlign w:val="bottom"/>
            <w:gridSpan w:val="3"/>
          </w:tcPr>
          <w:p>
            <w:pPr>
              <w:jc w:val="center"/>
              <w:ind w:left="1303"/>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640" w:type="dxa"/>
            <w:vAlign w:val="bottom"/>
          </w:tcPr>
          <w:p>
            <w:pPr>
              <w:spacing w:after="0"/>
              <w:rPr>
                <w:sz w:val="19"/>
                <w:szCs w:val="19"/>
                <w:color w:val="auto"/>
              </w:rPr>
            </w:pPr>
          </w:p>
        </w:tc>
        <w:tc>
          <w:tcPr>
            <w:tcW w:w="4140" w:type="dxa"/>
            <w:vAlign w:val="bottom"/>
            <w:gridSpan w:val="2"/>
          </w:tcPr>
          <w:p>
            <w:pPr>
              <w:jc w:val="center"/>
              <w:ind w:right="1488"/>
              <w:spacing w:after="0"/>
              <w:rPr>
                <w:sz w:val="20"/>
                <w:szCs w:val="20"/>
                <w:color w:val="auto"/>
              </w:rPr>
            </w:pPr>
            <w:r>
              <w:rPr>
                <w:rFonts w:ascii="Times New Roman" w:cs="Times New Roman" w:eastAsia="Times New Roman" w:hAnsi="Times New Roman"/>
                <w:sz w:val="14"/>
                <w:szCs w:val="14"/>
                <w:color w:val="auto"/>
              </w:rPr>
              <w:t>(I.R.S. Employer Identification Number)</w:t>
            </w:r>
          </w:p>
        </w:tc>
        <w:tc>
          <w:tcPr>
            <w:tcW w:w="0" w:type="dxa"/>
            <w:vAlign w:val="bottom"/>
          </w:tcPr>
          <w:p>
            <w:pPr>
              <w:spacing w:after="0"/>
              <w:rPr>
                <w:sz w:val="1"/>
                <w:szCs w:val="1"/>
                <w:color w:val="auto"/>
              </w:rPr>
            </w:pPr>
          </w:p>
        </w:tc>
      </w:tr>
      <w:tr>
        <w:trPr>
          <w:trHeight w:val="217"/>
        </w:trPr>
        <w:tc>
          <w:tcPr>
            <w:tcW w:w="5100" w:type="dxa"/>
            <w:vAlign w:val="bottom"/>
            <w:gridSpan w:val="3"/>
          </w:tcPr>
          <w:p>
            <w:pPr>
              <w:jc w:val="center"/>
              <w:ind w:left="1303"/>
              <w:spacing w:after="0"/>
              <w:rPr>
                <w:sz w:val="20"/>
                <w:szCs w:val="20"/>
                <w:color w:val="auto"/>
              </w:rPr>
            </w:pPr>
            <w:r>
              <w:rPr>
                <w:rFonts w:ascii="Times New Roman" w:cs="Times New Roman" w:eastAsia="Times New Roman" w:hAnsi="Times New Roman"/>
                <w:sz w:val="18"/>
                <w:szCs w:val="18"/>
                <w:b w:val="1"/>
                <w:bCs w:val="1"/>
                <w:color w:val="auto"/>
                <w:w w:val="99"/>
              </w:rPr>
              <w:t>229 West 43rd Street</w:t>
            </w:r>
          </w:p>
        </w:tc>
        <w:tc>
          <w:tcPr>
            <w:tcW w:w="1640" w:type="dxa"/>
            <w:vAlign w:val="bottom"/>
          </w:tcPr>
          <w:p>
            <w:pPr>
              <w:spacing w:after="0"/>
              <w:rPr>
                <w:sz w:val="18"/>
                <w:szCs w:val="18"/>
                <w:color w:val="auto"/>
              </w:rPr>
            </w:pPr>
          </w:p>
        </w:tc>
        <w:tc>
          <w:tcPr>
            <w:tcW w:w="4140" w:type="dxa"/>
            <w:vAlign w:val="bottom"/>
            <w:gridSpan w:val="2"/>
            <w:vMerge w:val="restart"/>
          </w:tcPr>
          <w:p>
            <w:pPr>
              <w:jc w:val="right"/>
              <w:ind w:right="2548"/>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5100" w:type="dxa"/>
            <w:vAlign w:val="bottom"/>
            <w:gridSpan w:val="3"/>
          </w:tcPr>
          <w:p>
            <w:pPr>
              <w:jc w:val="center"/>
              <w:ind w:left="1303"/>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1640" w:type="dxa"/>
            <w:vAlign w:val="bottom"/>
          </w:tcPr>
          <w:p>
            <w:pPr>
              <w:spacing w:after="0"/>
              <w:rPr>
                <w:sz w:val="20"/>
                <w:szCs w:val="20"/>
                <w:color w:val="auto"/>
              </w:rPr>
            </w:pPr>
          </w:p>
        </w:tc>
        <w:tc>
          <w:tcPr>
            <w:tcW w:w="4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00" w:type="dxa"/>
            <w:vAlign w:val="bottom"/>
            <w:gridSpan w:val="3"/>
          </w:tcPr>
          <w:p>
            <w:pPr>
              <w:jc w:val="center"/>
              <w:ind w:left="130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20" w:type="dxa"/>
            <w:vAlign w:val="bottom"/>
          </w:tcPr>
          <w:p>
            <w:pPr>
              <w:jc w:val="center"/>
              <w:ind w:right="16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53"/>
        </w:trPr>
        <w:tc>
          <w:tcPr>
            <w:tcW w:w="10880" w:type="dxa"/>
            <w:vAlign w:val="bottom"/>
            <w:gridSpan w:val="6"/>
          </w:tcPr>
          <w:p>
            <w:pPr>
              <w:ind w:left="35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(646) 832-1000</w:t>
            </w:r>
          </w:p>
        </w:tc>
        <w:tc>
          <w:tcPr>
            <w:tcW w:w="0" w:type="dxa"/>
            <w:vAlign w:val="bottom"/>
          </w:tcPr>
          <w:p>
            <w:pPr>
              <w:spacing w:after="0"/>
              <w:rPr>
                <w:sz w:val="1"/>
                <w:szCs w:val="1"/>
                <w:color w:val="auto"/>
              </w:rPr>
            </w:pPr>
          </w:p>
        </w:tc>
      </w:tr>
      <w:tr>
        <w:trPr>
          <w:trHeight w:val="314"/>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4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$0.01 per share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VSNT</w:t>
            </w:r>
          </w:p>
        </w:tc>
        <w:tc>
          <w:tcPr>
            <w:tcW w:w="1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2600"/>
        <w:spacing w:after="0" w:line="25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spacing w:after="0" w:line="16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4" w:lineRule="exact"/>
        <w:rPr>
          <w:sz w:val="24"/>
          <w:szCs w:val="24"/>
          <w:color w:val="auto"/>
        </w:rPr>
      </w:pPr>
    </w:p>
    <w:p>
      <w:pPr>
        <w:ind w:right="40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160"/>
        <w:spacing w:after="0" w:line="22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68"/>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Accelerated filer</w:t>
            </w:r>
          </w:p>
        </w:tc>
        <w:tc>
          <w:tcPr>
            <w:tcW w:w="1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42"/>
        </w:trPr>
        <w:tc>
          <w:tcPr>
            <w:tcW w:w="1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86"/>
        </w:trPr>
        <w:tc>
          <w:tcPr>
            <w:tcW w:w="1800" w:type="dxa"/>
            <w:vAlign w:val="bottom"/>
            <w:vMerge w:val="continue"/>
          </w:tcPr>
          <w:p>
            <w:pPr>
              <w:spacing w:after="0"/>
              <w:rPr>
                <w:sz w:val="7"/>
                <w:szCs w:val="7"/>
                <w:color w:val="auto"/>
              </w:rPr>
            </w:pPr>
          </w:p>
        </w:tc>
        <w:tc>
          <w:tcPr>
            <w:tcW w:w="3160" w:type="dxa"/>
            <w:vAlign w:val="bottom"/>
          </w:tcPr>
          <w:p>
            <w:pPr>
              <w:spacing w:after="0"/>
              <w:rPr>
                <w:sz w:val="7"/>
                <w:szCs w:val="7"/>
                <w:color w:val="auto"/>
              </w:rPr>
            </w:pPr>
          </w:p>
        </w:tc>
        <w:tc>
          <w:tcPr>
            <w:tcW w:w="5000" w:type="dxa"/>
            <w:vAlign w:val="bottom"/>
            <w:vMerge w:val="continue"/>
          </w:tcPr>
          <w:p>
            <w:pPr>
              <w:spacing w:after="0"/>
              <w:rPr>
                <w:sz w:val="7"/>
                <w:szCs w:val="7"/>
                <w:color w:val="auto"/>
              </w:rPr>
            </w:pPr>
          </w:p>
        </w:tc>
        <w:tc>
          <w:tcPr>
            <w:tcW w:w="1040" w:type="dxa"/>
            <w:vAlign w:val="bottom"/>
            <w:vMerge w:val="restart"/>
          </w:tcPr>
          <w:p>
            <w:pPr>
              <w:ind w:left="9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24"/>
        </w:trPr>
        <w:tc>
          <w:tcPr>
            <w:tcW w:w="18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00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right="58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4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300"/>
        <w:spacing w:after="0" w:line="192"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ind w:right="32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ind w:right="520"/>
        <w:spacing w:after="0" w:line="245"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there was no established public market for the registrant’s common stock. The registrant’s Class A common stock began “regular way” trading on The Nasdaq Stock Market LLC on January 5, 2026.</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20, 2026, Versant Media Group, Inc. had 143,790,841 shares of Class A common stock and 377,775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54610</wp:posOffset>
            </wp:positionV>
            <wp:extent cx="27514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ectPr>
          <w:pgSz w:w="11900" w:h="16838" w:orient="portrait"/>
          <w:cols w:equalWidth="0" w:num="1">
            <w:col w:w="11240"/>
          </w:cols>
          <w:pgMar w:left="320" w:top="738" w:right="339" w:bottom="1440" w:gutter="0" w:footer="0" w:header="0"/>
        </w:sectPr>
      </w:pPr>
    </w:p>
    <w:p>
      <w:pPr>
        <w:spacing w:after="0" w:line="29" w:lineRule="exact"/>
        <w:rPr>
          <w:sz w:val="24"/>
          <w:szCs w:val="24"/>
          <w:color w:val="auto"/>
        </w:rPr>
      </w:pPr>
    </w:p>
    <w:p>
      <w:pPr>
        <w:jc w:val="both"/>
        <w:ind w:right="200"/>
        <w:spacing w:after="0" w:line="230" w:lineRule="auto"/>
        <w:rPr>
          <w:sz w:val="20"/>
          <w:szCs w:val="20"/>
          <w:color w:val="auto"/>
        </w:rPr>
      </w:pPr>
      <w:r>
        <w:rPr>
          <w:rFonts w:ascii="Times New Roman" w:cs="Times New Roman" w:eastAsia="Times New Roman" w:hAnsi="Times New Roman"/>
          <w:sz w:val="16"/>
          <w:szCs w:val="16"/>
          <w:color w:val="auto"/>
        </w:rPr>
        <w:t>Certain information required for Part III of this Annual Report on Form 10-K is incorporated by reference to the registrant’s definitive proxy statement for its 2026 annual meeting of shareholders. Such proxy statement will be filed with the Securities and Exchange Commission within 120 days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9"/>
          </w:tcPr>
          <w:p>
            <w:pPr>
              <w:ind w:left="160"/>
              <w:spacing w:after="0"/>
              <w:rPr>
                <w:sz w:val="20"/>
                <w:szCs w:val="20"/>
                <w:color w:val="auto"/>
              </w:rPr>
            </w:pPr>
            <w:r>
              <w:rPr>
                <w:rFonts w:ascii="Arial" w:cs="Arial" w:eastAsia="Arial" w:hAnsi="Arial"/>
                <w:sz w:val="25"/>
                <w:szCs w:val="25"/>
                <w:color w:val="auto"/>
              </w:rPr>
              <w:t>Table of Contents</w:t>
            </w:r>
          </w:p>
        </w:tc>
        <w:tc>
          <w:tcPr>
            <w:tcW w:w="112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060" w:type="dxa"/>
            <w:vAlign w:val="bottom"/>
            <w:gridSpan w:val="18"/>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920" w:type="dxa"/>
            <w:vAlign w:val="bottom"/>
            <w:gridSpan w:val="1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960" w:type="dxa"/>
            <w:vAlign w:val="bottom"/>
            <w:gridSpan w:val="17"/>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240" w:type="dxa"/>
            <w:vAlign w:val="bottom"/>
            <w:gridSpan w:val="20"/>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99"/>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0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28</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8180" w:type="dxa"/>
            <w:vAlign w:val="bottom"/>
            <w:gridSpan w:val="19"/>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20" w:type="dxa"/>
            <w:vAlign w:val="bottom"/>
            <w:gridSpan w:val="4"/>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4620" w:type="dxa"/>
            <w:vAlign w:val="bottom"/>
            <w:gridSpan w:val="7"/>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1"/>
          </w:tcPr>
          <w:p>
            <w:pPr>
              <w:spacing w:after="0"/>
              <w:rPr>
                <w:sz w:val="18"/>
                <w:szCs w:val="18"/>
                <w:color w:val="auto"/>
              </w:rPr>
            </w:pPr>
          </w:p>
        </w:tc>
        <w:tc>
          <w:tcPr>
            <w:tcW w:w="2500" w:type="dxa"/>
            <w:vAlign w:val="bottom"/>
            <w:gridSpan w:val="3"/>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99"/>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80" w:type="dxa"/>
            <w:vAlign w:val="bottom"/>
            <w:gridSpan w:val="8"/>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70</w:t>
            </w: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7160" w:type="dxa"/>
            <w:vAlign w:val="bottom"/>
            <w:gridSpan w:val="13"/>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680" w:type="dxa"/>
            <w:vAlign w:val="bottom"/>
            <w:gridSpan w:val="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520" w:type="dxa"/>
            <w:vAlign w:val="bottom"/>
            <w:gridSpan w:val="5"/>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99"/>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9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71</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820" w:type="dxa"/>
            <w:vAlign w:val="bottom"/>
            <w:gridSpan w:val="10"/>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160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 “our,” “Company,” and “Versant,” refer to Versant Media Group, Inc., and its consolidated subsidiaries.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and license various trademark registrations, trademark applications and unregistered trademarks. All other trade names, trademarks and service marks of other companies appearing in this Annual Report on Form 10-K are the property of their respective holders. Solely for convenience, the trademarks and trade names in this Annual Report on Form 10-K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industry and market data that we obtained from industry publications, third-party studies and surveys, such as from The Nielsen Company (US), LLC (“Nielsen”) and Comscore, Inc. (“comScore”), as well as internal analysis. Industry publications and surveys generally state that the information contained therein has been obtained from sources believed to be reliable. Each publication, study and report speaks as of its original publication date (and not as of the date of this Annual Report on Form 10-K). While we are not aware of any misstatements regarding the industry or market data presented herein, such data and estimates, particularly as they relate to market size, market growth and our general expectations, involve important risks, uncertainties and assumptions and are subject to change based on various factors, including those discussed under the headings “Risk Factors,” “Special Note Regarding Forward-Looking Statements,” and “Management’s Discussion and Analysis of Financial Condition and Results of Operations” in this Annual Report on Form 10-K. These and other factors could cause results to differ materially from those expressed in the estimates and beliefs made by third parties and by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Rounding</w:t>
      </w:r>
    </w:p>
    <w:p>
      <w:pPr>
        <w:spacing w:after="0" w:line="6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statements, including under the captions “Item 1. Business,” “Item 1A. Risk Factors,” and “Item 7. Management’s Discussion and Analysis of Financial Condition and Results of Operations,” that may constitute forward-looking statements within the meaning of the Private Securities Litigation Reform Act of 1995, Section 27A of the Securities Act of 1933, and Section 21E of the Securities Exchange Act of 1934. In some cases, you can identify these statements by forward-looking words such as “may,” “might,” “would,” “will,” “should,” “could,” “expects,” “plans,” “intends,” “anticipates,” “believes,” “estimates,” “predicts,” “potential” “opportunity,” “strategy,” “future,” “goal,” “commit,”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the risks and uncertainties discussed in this Annual Report on Form 10-K under the caption entitled “Risk Factors” and in other reports we file with the U.S. Securities and Exchange Commission (“SEC”).</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Readers are cautioned not to place undue reliance on forward-looking statements, which speak only as of the date they are made. Except as required by law, we undertake no obligation to update or revise publicly any of these forward-looking statements after the date of this Annual Report on Form 10-K to conform our prior statements to actual results, revised expectations or otherwise.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The following is a summary of the principal factors that make an investment in our securities speculative or risky, all of which are more fully described below in the section titled “Item 1A. Risk Factors.” This summary should be read in conjunction with “Item 1A. Risk Factors” and should not be relied upon as an exhaustive summary of the material risks facing our business. In addition to the following summary, you should consider the information set forth in “Item 1A. Risk Factors” and the other information contained in this Annual Report on Form 10-K before investing in our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Risk Factors</w:t>
      </w:r>
    </w:p>
    <w:p>
      <w:pPr>
        <w:spacing w:after="0" w:line="175" w:lineRule="exact"/>
        <w:rPr>
          <w:sz w:val="20"/>
          <w:szCs w:val="20"/>
          <w:color w:val="auto"/>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intense competition, and if we are unable to compete effectively, our business, financial condition and results of operations could suffer.</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evolving technologies and distribution platforms continue to adversely affect our business.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brands or our reputation could have a material adverse effect on our business, financial condition or results of operations.</w:t>
      </w:r>
    </w:p>
    <w:p>
      <w:pPr>
        <w:spacing w:after="0" w:line="17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continued appeal of the content we distribute. The preferences of our viewers and distributors are difficult to forecast and subject to change.</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our digital platforms depends on our ability to attract new customers, retain existing customers and continue to grow the revenue we derive from these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 w:hanging="332"/>
        <w:spacing w:after="0" w:line="282"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misappropriating or otherwise violating the intellectual property rights of others.</w:t>
      </w:r>
    </w:p>
    <w:p>
      <w:pPr>
        <w:spacing w:after="0" w:line="107" w:lineRule="exact"/>
        <w:rPr>
          <w:rFonts w:ascii="Times New Roman" w:cs="Times New Roman" w:eastAsia="Times New Roman" w:hAnsi="Times New Roman"/>
          <w:sz w:val="18"/>
          <w:szCs w:val="18"/>
          <w:color w:val="auto"/>
        </w:rPr>
      </w:pPr>
    </w:p>
    <w:p>
      <w:pPr>
        <w:jc w:val="both"/>
        <w:ind w:left="440" w:hanging="332"/>
        <w:spacing w:after="0" w:line="266"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incident or attack, information or security breach, or technology disruption or failure, may negatively impact our ability to conduct our business or result in the misuse of confidential information, including personal information or other sensitive business information, all of which could adversely affect our reputation and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420" w:hanging="312"/>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complex and evolving laws and regulations related to privacy and data protection.</w:t>
      </w:r>
    </w:p>
    <w:p>
      <w:pPr>
        <w:spacing w:after="0" w:line="171" w:lineRule="exact"/>
        <w:rPr>
          <w:rFonts w:ascii="Times New Roman" w:cs="Times New Roman" w:eastAsia="Times New Roman" w:hAnsi="Times New Roman"/>
          <w:sz w:val="18"/>
          <w:szCs w:val="18"/>
          <w:color w:val="auto"/>
        </w:rPr>
      </w:pPr>
    </w:p>
    <w:p>
      <w:pPr>
        <w:ind w:left="420" w:hanging="312"/>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network rebrands may result in customer confusion and disruption, leading to lower ratings and monetization.</w:t>
      </w:r>
    </w:p>
    <w:p>
      <w:pPr>
        <w:spacing w:after="0" w:line="171" w:lineRule="exact"/>
        <w:rPr>
          <w:rFonts w:ascii="Times New Roman" w:cs="Times New Roman" w:eastAsia="Times New Roman" w:hAnsi="Times New Roman"/>
          <w:sz w:val="18"/>
          <w:szCs w:val="18"/>
          <w:color w:val="auto"/>
        </w:rPr>
      </w:pPr>
    </w:p>
    <w:p>
      <w:pPr>
        <w:ind w:left="420" w:hanging="312"/>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171" w:lineRule="exact"/>
        <w:rPr>
          <w:rFonts w:ascii="Times New Roman" w:cs="Times New Roman" w:eastAsia="Times New Roman" w:hAnsi="Times New Roman"/>
          <w:sz w:val="18"/>
          <w:szCs w:val="18"/>
          <w:color w:val="auto"/>
        </w:rPr>
      </w:pPr>
    </w:p>
    <w:p>
      <w:pPr>
        <w:ind w:left="420" w:hanging="312"/>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from time to time record impairment charges for goodwill and intangible assets.</w:t>
      </w:r>
    </w:p>
    <w:p>
      <w:pPr>
        <w:spacing w:after="0" w:line="171" w:lineRule="exact"/>
        <w:rPr>
          <w:rFonts w:ascii="Times New Roman" w:cs="Times New Roman" w:eastAsia="Times New Roman" w:hAnsi="Times New Roman"/>
          <w:sz w:val="18"/>
          <w:szCs w:val="18"/>
          <w:color w:val="auto"/>
        </w:rPr>
      </w:pPr>
    </w:p>
    <w:p>
      <w:pPr>
        <w:ind w:left="420" w:hanging="312"/>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171" w:lineRule="exact"/>
        <w:rPr>
          <w:rFonts w:ascii="Times New Roman" w:cs="Times New Roman" w:eastAsia="Times New Roman" w:hAnsi="Times New Roman"/>
          <w:sz w:val="18"/>
          <w:szCs w:val="18"/>
          <w:color w:val="auto"/>
        </w:rPr>
      </w:pPr>
    </w:p>
    <w:p>
      <w:pPr>
        <w:ind w:left="420" w:hanging="312"/>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171" w:lineRule="exact"/>
        <w:rPr>
          <w:rFonts w:ascii="Times New Roman" w:cs="Times New Roman" w:eastAsia="Times New Roman" w:hAnsi="Times New Roman"/>
          <w:sz w:val="18"/>
          <w:szCs w:val="18"/>
          <w:color w:val="auto"/>
        </w:rPr>
      </w:pPr>
    </w:p>
    <w:p>
      <w:pPr>
        <w:ind w:left="420" w:hanging="312"/>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and local authorities, which impose additional costs and restrictions on our businesses.</w:t>
      </w:r>
    </w:p>
    <w:p>
      <w:pPr>
        <w:spacing w:after="0" w:line="171" w:lineRule="exact"/>
        <w:rPr>
          <w:rFonts w:ascii="Times New Roman" w:cs="Times New Roman" w:eastAsia="Times New Roman" w:hAnsi="Times New Roman"/>
          <w:sz w:val="18"/>
          <w:szCs w:val="18"/>
          <w:color w:val="auto"/>
        </w:rPr>
      </w:pPr>
    </w:p>
    <w:p>
      <w:pPr>
        <w:ind w:left="420" w:hanging="312"/>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171" w:lineRule="exact"/>
        <w:rPr>
          <w:rFonts w:ascii="Times New Roman" w:cs="Times New Roman" w:eastAsia="Times New Roman" w:hAnsi="Times New Roman"/>
          <w:sz w:val="18"/>
          <w:szCs w:val="18"/>
          <w:color w:val="auto"/>
        </w:rPr>
      </w:pPr>
    </w:p>
    <w:p>
      <w:pPr>
        <w:ind w:left="440" w:hanging="332"/>
        <w:spacing w:after="0" w:line="282"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make investments in, or acquire and integrate, other businesses, assets, products or technologies could harm our business, financial condition or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in-Related Risk Factors</w:t>
      </w:r>
    </w:p>
    <w:p>
      <w:pPr>
        <w:spacing w:after="0" w:line="175" w:lineRule="exact"/>
        <w:rPr>
          <w:sz w:val="20"/>
          <w:szCs w:val="20"/>
          <w:color w:val="auto"/>
        </w:rPr>
      </w:pPr>
    </w:p>
    <w:p>
      <w:pPr>
        <w:ind w:left="440" w:right="20" w:hanging="332"/>
        <w:spacing w:after="0" w:line="282"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from our separation (the “Separation”) from Comcast Corporation (“Comcast”), and the Separation could harm our business.</w:t>
      </w:r>
    </w:p>
    <w:p>
      <w:pPr>
        <w:spacing w:after="0" w:line="107" w:lineRule="exact"/>
        <w:rPr>
          <w:rFonts w:ascii="Times New Roman" w:cs="Times New Roman" w:eastAsia="Times New Roman" w:hAnsi="Times New Roman"/>
          <w:sz w:val="18"/>
          <w:szCs w:val="18"/>
          <w:color w:val="auto"/>
        </w:rPr>
      </w:pPr>
    </w:p>
    <w:p>
      <w:pPr>
        <w:ind w:left="440" w:right="20" w:hanging="332"/>
        <w:spacing w:after="0" w:line="282"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history of operating as an independent company, and our combined financial statements are not necessarily representative of the results that we would have achieved as an independent, publicly traded company and may not be a reliable indicator of our future results.</w:t>
      </w:r>
    </w:p>
    <w:p>
      <w:pPr>
        <w:spacing w:after="0" w:line="107" w:lineRule="exact"/>
        <w:rPr>
          <w:rFonts w:ascii="Times New Roman" w:cs="Times New Roman" w:eastAsia="Times New Roman" w:hAnsi="Times New Roman"/>
          <w:sz w:val="18"/>
          <w:szCs w:val="18"/>
          <w:color w:val="auto"/>
        </w:rPr>
      </w:pPr>
    </w:p>
    <w:p>
      <w:pPr>
        <w:ind w:left="420" w:hanging="312"/>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historically operated within Comcast, and there are risks associated with the Separation.</w:t>
      </w:r>
    </w:p>
    <w:p>
      <w:pPr>
        <w:spacing w:after="0" w:line="171" w:lineRule="exact"/>
        <w:rPr>
          <w:rFonts w:ascii="Times New Roman" w:cs="Times New Roman" w:eastAsia="Times New Roman" w:hAnsi="Times New Roman"/>
          <w:sz w:val="18"/>
          <w:szCs w:val="18"/>
          <w:color w:val="auto"/>
        </w:rPr>
      </w:pPr>
    </w:p>
    <w:p>
      <w:pPr>
        <w:ind w:left="440" w:hanging="332"/>
        <w:spacing w:after="0" w:line="282"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will incur significant costs to create the infrastructure necessary to operate as an independent public company and may experience operational disruptions in connection with the Separation.</w:t>
      </w:r>
    </w:p>
    <w:p>
      <w:pPr>
        <w:spacing w:after="0" w:line="107" w:lineRule="exact"/>
        <w:rPr>
          <w:rFonts w:ascii="Times New Roman" w:cs="Times New Roman" w:eastAsia="Times New Roman" w:hAnsi="Times New Roman"/>
          <w:sz w:val="18"/>
          <w:szCs w:val="18"/>
          <w:color w:val="auto"/>
        </w:rPr>
      </w:pPr>
    </w:p>
    <w:p>
      <w:pPr>
        <w:ind w:left="420" w:hanging="312"/>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associated with being a public company will require significant resources and management attention.</w:t>
      </w:r>
    </w:p>
    <w:p>
      <w:pPr>
        <w:spacing w:after="0" w:line="171" w:lineRule="exact"/>
        <w:rPr>
          <w:rFonts w:ascii="Times New Roman" w:cs="Times New Roman" w:eastAsia="Times New Roman" w:hAnsi="Times New Roman"/>
          <w:sz w:val="18"/>
          <w:szCs w:val="18"/>
          <w:color w:val="auto"/>
        </w:rPr>
      </w:pPr>
    </w:p>
    <w:p>
      <w:pPr>
        <w:ind w:left="440" w:hanging="332"/>
        <w:spacing w:after="0" w:line="282"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107" w:lineRule="exact"/>
        <w:rPr>
          <w:rFonts w:ascii="Times New Roman" w:cs="Times New Roman" w:eastAsia="Times New Roman" w:hAnsi="Times New Roman"/>
          <w:sz w:val="18"/>
          <w:szCs w:val="18"/>
          <w:color w:val="auto"/>
        </w:rPr>
      </w:pPr>
    </w:p>
    <w:p>
      <w:pPr>
        <w:jc w:val="both"/>
        <w:ind w:left="440" w:hanging="332"/>
        <w:spacing w:after="0" w:line="261"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Comcast agreed to indemnify us for certain liabilities, and we agreed to indemnify Comcast for certain liabilities. If we are required to act under these indemnities to Comcast, we may need to divert cash to meet those obligations, which could adversely affect our financial results. Moreover, the Comcast indemnity may not be sufficient to insure us against the full amount of liabilities for which we will be allocated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970280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17" w:right="339" w:bottom="1440" w:gutter="0" w:footer="0" w:header="0"/>
        </w:sectPr>
      </w:pPr>
    </w:p>
    <w:bookmarkStart w:id="5" w:name="page6"/>
    <w:bookmarkEnd w:id="5"/>
    <w:p>
      <w:pPr>
        <w:ind w:left="1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 w:right="20" w:hanging="332"/>
        <w:spacing w:after="0" w:line="282"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we incurred substantial indebtedness, which could restrict our business and adversely impact our cash flows,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420" w:hanging="312"/>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potentially could have received better terms from unaffiliated third parties than the terms we will receive in our agreements with Comcast.</w:t>
      </w:r>
    </w:p>
    <w:p>
      <w:pPr>
        <w:spacing w:after="0" w:line="171" w:lineRule="exact"/>
        <w:rPr>
          <w:rFonts w:ascii="Times New Roman" w:cs="Times New Roman" w:eastAsia="Times New Roman" w:hAnsi="Times New Roman"/>
          <w:sz w:val="18"/>
          <w:szCs w:val="18"/>
          <w:color w:val="auto"/>
        </w:rPr>
      </w:pPr>
    </w:p>
    <w:p>
      <w:pPr>
        <w:jc w:val="both"/>
        <w:ind w:left="440" w:hanging="332"/>
        <w:spacing w:after="0" w:line="261"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corporate reorganization transactions which resulted in our ownership of the assets, liabilities and legal entities comprising our business (the “Transactions”) and the distribution of our common stock by Comcast to holders of Comcast common stock (the “Distribution”),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125" w:lineRule="exact"/>
        <w:rPr>
          <w:rFonts w:ascii="Times New Roman" w:cs="Times New Roman" w:eastAsia="Times New Roman" w:hAnsi="Times New Roman"/>
          <w:sz w:val="18"/>
          <w:szCs w:val="18"/>
          <w:color w:val="auto"/>
        </w:rPr>
      </w:pPr>
    </w:p>
    <w:p>
      <w:pPr>
        <w:jc w:val="both"/>
        <w:ind w:left="440" w:hanging="332"/>
        <w:spacing w:after="0" w:line="266"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Separation is taxable to Comcast as a result of a breach by us of any covenant or representation made by us in the tax matters agreement, we generally will be required to indemnify Comcast and the obligation to make payments on this indemnification obligation could have a material adverse effect on us.</w:t>
      </w:r>
    </w:p>
    <w:p>
      <w:pPr>
        <w:spacing w:after="0" w:line="121" w:lineRule="exact"/>
        <w:rPr>
          <w:rFonts w:ascii="Times New Roman" w:cs="Times New Roman" w:eastAsia="Times New Roman" w:hAnsi="Times New Roman"/>
          <w:sz w:val="18"/>
          <w:szCs w:val="18"/>
          <w:color w:val="auto"/>
        </w:rPr>
      </w:pPr>
    </w:p>
    <w:p>
      <w:pPr>
        <w:ind w:left="420" w:hanging="312"/>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restrictions on our actions following the Separation in order to avoid triggering significant tax-related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mmon Stock Risk Factors</w:t>
      </w:r>
    </w:p>
    <w:p>
      <w:pPr>
        <w:spacing w:after="0" w:line="175" w:lineRule="exact"/>
        <w:rPr>
          <w:sz w:val="20"/>
          <w:szCs w:val="20"/>
          <w:color w:val="auto"/>
        </w:rPr>
      </w:pPr>
    </w:p>
    <w:p>
      <w:pPr>
        <w:ind w:left="440" w:hanging="332"/>
        <w:spacing w:after="0" w:line="282"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trading volume of our Class A common stock may be volatile, and our shareholders could lose all or part of their investment in the Company.</w:t>
      </w:r>
    </w:p>
    <w:p>
      <w:pPr>
        <w:spacing w:after="0" w:line="107" w:lineRule="exact"/>
        <w:rPr>
          <w:rFonts w:ascii="Times New Roman" w:cs="Times New Roman" w:eastAsia="Times New Roman" w:hAnsi="Times New Roman"/>
          <w:sz w:val="18"/>
          <w:szCs w:val="18"/>
          <w:color w:val="auto"/>
        </w:rPr>
      </w:pPr>
    </w:p>
    <w:p>
      <w:pPr>
        <w:ind w:left="420" w:hanging="312"/>
        <w:spacing w:after="0"/>
        <w:tabs>
          <w:tab w:leader="none" w:pos="4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in our articles of incorporation and bylaws and certain provisions of Pennsylvania law could delay or prevent a change in control of Versant.</w:t>
      </w:r>
    </w:p>
    <w:p>
      <w:pPr>
        <w:spacing w:after="0" w:line="182" w:lineRule="exact"/>
        <w:rPr>
          <w:rFonts w:ascii="Times New Roman" w:cs="Times New Roman" w:eastAsia="Times New Roman" w:hAnsi="Times New Roman"/>
          <w:sz w:val="17"/>
          <w:szCs w:val="17"/>
          <w:color w:val="auto"/>
        </w:rPr>
      </w:pPr>
    </w:p>
    <w:p>
      <w:pPr>
        <w:ind w:left="420" w:hanging="312"/>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in Versant may be diluted in the future.</w:t>
      </w:r>
    </w:p>
    <w:p>
      <w:pPr>
        <w:spacing w:after="0" w:line="171" w:lineRule="exact"/>
        <w:rPr>
          <w:rFonts w:ascii="Times New Roman" w:cs="Times New Roman" w:eastAsia="Times New Roman" w:hAnsi="Times New Roman"/>
          <w:sz w:val="18"/>
          <w:szCs w:val="18"/>
          <w:color w:val="auto"/>
        </w:rPr>
      </w:pPr>
    </w:p>
    <w:p>
      <w:pPr>
        <w:ind w:left="440" w:hanging="332"/>
        <w:spacing w:after="0" w:line="282"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and will be subordinate to all of our existing and future indebtedness and any preferred stock, and effectively subordinated to all indebtedness and preferred equity claims against our subsidiaries.</w:t>
      </w:r>
    </w:p>
    <w:p>
      <w:pPr>
        <w:spacing w:after="0" w:line="107" w:lineRule="exact"/>
        <w:rPr>
          <w:rFonts w:ascii="Times New Roman" w:cs="Times New Roman" w:eastAsia="Times New Roman" w:hAnsi="Times New Roman"/>
          <w:sz w:val="18"/>
          <w:szCs w:val="18"/>
          <w:color w:val="auto"/>
        </w:rPr>
      </w:pPr>
    </w:p>
    <w:p>
      <w:pPr>
        <w:ind w:left="440" w:hanging="332"/>
        <w:spacing w:after="0" w:line="282"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you that our Board will declare dividends or that we will purchase our common stock pursuant to our share repurchase program in the foreseeable future.</w:t>
      </w:r>
    </w:p>
    <w:p>
      <w:pPr>
        <w:spacing w:after="0" w:line="107" w:lineRule="exact"/>
        <w:rPr>
          <w:rFonts w:ascii="Times New Roman" w:cs="Times New Roman" w:eastAsia="Times New Roman" w:hAnsi="Times New Roman"/>
          <w:sz w:val="18"/>
          <w:szCs w:val="18"/>
          <w:color w:val="auto"/>
        </w:rPr>
      </w:pPr>
    </w:p>
    <w:p>
      <w:pPr>
        <w:ind w:left="440" w:hanging="332"/>
        <w:spacing w:after="0" w:line="282"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certain potentially material transactions, and Brian L. Roberts, the Chairman and CEO of Comcast, has considerable influence over Versant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1301750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Versant is a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television networks operating primarily in the United States, including MS NOW, CNBC, USA Network, Golf Channel, E!, SYFY and Oxygen, and our complementary digital platforms GolfNow, Fandango and Rotten Tomatoes.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We present our operations in one reportable business segment.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Versant was incorporated in Pennsylvania on May 1, 2025. Prior to January 2, 2026, we were a wholly owned subsidiary of Comcast Corporation (“Comcast”) and operated as a part of Comcast’s Media Segment. On January 2, 2026, we separated (the “Separation”) from Comcast and became a standalone publicly traded company and on January 5, 2026, Versant’s Class A common stock began trading under the ticker symbol “VSNT” on the Nasdaq Global Select Market LLC (“Nasdaq”). In connection with the Separation, the Company entered into several agreements that govern certain aspects of the Company’s relationship with Comcast following the Separation, including a separation and distribution agreement, a tax matters agreement, a transition services agreement, and an employee matters agreement, as well as agreements relating to intellectual property licenses and commercial arrangements.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portfolio of brands deliver news, sports and entertainment content through our networks and digital platforms:</w:t>
      </w:r>
    </w:p>
    <w:p>
      <w:pPr>
        <w:spacing w:after="0" w:line="171" w:lineRule="exact"/>
        <w:rPr>
          <w:sz w:val="20"/>
          <w:szCs w:val="20"/>
          <w:color w:val="auto"/>
        </w:rPr>
      </w:pPr>
    </w:p>
    <w:p>
      <w:pPr>
        <w:ind w:left="34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NOW features politics, news and opinion programming, operating across multiple media platforms: multichannel video programming distributors (“MVPDs”), digital, social platforms, podcasts and live events.</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features business and personal finance news, with real-time financial market coverage and analysis, including business coverage through franchises such as Squawk Box, Squawk on the Street, Closing Bell and Mad Money. In addition to distribution through MVPDs, CNBC has expanded its offerings through a portfolio of branded products, including direct-to-consumer services, podcasts, conferences and other live events.</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features sports, entertainment and live event programming, including WWE Smackdown, NASCAR, the WNBA (starting with the 2026 season), golf (including the U.S. Open, The Open Championship and the Ryder Cup), the Premier League, the PAC-12 (beginning in fall 2026), League One Volleyball (starting with the 2026 season) and the Olympics.</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features live golf and related content, including news, instruction, documentaries and library programming. Its content is distributed on a variety of platforms to viewers in more than 50 countries.</w:t>
      </w:r>
    </w:p>
    <w:p>
      <w:pPr>
        <w:spacing w:after="0" w:line="107"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GolfNow is an online tee time marketplace in various countries throughout the world, helping golfers and golf courses better connect by offering tee time bookings at 9,000 courses worldwide. GolfNow also offers golf course technology, software and related services to help manage course operations, including solutions that facilitate on-site payments for tee times, food and beverage and merchandise.</w:t>
      </w:r>
    </w:p>
    <w:p>
      <w:pPr>
        <w:spacing w:after="0" w:line="12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is a suite of digital products and services that facilitate management of youth sport leagues, teams, participants and their families, and the processing of related payments.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is a pop culture network featuring news, unscripted originals, live events, such as Live from E!, and high-profile acquired content, such as Sex and the City and a variety of primarily female-focused films. E! News Digital delivers premium content to fans across owned and third-party digital and social platforms.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a science fiction genre network featuring science fiction, fantasy, action, adventure, paranormal and superhero programming, along with fan-focused film franchises. SYFY provides content on a multiplatform basis through SYFY’s network and related digital services.</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is a multiplatform brand featuring true crime programming, including the Snapped franchise, Cold Justice, Killer Relationship with Faith Jenkins and event specials such as The Pike County Murders: A Family Massacre, Selena &amp; Yolanda: The Secrets Between Them and The Disappearance of Alissa Turney.</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is an online platform for movie and television information, providing movie ticketing to over 30,000 U.S. screens and access to trailers and movie reviews and hosting a digital video-on-demand service. Fandango includes Rotten Tomatoes, a source for movie and television reviews. In December 2025, Fandango acquired Indy Cinema, which provides technology solutions to cinema operators for ticketing, concessions, loyalty programs, marketing, and analytics.</w:t>
      </w:r>
    </w:p>
    <w:p>
      <w:pPr>
        <w:spacing w:after="0" w:line="1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we acquired Free TV Networks, which operates four national free over-the-air (“OTA”) digital broadcast channels and free ad-supported streaming television (“FAST”) channels, including 365BLK, Defy, Outlaw and Busted.</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portfolio of networks operates predominantly in the United States. The table below presents a summary of our networks and their advertising reach to U.S. households as of December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 U.S.</w:t>
            </w:r>
          </w:p>
        </w:tc>
        <w:tc>
          <w:tcPr>
            <w:tcW w:w="0" w:type="dxa"/>
            <w:vAlign w:val="bottom"/>
          </w:tcPr>
          <w:p>
            <w:pPr>
              <w:spacing w:after="0"/>
              <w:rPr>
                <w:sz w:val="1"/>
                <w:szCs w:val="1"/>
                <w:color w:val="auto"/>
              </w:rPr>
            </w:pPr>
          </w:p>
        </w:tc>
      </w:tr>
      <w:tr>
        <w:trPr>
          <w:trHeight w:val="146"/>
        </w:trPr>
        <w:tc>
          <w:tcPr>
            <w:tcW w:w="9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Cable Television Audience</w:t>
            </w: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Households</w:t>
            </w:r>
          </w:p>
        </w:tc>
        <w:tc>
          <w:tcPr>
            <w:tcW w:w="0" w:type="dxa"/>
            <w:vAlign w:val="bottom"/>
          </w:tcPr>
          <w:p>
            <w:pPr>
              <w:spacing w:after="0"/>
              <w:rPr>
                <w:sz w:val="1"/>
                <w:szCs w:val="1"/>
                <w:color w:val="auto"/>
              </w:rPr>
            </w:pPr>
          </w:p>
        </w:tc>
      </w:tr>
      <w:tr>
        <w:trPr>
          <w:trHeight w:val="203"/>
        </w:trPr>
        <w:tc>
          <w:tcPr>
            <w:tcW w:w="9800" w:type="dxa"/>
            <w:vAlign w:val="bottom"/>
            <w:gridSpan w:val="2"/>
            <w:vMerge w:val="continue"/>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(mm)</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9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NOW</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CNBC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 Network</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Golf Channel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SYFY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Oxygen True Crime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1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hanging="332"/>
        <w:spacing w:after="0" w:line="239" w:lineRule="auto"/>
        <w:tabs>
          <w:tab w:leader="none" w:pos="195"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Household data is based on information from Nielsen as of December 31, 2025 using its Cable Coverage Universe Estimates report and dynamic ad insertion estimates. The Nielsen estimates include subscribers to both traditional and certain virtual MVPDs and represent the approximate number of U.S. households in which each network is available. The Nielsen estimates are not based on information provided by us and are included solely to enable comparisons between our networks and those operated by our peers.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generate revenue through sales of advertising on our networks and digital platforms. The price charged for each 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 Effective with the Separation and pursuant to a commercial agreement between NBCUniversal and us, NBCUniversal will sell domestic linear and related digital advertising inventory on our behalf for approximately two years.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The GolfNow, Fandango and SportsEngine platforms facilitate consumer transactions with golf courses, movie cinemas and studios, and youth sports leagues, respectively. Our GolfNow, Fandango and SportsEngine offerings also include cloud-based technology solutions and related services to golf courses, movie cinemas and youth sports organizations, respectively. We also offer subscription services, including CNBC’s branded offerings, which provide live and on-demand personal finance programming and GolfPass, which offers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Acquire Content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 Programming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produce our own news programming through our in-house news bureaus and editorial teams, supported by our ongoing relationships with global reporting agencies. We directly hire on-air talent as well as research, technical and production staff to provide quality news programming. This model is designed to enable in-depth reporting and political analysis while streamlining production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Sports Programming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sports programming and related content is typically licensed under multiyear contractual agreements with the relevant sports leagues. The table below presents a summary of our most significant sports rights agreements. Additionally, certain content from the 2026 Olympic Winter Games and the 2028 Summer Olympic Games will be distributed on our networks through time purchase agreements pursuant to which NBCUniversal is permitted to exhibit such content on our networks and platforms. Our sports programming is produced by a combination of in-house and third-party teams. In November 2025, we introduced USA Sports, our new brand and division name for our sports portfolio and programming across USA Network and Golf Channel.</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Sports Rights</w:t>
            </w:r>
            <w:r>
              <w:rPr>
                <w:rFonts w:ascii="Times New Roman" w:cs="Times New Roman" w:eastAsia="Times New Roman" w:hAnsi="Times New Roman"/>
                <w:sz w:val="9"/>
                <w:szCs w:val="9"/>
                <w:b w:val="1"/>
                <w:bCs w:val="1"/>
                <w:color w:val="auto"/>
              </w:rPr>
              <w:t>(1)</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Expiration</w:t>
            </w:r>
          </w:p>
        </w:tc>
      </w:tr>
      <w:tr>
        <w:trPr>
          <w:trHeight w:val="23"/>
        </w:trPr>
        <w:tc>
          <w:tcPr>
            <w:tcW w:w="8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Premier League</w:t>
            </w:r>
          </w:p>
        </w:tc>
        <w:tc>
          <w:tcPr>
            <w:tcW w:w="80" w:type="dxa"/>
            <w:vAlign w:val="bottom"/>
            <w:shd w:val="clear" w:color="auto" w:fill="CCEEFF"/>
          </w:tcPr>
          <w:p>
            <w:pPr>
              <w:spacing w:after="0"/>
              <w:rPr>
                <w:sz w:val="19"/>
                <w:szCs w:val="19"/>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2027-28 season</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Atlantic Ten Conference Basketball</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2028-29 season</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PGA Tour, Open Championship, Ryder Cup</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Between 2028 and 2033</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World Wrestling Entertainment (“WWE”)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30"/>
        </w:trPr>
        <w:tc>
          <w:tcPr>
            <w:tcW w:w="8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PAC-12</w:t>
            </w:r>
            <w:r>
              <w:rPr>
                <w:rFonts w:ascii="Times New Roman" w:cs="Times New Roman" w:eastAsia="Times New Roman" w:hAnsi="Times New Roman"/>
                <w:sz w:val="23"/>
                <w:szCs w:val="23"/>
                <w:color w:val="auto"/>
                <w:vertAlign w:val="superscript"/>
              </w:rPr>
              <w:t>(2)</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2030 - 2031 season</w:t>
            </w:r>
          </w:p>
        </w:tc>
      </w:tr>
      <w:tr>
        <w:trPr>
          <w:trHeight w:val="230"/>
        </w:trPr>
        <w:tc>
          <w:tcPr>
            <w:tcW w:w="86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NASCAR</w:t>
            </w:r>
            <w:r>
              <w:rPr>
                <w:rFonts w:ascii="Times New Roman" w:cs="Times New Roman" w:eastAsia="Times New Roman" w:hAnsi="Times New Roman"/>
                <w:sz w:val="23"/>
                <w:szCs w:val="23"/>
                <w:color w:val="auto"/>
                <w:vertAlign w:val="superscript"/>
              </w:rPr>
              <w:t>(3)</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USGA / US Open</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r>
      <w:tr>
        <w:trPr>
          <w:trHeight w:val="312"/>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WNBA</w:t>
            </w:r>
            <w:r>
              <w:rPr>
                <w:rFonts w:ascii="Times New Roman" w:cs="Times New Roman" w:eastAsia="Times New Roman" w:hAnsi="Times New Roman"/>
                <w:sz w:val="23"/>
                <w:szCs w:val="23"/>
                <w:color w:val="auto"/>
                <w:vertAlign w:val="superscript"/>
              </w:rPr>
              <w:t>(4)</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491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79" w:lineRule="exact"/>
        <w:rPr>
          <w:sz w:val="20"/>
          <w:szCs w:val="20"/>
          <w:color w:val="auto"/>
        </w:rPr>
      </w:pPr>
    </w:p>
    <w:p>
      <w:pPr>
        <w:ind w:left="340" w:right="20" w:hanging="332"/>
        <w:spacing w:after="0" w:line="242" w:lineRule="auto"/>
        <w:tabs>
          <w:tab w:leader="none" w:pos="181"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Prior to the Separation, rights agreements generally provided rights across both NBCUniversal and the Company and the combined statements of income included allocations of costs related to these contracts.</w:t>
      </w:r>
    </w:p>
    <w:p>
      <w:pPr>
        <w:spacing w:after="0" w:line="33" w:lineRule="exact"/>
        <w:rPr>
          <w:rFonts w:ascii="Times New Roman" w:cs="Times New Roman" w:eastAsia="Times New Roman" w:hAnsi="Times New Roman"/>
          <w:sz w:val="22"/>
          <w:szCs w:val="22"/>
          <w:color w:val="auto"/>
          <w:vertAlign w:val="superscript"/>
        </w:rPr>
      </w:pPr>
    </w:p>
    <w:p>
      <w:pPr>
        <w:ind w:left="340" w:hanging="332"/>
        <w:spacing w:after="0" w:line="229" w:lineRule="auto"/>
        <w:tabs>
          <w:tab w:leader="none" w:pos="19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Beginning with 2026, includes the right to exhibit a specified number of regular season football games, men’s and women’s basketball games, and the PAC-12 men’s basketball tournament.</w:t>
      </w:r>
    </w:p>
    <w:p>
      <w:pPr>
        <w:spacing w:after="0" w:line="36" w:lineRule="exact"/>
        <w:rPr>
          <w:rFonts w:ascii="Times New Roman" w:cs="Times New Roman" w:eastAsia="Times New Roman" w:hAnsi="Times New Roman"/>
          <w:sz w:val="23"/>
          <w:szCs w:val="23"/>
          <w:color w:val="auto"/>
          <w:vertAlign w:val="superscript"/>
        </w:rPr>
      </w:pPr>
    </w:p>
    <w:p>
      <w:pPr>
        <w:ind w:left="340" w:hanging="332"/>
        <w:spacing w:after="0"/>
        <w:tabs>
          <w:tab w:leader="none" w:pos="181"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the unilateral right by the other party to the agreement (i.e., the licensor), under certain circumstances, to shorten the term of the agreement by one year.</w:t>
      </w:r>
    </w:p>
    <w:p>
      <w:pPr>
        <w:spacing w:after="0" w:line="233" w:lineRule="exact"/>
        <w:rPr>
          <w:rFonts w:ascii="Times New Roman" w:cs="Times New Roman" w:eastAsia="Times New Roman" w:hAnsi="Times New Roman"/>
          <w:sz w:val="22"/>
          <w:szCs w:val="22"/>
          <w:color w:val="auto"/>
          <w:vertAlign w:val="superscript"/>
        </w:rPr>
      </w:pPr>
    </w:p>
    <w:p>
      <w:pPr>
        <w:ind w:left="340" w:hanging="332"/>
        <w:spacing w:after="0" w:line="229" w:lineRule="auto"/>
        <w:tabs>
          <w:tab w:leader="none" w:pos="21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Beginning with the 2026 WNBA season, includes the rights to produce and exhibit a specified number of WNBA regular season and playoff games, including certain games from three WNBA Finals series over the term of the agreement.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Entertainment Programming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Expansive Audience Scale Generated Through Highly Recognized Brands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brands have significant audience reach and scale across our core markets, with over 50 million viewers having watched content on a Versant network each week in 2025. Most of the hours watched on our networks are in live sports and news genres. Versant has attracted these audiences through our brands, which anchor the content we produce and distribute. We aim to provide timely, relevant and high-quality content to our audiences.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news, sports and entertainment brands, together with their associated programming, have large audiences and consumer bases resulting in important relationships with distributors and advertisers. As a result, Versant generates revenue through multiple sources, including linear distribution, advertising, platforms and content licensing.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 Relationships with Our 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long-standing and well-established consumer relationships in our core markets. Each of our networks is among the most watched within its competitive set. We have successfully evolved content offerings to reflect changing consumer preferences and technological innovations, including on digital platforms complementing our networks for MS NOW, CNBC and E! News Digital.</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built upon our relationships with customers through commerce, transactional and other related services, both for end-users and businesses. For example, we expanded our relationship with golf fans watching the Golf Channel network through GolfNow’s tee time reservation and golf course management technology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Differentiated News, Sports and Entertainment Programming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NOW and CNBC provide journalism spanning national and international news, business, politics and culture. We aim for our news brands to serve as a vital source of information for millions of viewers daily, which will in turn strengthen advertiser relationships and increase appeal to distributors. We expect to build upon our existing news audience leadership with continued exceptional journalism and development of innovative consumer experiences reflecting the preeminence of our brands.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USA Sports content on USA Network and Golf Channel includes the Premier League, golf events such as PGA Tour tournaments, The U.S. Open, The Open Championship and the Ryder Cup, college basketball, the WNBA (starting with the 2026 season), League One Volleyball (starting with the 2026 season), PAC-12 (starting with the 2026 season) and the Olympics. Our goal is to create sports coverage that creates meaningful connections with fans, drives viewer engagement and provides valuable opportunities for advertisers. We have exclusive, long-term rights to currently airing major sports content and properties with terms that extend into the 2030s, providing long-term business visibility and we intend to evaluate opportunities to supplement our sports rights portfolio.</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entertainment offerings, including USA Network, SYFY, E! and Oxygen True Crime, have large multiplatform audiences. These brands focus on specific content genres such as crime, true crime, science-fiction and pop culture.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aim for the strength of and demand for our content to drive monetization across a variety of distribution channels, including through agreements we have in place with traditional and virtual MVPDs. We believe we are well-positioned to renew these agreements upon their applicable expirations given the popularity of our programming and brands, and seek to continue expanding how our content is distributed.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Growing, Market Leading Digital Platforms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digital platforms are led by GolfNow, Fandango and Rotten Tomatoes. Each is a technology platform designed to facilitate consumer transactions and service stakeholders in our core markets. We also continue to expand digital product offerings and audiences with our other brands, including CNBC, MS NOW and E!. We believe our digital platforms have significant growth opportunity remaining, both from underlying market growth and continued share gains.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Balance Sheet and Operating Performance Provides Us Financial and Strategic Flexibility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well-capitalized business with multiple revenue streams and significant operating cash flows. We believe our cash flow profile and liquidity will allow us to invest across our business, both through organic or inorganic growth strategies, and return capital to shareholders through a combination of dividends and share repurchases, subject to market and other business conditions.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is led by an experienced management team with a proven track record, deep industry expertise and a forward-thinking approach to the business. Our management’s strategic priorities are on innovation, enhancing operational efficiency and maximizing long-term shareholder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leverage our brands to maintain our leadership position and expand our business through the following strategies.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 Premier Content for Target Audiences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programming will focus on core audiences in political news and opinion, business news and personal finance, golf and athletics participation and sports and genre entertainment.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news and sports content accounted for the majority of our audience engagement. We believe these markets will remain core to our success, benefitting from Versant’s platforms’ strength and leadership across news and sports through MS NOW, CNBC, USA Network and Golf Channel.</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continue to invest in the high-quality news programming to drive an engaged and loyal audience, and we will evaluate opportunities to secure additional sports rights that drive value for Versant, benefitting from 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entertainment cable networks and associated digital services, we attract large audiences for prominent genres, notably crime, true crime, science fiction and pop culture programming. We expect to continue investing in programming within these genres for distribution on our networks and digital platforms as well as through third parties.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our Brands and Content for Complementary and Incremental Distribution, Expanding Our Audience and Revenues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While we continue to believe that MVPD bundles provide value to our consumers, we understand that audiences increasingly consume content across a variety of digital platforms. Through Versant’s programming and brands, we plan to expand our audience reach through digital platforms such as advertising-based video on demand (“AVOD”), subscription video on demand (“SVOD”) and FAST, as well as other distribution methods, including OTA and live events. Building our presence on these platforms will further strengthen our business model.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Deepen Customer Relationships and Monetization through Complementary Transactional, Commerce and Experiential Services</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digital platforms, led by GolfNow, Fandango and Rotten Tomatoes, have delivered new services for core audiences. We expect to continue growing and expanding these digital brands, which complement our television networks. For example, GolfNow acquires customers through promotion and content integration on the Golf Channel, with its audience of golf fans. GolfNow adds new monetization opportunities, largely transaction and technology fees, to Golf Channel’s distribution and advertising revenue. In addition, GolfNow usage enables additional consumer golf activity, which typically leads to increased viewership of the Golf Channel network. Fandango’s ticketing service and the Fandango at Home media platforms complement our networks, engaging fans of entertainment content. We also see opportunities to continue to expand our product offerings leveraging other brands, as we have with CNBC’s branded direct-to-consumer services, podcasts, conferences and live events.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Disciplined Acquisitions and Investments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leader in our industry, we believe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revenue trajectory and cash flow profile.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highly competitive markets. Our networks compete with other networks to obtain distribution on MVPDs, and ultimately for viewing by each distributor’s subscribers. Our networks also compete with other licensors of programming and related content to secure desired programming, as well as other sellers of advertising time and space, including other television networks, radio, newspapers, outdoor media and, increasingly, websites and social media platforms. The success of our businesses depends on our ability to license and produce content for our networks that is adequate in quantity and quality and will generate satisfactory viewer ratings.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Distribution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business of distributing our networks to traditional and virtual MVPDs is highly competitive. Our networks compete with cable and broadcast networks to secure distribution agreements with MVPDs. Our ability to secure distribution agreements on terms favorable to our networks depends primarily on the audience ratings and popularity of our networks, distribution fees charged and how our networks are positioned within MVPD bundles. Our contractual agreements with these distributors are renewed or renegotiated from time to time in the ordinary course of business. Our ability to secure distribution agreements favorable to our networks is necessary to continue to generate distribution revenue and ensure the retention of our audiences. Shifting video consumption patterns, changes in distribution models, increased popularity of competing platforms and movements towards traditional and virtual MVPD video channel tiering and a-la-carte options, may adversely affect our ability to obtain or maintain the distribution of our networks or to maintain contractual terms that are as favorable as those currently in place. Given the magnitude of our linear distribution revenue, our arrangements with large MVPDs are significant. Refer to Note 3 to the combined financial statements for additional information on these agreements.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Advertising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brands compete with other sellers of advertising time and space, including other networks distributed by MVPDs, streaming services, social media platforms, other online and mobile offerings, radio and newspapers. Competition for selling advertising is based primarily on the anticipated and actually delivered size and demographic characteristics of audiences as determined by various measurement services, price, the time of day when the advertising is to be aired or shown on a digital platform, audience targeting capabilities, competition from other cable networks, broadcast networks, cable television systems, direct broadcast satellite television, social and digital media and general economic conditions. Competition for audiences is based primarily on the selection of programming and content, the popularity and success of which depend on the reaction of our audience and consumers, which is often difficult to predict.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willingness of advertisers to purchase advertising from us may be adversely affected by lower audience ratings at our networks or engagement with our digital platforms. Declines in audience ratings can be caused by increased competition for the leisure time of viewers and by audience fragmentation resulting from the increasing number of entertainment choices available, including content from streaming services, social media platforms and other digital 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Licensing and Acquiring Programming and Related Content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compete with other licensors of programming and related content, including other television networks and media platforms to secure desired programming. The market for programming is very competitive, particularly for sports programming, where the cost for such programming is significant. To secure programming, we generally must offer competitive rates, time periods, or exclusivity in our licensing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Consumer Transactions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digital platforms also include online businesses that compete with other businesses in the media and entertainment industry that offer similar services and resources. For example, Fandango’s online movie ticket business faces direct competition from other ticketing services and theater-specific digital applications that rely on sales of movie tickets to consumers, and Rotten Tomatoes faces direct competition from other film and television review aggregators and movie information sites that are resources for consumers seeking information on films.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cyclical variations. While our business is generally not affected by seasonal variation in the calendar year, our revenue is subject to cyclical advertising patterns and changes in viewership levels based on when we air certain sporting events or other content, including, for example, increases in viewership levels for certain of our networks due to increased audience interest in political coverage during election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businesses are subject to various federal and state laws and regulations, and in certain cases, international laws and regulations. In particular, the Communications Act, the Federal Trade Commission Act and regulations and policies of the FCC and the Federal Trade Commission (“FTC”) affect certain aspects of our networks in the United States. Beyond the more relevant regulations summarized below, legislators and regulators frequently consider changing, and sometimes do change, existing statutes, rules or regulations, or interpretations of existing statutes, rules or regulations, or prescribe new ones, any of which may significantly affect our businesses and ability to effectively compete. Legislators and regulators, along with some state attorneys general and foreign governmental authorities, also occasionally conduct inquiries and reviews regarding our services. State legislative and regulatory initiatives can create a patchwork of different and/or conflicting state requirements, such as with respect to privacy and consumer protection regulations, that can affect our businesses and ability to effectively compete.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Regulation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networks must provide closed captioning of programming for the hearing impaired and comply with other regulations designed to make our content more accessible. We must also provide closed captioning on certain video content that we offer through digital distribution methods. Additionally, some of our cable networks may be required to provide audio description for certain non-exempt programming for the visually impaired. Congress and the FCC periodically consider proposals to enhance these accessibility requirements. Some of those proposals, if adopted, could increase our obligations substantially.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FCC regulations require MVPDs to ensure that all commercials in the programming they distribute, including our cable networks, comply with specified volume standards, limit the amount of commercial matter that may be shown on cable networks during programming originally produced and aired primarily for an audience of children 12 years of age or under, and prohibit us from including false or simulated emergency alert codes or attention signals in our content in non-emergency conditions under any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 Access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Communications Act of 1934, as amended, and the FCC’s associated rules, our cable networks may be subject to program access rules. If so, we would be restricted from having exclusive contracts with Comcast if the FCC deems that such contracts operate as unfair methods of competition or unfair or deceptive acts or practices, and from engaging in discriminatory pricing, terms, or conditions of programming sales among competing MVPDs.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 Regulation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businesses are subject to laws and regulations that impose various restrictions and obligations related to privacy, data protection and the processing of individuals’ personal information. In the United States, federal privacy laws and regulations, such as those found within the Video Privacy Protection Act, the Children’s Online Privacy Protection Act and the Telephone Consumer Protection Act, restrict companies’ collection, use, disclosure and retention of personal information. The proliferation of state-level comprehensive privacy laws, as well as laws addressing specific categories of data, users, or online services (such as information about minors, or social media platforms such as California’s Consumer Privacy Protection Act and Maryland’s Age Appropriate Design Code) has expanded consumers’ rights and company obligations, including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other similar laws that apply to our businesses, which broadly regulate the processing of personal information collected from individuals in those jurisdictions.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businesses are also subject to the general FTC and state attorneys’ plenary oversight of consumer privacy protections through their enforcement authority over unfair and deceptive acts or practices, as well as through their enforcement authority over certain specific laws, such as Children’s Online Privacy Protection Act. Both the FTC and state attorneys’ general have sought to expand their authority in this area through various rulemakings and enforcement actions that address general privacy, targeted advertising data security, processing of sensitive personal information, use of artificial intelligence (“AI”) and children’s privacy. These existing and new laws may require changes to our products and services and could adversely affect our advertising businesses.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many international data protection laws, federal laws, and 50 U.S. states have security breach notification requirements that obligate businesses to provide notice to consumers and government agencies if certain information has been unlawfully accessed or exfiltrated by an unauthorized party; some of these laws also require documented information security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business of marketing and selling goods and services to consumers is subject to a wide range of laws and regulations intended to protect consumers from false and misleading advertising, unfair trade practices and other risks. Our digital businesses, in particular, are subject to a variety of federal and state regulations and laws applicable to negative option agreements (including, auto-renewing subscription programs), disclosure of all mandatory fees, such as convenience fees on the online purchase of tickets and other products and services, and notification of in-application purchases. These and other consumer protection laws and regulations are enforced at the federal level by the FTC and other administrative agencies, and at the state and local level by state attorneys general and numerous other law enforcement and administrative departments and agencies. Some of these laws also provide for private rights of action. We have in the past and may in the future be subject to claims under such regulations and laws. Moreover, consumer protection laws are constantly evolving and we cannot predict the impact of any future regulatory changes and enforcement priorities on our marketing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 and Requirements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states and localities, and various regulatory authorities regulate other aspects of our businesses, such as child protection, accessibility, user-generated content, advertising and competition in the jurisdictions in which we operate. The FCC and other federal, state and local agencies, as well as foreign governments and regulatory authorities, may undertake enforcement actions and investigations involving us, which can result in fines or being subject to sanctions.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had approximately 4,400 full-time and part-time employees calculated on a full-time equivalent basis. Approximately 9.5% of our employees were located in over 14 countries outside the United States. We also use freelance and temporary employees in the normal course of our business. A small portion of our full-time staff U.S. employees are unionized, and many freelance, technical, production and editorial personnel, as well as some on-air employees, are covered by collective bargaining agreements or work councils. Outside the United States, employees in certain countries, particularly in Europe, are represented by an employee representative organization, such as a union, works council or employee association. Our Company has been built on a foundation of respect, integrity and trust, and we are committed to creating and fostering a work environment that promotes those values.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a portfolio of health and welfare programs and solutions designed to meet the needs of our employees and their families. Our offerings include comprehensive and affordable healthcare coverage options along with a variety of additional tools and resources, including access to dedicated healthcare navigators, expert medical opinion services and virtual primary care services. In addition, we offer comprehensive family planning options and provide specialized support teams to help employees manage all stages in the family planning journey including parenthood.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invest in the emotional wellbeing of our employees and offer a broad array of tools and resources such as our Employee Assistance Program, which provides personal counseling sessions to support employees and their families and provide problem-solving support for a broad range of issues, including stress, anxiety, depression, substance use and more.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company’s intellectual property portfolio is one of our most valuable assets, encompassing trademarks, copyrights and trade secrets that support our businesses. The protection and enhancement of these intellectual property rights are crucial for maintaining our brand integrity and market position. We own, or hold exclusive licenses to, numerous trademarks covering certain of our network names, logos and program titles. Many of these trademarks are registered across various jurisdictions. These trademarks help distinguish our high-quality content and ensure that viewers can reliably associate our services with our brands. We own the copyrights in a vast library of works, including original programming, digital media, articles and audiovisual content, all of which contribute to our diverse offerings in news, sports and entertainment. These copyrights provide us exclusive rights to distribute and monetize our creative works.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we seek to protect our trade secrets, encompassing confidential business information and processes, through internal policies and agreements which are designed to prevent unauthorized use or disclosure. The investment in and protection of our intellectual property rights are pivotal to sustaining our growth and development in the media industry. We actively monitor and enforce these rights to prevent infringement, misappropriation and other unauthorized usage and protect the longevity and success of our businesses. For a discussion of associated risks, see “Item 1A.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from time to time, in litigation, other legal claims, regulatory actions and other proceedings or actions by governmental authorities involving matters associated with or incidental to our business and our property in the ordinary course, both in the United States and in foreign countries. See Note 10 to our combined financial statements for more information.</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AVAILABLE INFORMATION. </w:t>
      </w:r>
      <w:r>
        <w:rPr>
          <w:rFonts w:ascii="Times New Roman" w:cs="Times New Roman" w:eastAsia="Times New Roman" w:hAnsi="Times New Roman"/>
          <w:sz w:val="18"/>
          <w:szCs w:val="18"/>
          <w:color w:val="auto"/>
        </w:rPr>
        <w:t>Our corporate headquarters is located at 229 West 43rd Street, New York, New York 10036, and our telephone number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646-832-1000. Our website address is www.versantmedia.com. Our Annual Report on Form 10-K, Quarterly Reports on Form 10-Q, Current Reports on Form 8-K and amendments to those reports filed or furnished pursuant to Section 13(a) or 15(d) of the Exchange Act, are available, without charge, on our website, as soon as reasonably practicable after they are electronically filed with, or furnished to, the SEC. Reports filed with the SEC may be viewed at sec.gov. The information on our website is not, and shall not be deemed to be, a part of this Annual Report on Form 10-K or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Investing in our securities involves uncertainty and risk due to a variety of factors. You should carefully consider each of the following risks and all of the other information contained in this Annual Report on Form 10-K and in other documents that the Company files with, or furnishes to, the SEC before making any investment decision with respect to its securities. Statements in this section are based on the Company’s beliefs and opinions regarding matters that could materially adversely affect the Company in the future and are not representations as to whether such matters have or have not occurred previously. Some of these risks relate principally to the Separation, while others relate principally to our business and the industry in which we operate or to the securities markets generally and ownership of our common stock. Further, the risks and uncertainties described below are not the only ones we face and should not be considered a complete statement of all potential risks or uncertainties that the Company faces or may face in the future. Additional risks not presently known to us or that we currently deem immaterial may also materially affect our business. Our business, prospects, results of operations, financial condition or cash flows could be materially and adversely affected by any of these risks, and, as a result, the trading price of our Class A common stock could decline. For a summary of these risks, please read “Risk Factors Summary,” which immediately precedes Part I, Item 1 of this Annual Report on Form 10-K.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Risk Factors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intense competition, and if we are unable to compete effectively, our business, financial condition and results of operations could suffer.</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businesses operate in highly competitive industries. Our networks compete with other networks to secure favorable distribution agreements with traditional and virtual MVPDs and ultimately for viewership. We also compete with companies that license programming and related content to secure desired programming, as well as companies that sell advertising time and space, including other networks distributed by MVPDs, streaming services, social media platforms, other online and mobile offerings, radio and newspapers. For more information regarding the competition facing our businesses, see “Item 1. Business—Competition.”</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compete to distribute our networks on MVPDs, including for the right to be carried on particular “tier(s)” of service and ultimately for viewership. Competition has intensified as MVPDs have explored alternative distribution methods and new types of MVPD bundles to satisfy evolving consumer preferences and reduce their programming costs. Although we intend to reach new audiences by expanding and extending our content offerings into new outlets, the market landscape is highly competitive and requires significant investment, and there can be no assurance that we will be able to compete effectively.</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we compete against companies that license programming and related content, including other networks and digital platforms. The market for programming is very competitive. Sports programming, in particular, has become significantly more competitive and expensive in recent years. As a result, there can be no assurance that we will be able to renew our existing sports programming agreements at attractive rates, or at all. In addition, content owners may choose not to license popular content to us, and as more content owners offer their content direct-to-consumer, they may reduce the quantity and quality of the content available to us. If we are unable to enter into or renew some or all of these contracts on acceptable terms, the audience appeal of our programming and related content may suffer, which could adversely affect our business, financial condition and results of operations.</w:t>
      </w:r>
    </w:p>
    <w:p>
      <w:pPr>
        <w:spacing w:after="0" w:line="1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compete with companies that sell advertising time and space, such as other networks distributed by MVPDs, streaming services (including an increasing number of ad-supported streaming services), social media platforms, other online and mobile offerings, radio and newspapers. Our competition with digital media companies has intensified as advertisers have shifted, and may continue to shift, a larger portion of their total expenditures to digital media. The willingness of advertisers to purchase advertising from us may be adversely affected by lower audience ratings at our networks or less engagement on our digital platforms. Additionally, we face competition from other platforms with more tailored customer targeting capabilities that sell advertising at competitive prices.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compete through our digital businesses with other similar businesses. New or existing competitors may be able to develop competing services that have greater appeal or are more competitively priced, or may be able to respond more quickly and effectively than we can to new or changing opportunities, technologies, regulations or user requirements.</w:t>
      </w:r>
    </w:p>
    <w:p>
      <w:pPr>
        <w:spacing w:after="0" w:line="1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Competitors with significant resources, greater efficiencies of scale and fewer regulatory burdens continue to increasingly compete with our businesses. Some of these competitors could also have preferential access to customer data or other competitive information. These competitors may also have greater or more immediate access to new or innovative technologies such as generative AI, which may further intensify competition by enabling faster and lower-cost content creation and distribution, which could adversely affect our competitive position. The use of AI may also improve competitors’ operating efficiency and cost structures, allowing them to allocate resources more effectively and compete more aggressively on pricing, investment levels or content offerings. Further, consolidation of, or cooperation between, our competitors may intensify competition. For example, cooperation between competitors may allow them to offer a range of products and services, including aggregating certain content into a standalone offering, offering free or lower cost streaming services, potentially on an exclusive basis, or bundling streaming services with other digital platforms. There can be no assurance that we will be able to compete successfully in the future against existing or new competitors, or that competition will not have an adverse effect on our business, financial condition and results of operations.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compete effectively depends on our perceived image and reputation among our various constituencies, including consumers, advertisers and other business partners, employees, investors and government authorities. For example, some of these constituencies may have their own, and some have conflicting, environmental, social and governance priorities, which may present risks to our reputation and brands if these constituencies perceive misalignment.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consumer behavior, evolving technologies and distribution platforms continue to adversely affect our business.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Technological advances and evolving consumer preferences have changed how audiences consume video content, reducing the number of subscribers to MVPDs and, in turn, adversely affecting businesses like ours that derive distribution revenue from MVPDs.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subscribers depart the MVPD ecosystem, MVPDs could deprioritize their cable television network consumer offerings or exit the cable television network business altogether, further reducing our distribution revenue and causing the advertising on our networks to become less attractive. Because we derive significant revenue through advertising on networks distributed by MVPDs, these changes have affected, and will continue to affect, our business and results of operations. Consumer demand for traditional U.S. cable television remains subject to many factors outside of our control and, while we expect subscribers to continue to depart the MVPD ecosystem, we cannot be certain how consumer demand will evolve in the future.</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we respond to the decline in consumer demand for cable television, our future success is and will be dependent on our ability to acquire, develop, adopt and leverage new and existing technologies, and our competitors’ use of certain types of technology, including AI, may provide them with a competitive advantage if we are unable to keep pace. New technologies can materially impact our businesses in a number of ways, including affecting the demand for our content and services, how we distribute our content and provide our other services and increasing competition for our digital platforms, all of which may adversely affect our business. For example, advances in technology have significantly increased the number of content distribution platforms, increasing the number of entertainment choices available to consumers, intensifying audience fragmentation and disaggregating the manner in which content is distributed and consumed. These new platforms include streaming services and aggregators, social networking and user-generated content platforms, gaming and other mobile applications. Many content owners also deliver programming or related content direct-to-consumer, which has further disrupted traditional content distribution models. As consumers turn to direct-to-consumer offerings or streaming services in lieu of cable television networks, the revenue we earn from distributing our networks to MVPDs may decrease because our revenues are derived in part from the number of MVPD subscribers. Additionally, the rising popularity of many of these content distribution platforms, including the rapid proliferation of streaming services and short-form video content on social networking platforms, have changed, and may continue to change, consumers’ expectations of video content, their willingness to pay for such content, their perception of quality entertainment and their tolerance for commercial interruptions. Such changes have reduced traditional U.S. cable television viewership and contributed to audience ratings declines for our networks.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are unable to anticipate or effectively respond to changes in technology, consumer behavior or distribution models, or if we are unable to execute effectively on our strategic and technology initiatives, our businesses and results of operations could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programming distribution agreements, or the renewal of these agreements on less favorable terms, could adversely affect our businesses.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networks depend on our ability to secure and maintain favorable distribution agreements with MVPDs. The number of subscribers to our networks has decreased over time, and is likely to continue to decrease, as a result of overall reduced viewing of cable television. If our networks do not attract sufficient viewers, both new and existing MVPDs may be reluctant to distribute our networks or may decide to distribute our networks with significantly less favorable terms.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MVPDs also may elect not to enter into agreements to distribute some or all of our networks as a result of changing market dynamics and industry consolidation, which could also influence market perceptions of our networks and adversely affect our ability to negotiate carriage terms or renewals with other distributors. For example, MVPDs may seek to offer smaller packages of channels as part of their MVPD bundles, which may increase both competition for carriage on distribution platforms and marketing expenses and could adversely affect our business, financial condition and results of operations.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Separation, our negotiating position with MVPDs may be weakened without the ability to sell our programming along with NBCU’s broadcast television networks, the Bravo cable network and Peacock. There can be no assurance that any of our programming distribution agreements will be entered into or renewed in the future on similar terms. Our inability to enter into or renew some or all of our distribution agreements on favorable terms could reduce our revenue and the reach of our programming,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advertisers’ expenditures or changes in advertising markets could negatively impact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derive significant revenue from selling advertising, and declines in expenditures by advertisers have in the past negatively impacted, and may in the future, negatively impact our business, financial condition and results of operations. We have experienced, and expect to continue to experience, declines in advertising revenue caused by the economic prospects of specific advertisers or industries, increased competition for the leisure time of viewers, increased audience fragmentation, increased viewing of content through streaming services or other digital platforms and increased use of time-shifting and advertising-blocking technologies, regulatory intervention regarding where, what and when advertising may be placed, regulatory changes regarding the content of certain advertising and economic conditions generally. Additionally, expenditures by advertisers can be cyclical. For example, major sports events and election cycles may cause our advertising revenue to vary substantially from period to period. Political advertising expenditures are impacted by the ability and willingness of candidates and political action campaigns to spend funds on advertising and the competitive nature of the elections in markets featuring our programming. A decline in the economic prospects of advertisers or the economy in general could also alter current or prospective advertisers’ spending priorities. The threat of regulatory action or increased scrutiny that deters certain advertisers from advertising or reaching their intended audiences could also adversely affect advertising revenue. In addition, shifting consumer preferences towards other content distribution platforms has changed the landscape of traditional U.S. cable television advertising spending, prompting advertisers to modify their strategies, and ultimately advertising spend, and this trend may continue or accelerate.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Demand for advertising is also a factor in determining advertising rates. Lower audience ratings and reduced viewership, which our networks have experienced, and likely will continue to experience, affect advertisers’ willingness to purchase advertising from us. Advertising sales also depend on the methodology used for audience measurement and could be negatively affected if methodologies do not accurately reflect actual viewership or engagement levels. Reduced use of our online businesses and mobile applications may also adversely impact our advertising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brands or our reputation could have a material adverse effect on our business, financial condition or results of operations.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brands are among our most valuable assets. We believe that our brand image, awareness and reputation strengthen our relationship with our audiences and contribute significantly to the success of our business. Maintaining, enhancing and extending our brands, as well as our rebranding efforts, may require us to make significant investments in marketing, content or new products, services or events, and these investments may not be successful. Moreover, we may introduce new content that is not popular with our consumers and advertisers, which may negatively affect our brands. To the extent our news, sports and entertainment content is not compelling to consumers, our ability to maintain a positive reputation may be adversely impacted. Our brands, credibility and reputation have been impacted from time to time, and could be damaged in the future, by incidents that erode consumer, advertiser or business partner trust or a perception that our offerings, including our journalism, programming and related content, are low quality, unreliable or fail to attract and retain audiences. The manipulation of content by bad actors, including the creation of “deep fakes” (videos created with AI to realistically impersonate persons such as journalists or political candidates), could erode audience trust by making it difficult to determine what content is real. Our brands, credibility and reputation also could be adversely impacted if our use of AI in our own products and services produces content, information, analyses or recommendations that are alleged to be deficient, inaccurate, biased, harmful, discriminatory, an intellectual property infringement, a violation of privacy rights or otherwise problematic. Additionally, litigation, governmental scrutiny and fines and significant negative claims or publicity regarding us or our operations, content, products, management, employees, practices, advertisers, business partners and culture, including individuals associated with content we create or license, impact our reputation and may damage our reputation and brands, even if meritless or untrue.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geopolitical tensions, including as a result of geopolitical conflicts, political developments and social unease, could negatively impact the reputation of our brands. Furthermore, to the extent our marketing, cybersecurity, customer service and public relations efforts are not effective or result in negative consumer reaction, our ability to maintain a positive reputation may likewise be adversely impacted. If we are not successful in maintaining, rebranding or enhancing the image or awareness of our brands, or if our reputation is harmed for any reason, it could have a material adverse effect on our business, financial condition or results of operations.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appeal of the content we distribute. The preferences of our viewers and distributors are difficult to forecast and subject to change.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on viewer preferences and audience acceptance of the content we distribute. The factors that drive viewer engagement are often unpredictable and volatile and subject to influences that are beyond our control, such as changing consumer tastes, the quality, accessibility and appeal of competing programming, general economic conditions and competition from other entertainment activities. We may not be able to anticipate and react effectively to shifts in viewer preferences in our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viewer preferences and demographics have caused, and may continue to cause, the audiences for certain of our programming and related content to decline. To the extent that MVPDs and other digital platforms package channels by genre or increase customer choice as to which networks are included in their subscription packages, ratings for our networks may decline and our business, financial condition and results of operations may be adversely affected.</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 failure to anticipate or respond to viewer preferences could be especially detrimental to our business, particularly for certain portions of our business that depend on a relatively small number of programs and sporting events. For example, the success of our sports programming depends on the popularity and success of the sports franchises, leagues and teams for which we have acquired programming rights. Any decline in popularity of a sports league or failure to generate fan enthusiasm may adversely impact viewership, advertising sales and distribution fees received from MVPDs when our existing carriage deals expire. If the content we distribute does not gain the level of audience acceptance we expect, or if we are unable to maintain the popularity of such content, our bargaining position may be adversely impacted when seeking to renew our distribution agreements with MVPDs, and we may experience a decrease in the number of subscribers for our networks, causing our advertising revenue to suffer.</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commercial success of the content we distribute also depends upon the quality and acceptance of competing content available in the marketplace. Other factors, including the availability of alternative forms of entertainment and leisure time activities, piracy and our ability to develop strong brand awareness may also affect the audience demand for our content. Consequently, reduced public acceptance of our news, sports and entertainment content or negative publicity regarding individuals or operations associated with our content or brands may decrease our audience share and viewer reach and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digital platforms depends on our ability to attract new customers, retain existing customers and continue to grow the revenue we derive from these businesses.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digital platforms generate revenue from providing services directly to consumers, selling cloud-based technology and related services and selling advertisements.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fail to attract new customers, retain our existing customers or increase sales to both new and existing customers due to a number of factors, including:</w:t>
      </w:r>
    </w:p>
    <w:p>
      <w:pPr>
        <w:spacing w:after="0" w:line="54"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current or potential customers’ spending levels, including due to a deteriorating macroeconomic environment;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customers’ level of satisfaction with our websites and mobile applications or our pricing;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relationships with third parties, including app developers, payments processors and other partners;</w:t>
      </w:r>
    </w:p>
    <w:p>
      <w:pPr>
        <w:spacing w:after="0" w:line="1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innovate and continue to develop and effectively market solutions that anticipate and respond to the needs of our customers;</w:t>
      </w:r>
    </w:p>
    <w:p>
      <w:pPr>
        <w:spacing w:after="0" w:line="89" w:lineRule="exact"/>
        <w:rPr>
          <w:rFonts w:ascii="Arial" w:cs="Arial" w:eastAsia="Arial" w:hAnsi="Arial"/>
          <w:sz w:val="22"/>
          <w:szCs w:val="22"/>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recognition;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relating to actual or perceived privacy or security breaches.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depend on using and protecting certain intellectual property rights and on not infringing, misappropriating or otherwise violating the intellectual property rights of others.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misappropriation or other violation by third parties could require that we enter into royalty or licensing agreements on unfavorable terms, rebrand our platforms, products or services, incur substantial monetary liability, or be enjoined preliminarily or permanently from further use of the intellectual property in question or from the continuation of our business as currently conducted. We may need to change our business practices if any of these events occur, which may limit our ability to compete effectively and could have an adverse effect on our business, financial condition and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or at all,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intellectual property constitutes a significant part of the value of our businesses, and our success is highly dependent on protecting the intellectual property rights of our brands and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Similarly, any infringement or dilution of our names, brands and logos may negatively affect their value and our ability to build equity in, and generate revenue from, such names, brands and logos. New names, brands and logos in particular may provide less protection than names, brands and logos with a more established track record of use in commerce.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legal landscape for new technologies, including AI, remains uncertain, and legal developments could impact our ability to protect against unauthorized third-party use, misappropriation, reproduction or infringement or impact our ability to deploy new technologies. Our use or adoption of new and emerging technologies may also increase our exposure to intellectual property claims.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related content through unauthorized digital platforms continues to present challenges for our businesses. For example, certain entities may stream our content illegally online without our consent and without paying us any compensation, and sporting events on our networks may be illegally transmitted.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cyber incident or attack, information or security breach, or technology disruption or failure, may negatively impact our ability to conduct our business or result in the misuse of confidential information, including personal information or other sensitive business information, all of which could adversely affect our reputation and our business,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Network and information systems and other technologies, including those that are related to programming delivery, network management and digital platforms, and are otherwise embedded in our products and services, are critical to our business activities. In the ordinary course of our business, there are constant attempts by unauthorized parties to cause systems-related events and security incidents and to identify and exploit vulnerabilities in security architecture and system design. These incidents include computer hacking, cyber attacks, computer viruses, worms or other destructive or disruptive software, denial of service attacks, phishing attacks, malware, ransomware, malicious social engineering, theft, misconduct, fraud and other malicious activities. Incidents can be caused inadvertently by us or our third-party vendors due to factors such as process breakdowns, human error, software or hardware failures or vulnerabilities in security architecture or system design.</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Cyber threats and attacks are constantly evolving and are growing in sophistication and frequency, which increases the difficulty of detecting and successfully defending against them. For example, we expect threat actors will continue to gain sophistication by using tools and techniques, such as AI, that are specifically designed to circumvent security controls. Some cyber attacks have had, and in the future can have, cascading impacts that unfold with increasing speed across networks, information systems and other technologies across the world and create latent vulnerabilities in our and third-party vendors’ systems and other technologies. We also obtain certain confidential, proprietary and personal information about our customers, personnel and vendors, that in many cases is provided or made available to third-party vendors who agree to protect it, which has in the past, and may in the future, become compromised through a cyber incident, attack or data breach, misappropriation, misuse, leakage, falsification or accidental release or loss of information by us or a third party. We also incorporate third-party software (including extensive open-source software), applications and data hosting and cloud-based services into many aspects of our products, services and operations, as well as rely on service providers to help us perform our business operations, all of which expose us to cyber attacks with respect to such third-party suppliers and service providers and their products and services. Due to applicable laws, regulations and contractual obligations, we may be held responsible for cybersecurity breaches or incidents experienced by such third parties in relation to the information we share with them. The occurrence of both intentional and unintentional incidents has caused, and may from time to time in the future cause, a variety of business impacts, including degradation or disruption of our products and services, theft or misuse of our intellectual property or other assets, disruption of the security of our internal systems, products, services or satellite transmission signals, power outages, the compromise or exfiltration of sensitive, personal, proprietary, confidential or technical business information and customer or vendor data and reputational impacts. In addition, despite efforts to detect unlawful intrusions, attacks can persist for an extended period of time before being detected, and following detection, it may take considerable time to understand the nature, scope, impact and timing of the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develop and maintain systems and operate programs that seek to prevent security incidents from occurring, these efforts are costly and must be constantly monitored and updated in the face of sophisticated and rapidly evolving attempts to overcome our security measures and protections. Due to complexity and interconnectedness of our systems and those of our third-party vendors, the process of enhancing our protective measures can itself create a risk of systems disruptions and security issues. The occurrence of both intentional and unintentional incidents has caused, and may from time to time in the future cause, a variety of business impacts. These include degradation or disruption of our products and services, theft or misuse of our intellectual property or other assets, disruption of the security of our internal systems, products, services or satellite transmission signals, power outages, the compromise or exfiltration of sensitive, personal, proprietary, confidential or technical business information and customer or vendor data and reputational impacts. In addition, despite efforts to detect unlawful intrusions, attacks can persist for an extended period of time before being detected, and following detection, it may take considerable time to understand the nature, scope, impact and timing of the incident. Moreover, the amount and scope of insurance we maintain against losses resulting from any of the foregoing events likely would not be sufficient to fully cover our losses or otherwise adequately compensate us for disruptions to our business that may result. Repercussions of these incidents have in the past included and may in the future include legal proceedings or significant regulatory fines, oversight and other remedial measures, including with respect to relevant consumer privacy rules, or otherwise have an adverse effect on our company. Despite our efforts, we expect that we will continue to experience such incidents in the future, and there can be no assurance that any such incident will not have an adverse effect on our reputation or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complex and evolving laws and regulations related to privacy and data protection.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businesses are subject to laws and regulations that impose various restrictions and obligations related to privacy, data protection, and the processing of individuals’ personal information. In the United States, federal privacy laws and regulations, such as those found within the Video Privacy Protection Act and Children’s Online Privacy Protection Act, restrict companies’ collection, use, disclosure and retention of personal information. State-level comprehensive privacy laws, as well as laws addressing specific categories of data, users, or online services (such as information about minors or social media platforms) also impose obligations related to the processing of personal information, and provide consumers with individual rights over their personal information, including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information collected from individuals in those jurisdictions. For more regarding the privacy and data protection regulation of our business, see “Item 1. Business—Regulation.”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and complexity of these laws and regulations continues to increase. New privacy and data protection laws and regulations continue to be introduced and interpretations of existing privacy and data protection laws and regulations, some of which may be inconsistent with one another, continue to evolve. As a result, significant uncertainty exists as to the application and scope of these laws and regulations. Compliance with these laws and regulations is costly, and such costs may increase as new laws or regulations are introduced. In addition, we may become subject to legal claims or regulatory actions, which could have an adverse effect on our reputation or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network rebrands may result in customer confusion and disruption, leading to lower ratings and monetization.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Separation, in August 2025 we announced the rebranding of MSNBC as MS NOW, which became effective in November 2025, and that Versant’s sports programming will come together under the new brand USA Sports. We will also remove the Peacock logo from our other networks, platforms and products in connection with the Separation. In addition, we entered into commercial agreements with Comcast in connection with the Separation pursuant to which Comcast granted us a license to use certain intellectual property rights owned by Comcast, and which contains limitations on how we may use the licensed intellectual property rights and will limit how long we may continue to use such brands. For example, our use of the CNBC brand is subject to a trademark license agreement with Comcast that provides an initial term of five years, which may be extended.</w:t>
      </w:r>
    </w:p>
    <w:p>
      <w:pPr>
        <w:spacing w:after="0" w:line="2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new names, brands and logos may not benefit from the same recognition and association with quality as their predecessor names, brands and logos, which may affect our ability to attract and maintain viewers who may not recognize these new names, brands and logos. As a result, we may not be successful at maintaining viewership levels as we transition to new names, brands and logos. Any loss of viewers due to such repositioning may impact the attractiveness of our networks and digital platforms to distributors and advertisers, which could in turn reduce our linear distribution revenue and our advertising revenue. We may also incur additional costs related to marketing efforts with respect to any new names, brands and logos. Moreover, new names, brands and logos may be subject to challenge by third parties under intellectual property laws. See “Item 1A. Risk Factors—Our businesses depend on using and protecting certain intellectual property rights and on not infringing, misappropriating or otherwise violating the intellectual property rights of others.” As a result, any such brand repositioning could adversely affect our business, financial condition and results of operations, and, if unsuccessful or challenged, could require further repositioning.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Weak economic conditions may have a negative impact on our businesses.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substantial portion of our revenue comes from customers whose spending patterns may be affected by prevailing economic conditions. Downturns in global economic conditions have in the past, and may in the future, negatively affect the spending patterns of our current and potential customers, particularly advertisers whose expenditures are sensitive to general economic conditions, vendors and others with whom we do business and their ability to satisfy their obligations to us. Uncertain economic conditions, including as a result of geopolitical dynamics, changes in trade policies and foreign exchange rates, could adversely affect demand for any of our products or services and have a negative impact on our results of operations. In addition, inflationary conditions or a general increase in price levels may increase our costs of licensing and acquiring programming and related content, as well as increase our other costs of doing business, which could negatively affect our profitability. This risk may be increased by the expanded availability of free or lower cost competitive services on other content distribution platforms which could lead to pressure on our advertising revenue by reducing the number of viewers of our content.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record impairment charges for goodwill and intangible assets.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a significant amount of goodwill and intangible assets on our combined balance sheets. In accordance with GAAP, management periodically assesses these assets for impairment (see “Management’s Discussion and Analysis of Financial Condition and Results of Operations - Critical Accounting Estimates” and Note 7 to the combined financial statements included elsewhere in this Annual Report on Form 10-K). The occurrence of certain events and circumstances has resulted in, and these or other new developments could result in, a downward revision in the estimated fair value of our business and intangible assets. For example, continued negative industry or economic trends, including the decline of traditional U.S. cable television viewership and related advertising revenues, changes in advertising markets and other disruptions to our business, could negatively affect our estimates of fair value. We also continually evaluate whether current factors or indicators, such as prevailing economic conditions, require the performance of an interim impairment assessment. Future changes in events or circumstances, such as downturns in global economic conditions, continued decline in consumer demand for cable television and the occurrence of other events and circumstances described elsewhere in this Annual Report on Form 10-K, could result in decreases in the fair value of our business and intangible assets and require us to record impairment losses that could materially adversely affect our results of operations in the periods recognized.</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management personnel or popular on-air and creative talent could have an adverse effect on our businesses.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certain key management personnel in the operation of our businesses and the loss of one or more of our key management personnel could have a negative impact on our businesses.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depend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 In addition, many of our talent have loyal audiences. These individuals are important to audience endorsement of our programs and other content. There can be no assurance that these individuals will remain with us or retain their current audiences.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disputes, whether involving employees or sports organizations, may disrupt our operations and adversely affect our businesses.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some of our suppliers and business partners currently retain, and may in the future retain, the services of writers, directors, on-air talent or other performers, technicians, trade employees and others involved in the development and production of our content who are covered by collective bargaining agreements. If negotiations to renew expiring collective bargaining agreements are not successful or become unproductive, the affected unions could take actions such as strikes, work slowdowns or work stoppages. Strikes, work slowdowns, work stoppages, or the possibility of such actions, could result in delays in the production of, or the release of, the content aired by our networks, higher production costs or increased costs of labor, and may in turn affect our ability to acquire content at a reasonable price or at all. If we or the producers of the content we air on our networks are unable to reach agreement with a labor union before the expiration of a collective bargaining agreement, the employees who were covered by that agreement may decide to exercise their right to strike or take other actions that could adversely affect us, which could disrupt our operations and reduce our revenue, and the resolution of any disputes may increase our costs. In addition, labor disputes in sports organizations with which we have programming rights agreements could have an adverse effect on our businesses.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regulation by federal, state and local authorities, which impose additional costs and restrictions on our businesses.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businesses are subject to various federal, state and local laws and regulations. For example, the Communications Act and FTC regulations affect certain aspects of our business. Furthermore, laws and regulations that hinder or stimulate the growth of linear or digital video programming distribution could also affect our business. Our digital platforms are also subject to a variety of laws and regulations, including those relating to issues such as content regulation, privacy and data protection and consumer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Applying existing laws in novel ways to new technologies, including AI, may also affect our business. In particular, the evolving and unsettled legal and regulatory frameworks governing intellectual property, privacy and data protection as they relate to AI may increase our compliance costs, limit the use of certain technologies, or constrain the pace at which we are able to innovate or respond to competitive pressures.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comply with the laws and regulations applicable to our businesses could result in administrative enforcement actions, fines and civil and criminal liability, and have a negative impact on our business, results of operations and financial condition. For more regarding the regulation of our business, see “Item 1. Business—Regulation.”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litigation or governmental investigation results could require us to pay significant amounts or lead to onerous operating procedures.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from time to time to a number of lawsuits, including claims relating to intellectual property rights (including copyrights, trademarks and patents), employment and labor matters, personal injury and property damage, negligence, customer privacy, regulatory requirements, advertising, marketing and selling practices and competition. In addition, in the ordinary course of business, we have in the past, and may in the future, face a wide variety of claims relating to defamation, disparagement, libel, free speech, the nature and substance of our content or statements made by personnel or talent. We also expend substantial resources complying with various regulatory and government standards, including any related investigations and litigation. Greater constraints on the use of arbitration to resolve certain of these disputes also could adversely affect our business. Adverse outcomes in any lawsuits or investigations could result in significant monetary damages or injunctive relief that could adversely affect our business, results of operations or financial condition. In addition, regardless of the ultimate merit or outcome of such lawsuits, investigations or claims, these proceedings may have an adverse impact on our business as a result of legal costs, diversion of the attention of management and other personnel, harm to our reputation and other factors.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make investments in, or acquire and integrate, other businesses, assets, products or technologies could harm our business, financial condition or operating results.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may depend on opportunities to buy other businesses or technologies that could complement, enhance or expand our current business or products or that might otherwise offer us growth opportunities. We may pursue strategic transactions from time to time, including, but not limited to, acquisitions, joint ventures, partnerships and strategic investments. Such transactions may result in dilutive issuances of our equity securities, use of our cash resources and incurrence of debt and amortization expenses related to intangible assets. Any strategic transaction that we are able to identify and complete may be accompanied by a number of risks, including:</w:t>
      </w:r>
    </w:p>
    <w:p>
      <w:pPr>
        <w:spacing w:after="0" w:line="7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assimilating the operations and personnel of acquired companies into our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ongoing business and distraction of management;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operating losses and operating expenses of the businesses we acquired or in which we invested;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acquired technology and rights into our services and unanticipated expenses related to such integration;</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further develop an acquired business or technology and any resulting impairment of amounts currently capitalized as intangible assets;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strategic investments to perform as expected or to meet financial projections;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patent and trademark infringement and data privacy and security claims against the acquired companies, or companies in which we have invested;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acquisitions, acquired companies, or companies in which we have invested;</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relationships with, or failure to retain, employees of acquired companies or our existing employees as a result of integration of new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operations, systems and controls as a result of cultural, regulatory, systems and operational differences;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management of companies in which we invest but do not control;</w:t>
      </w:r>
    </w:p>
    <w:p>
      <w:pPr>
        <w:spacing w:after="0" w:line="10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and investments, the impact of particular economic, tax, currency, political, legal and regulatory risks associated with specific countries; and</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10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Spin-Related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from the Separation, and the Separation could harm our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be able to achieve the full strategic and financial benefits expected to result from the Separation, or such benefits may be delayed or not occur at all. The Separation is expected to provide both companies with potential opportunities and benefits, such as clear strategic direction, resource and capital allocation, enhanced operating focus, management and employee incentives and investor choice and value creation. We may not achieve these and other anticipated benefits for a variety of reasons, including, among others:</w:t>
      </w:r>
    </w:p>
    <w:p>
      <w:pPr>
        <w:spacing w:after="0" w:line="79" w:lineRule="exact"/>
        <w:rPr>
          <w:sz w:val="20"/>
          <w:szCs w:val="20"/>
          <w:color w:val="auto"/>
        </w:rPr>
      </w:pPr>
    </w:p>
    <w:p>
      <w:pPr>
        <w:ind w:left="980" w:right="2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post-Separation activities will continue to require significant amounts of management’s time and effort, which may divert management’s attention from operating and growing our business;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susceptible to economic downturns and other adverse events than if we were still a part of Comcast; and</w:t>
      </w:r>
    </w:p>
    <w:p>
      <w:pPr>
        <w:spacing w:after="0" w:line="10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less diversified than Comcast’s business prior to the Separation and our business also experienced a loss of scale and access to certain financial, managerial and professional resources from which we have benefited in the past.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achieve some or all of the benefits expected to result from the Separation, or if such benefits are delayed, our business could be harmed.</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history of operating as an independent company, and our combined financial statements are not necessarily representative of the results that we would have achieved as an independent, publicly traded company and may not be a reliable indicator of our future results.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combined financial statements included in this Annual Report on Form 10-K have been derived from Comcast’s consolidated financial statements and accounting records and are not necessarily indicative of our future results of operations, financial condition or cash flows, nor do they reflect what our results of operations, financial condition or cash flows would have been as an independent public company during the periods presented. In particular, the combined financial statements included in this Annual Report on Form 10-K are not necessarily indicative of our future results of operations, financial condition or cash flows primarily because of the following factors:</w:t>
      </w:r>
    </w:p>
    <w:p>
      <w:pPr>
        <w:spacing w:after="0" w:line="12" w:lineRule="exact"/>
        <w:rPr>
          <w:sz w:val="20"/>
          <w:szCs w:val="20"/>
          <w:color w:val="auto"/>
        </w:rPr>
      </w:pPr>
    </w:p>
    <w:p>
      <w:pPr>
        <w:jc w:val="both"/>
        <w:ind w:left="98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our business was operated by Comcast on a combined basis as part of its broader corporate organization, rather than as an independent company or distinct business unit or division, with Comcast or its affiliates providing support for various corporate functions for us;</w:t>
      </w:r>
    </w:p>
    <w:p>
      <w:pPr>
        <w:spacing w:after="0" w:line="67"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financial results reflect the direct, indirect and allocated costs for such services historically provided by Comcast, and these costs may significantly differ from the comparable expenses we would have incurred as an independent, publicly traded company;</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our business was integrated with that of Comcast and we benefited from Comcast’s arrangements in terms of costs, employees and commercial relationships. Thus, costs we will incur as an independent company may exceed comparable costs we would have incurred as part of Comcast and some of our commercial relationships may be weakened or lost;</w:t>
      </w:r>
    </w:p>
    <w:p>
      <w:pPr>
        <w:spacing w:after="0" w:line="7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historically operated within Comcast’s corporate-wide cash management and centralized funding programs, and as an independent company our borrowing costs may significantly differ from Comcast’s borrowing costs;</w:t>
      </w:r>
    </w:p>
    <w:p>
      <w:pPr>
        <w:spacing w:after="0" w:line="53"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financial statements may not fully reflect the costs associated with the Separation, including the costs related to being an independent public company; and</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financial statements do not reflect our obligations under the various transitional and other agreements we have entered into with Comcast in connection with the Separation, and costs under such agreements may be more than what was charged to our business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combined financial statements included in this Annual Report on Form 10-K may not give effect to various ongoing additional costs we may incur in connection with being an independent public company. Accordingly, our combined financial statements do not reflect what our results of operations, financial condition or cash flows would have been as an independent public company and are not necessarily indicative of our future financial condition or future results of operations.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7A. Management’s Discussion and Analysis of Financial Condition and Results of Operations” and our combined financial statements and the notes to those statements included elsewhere 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historically operated within Comcast, and there are risks associated with the Separation.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historically operated within Comcast, and our current relationship with Comcast, including NBCUniversal Media, LLC (“NBCUniversal”), has changed as a result of the Separation. These and other changes could have an adverse effect on our business, financial condition and results of operations.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Separation, we entered into a separation and distribution agreement that provides a framework for our relationship with Comcast after the Separation. However, there can be no assurance that the provisions in the separation and distribution agreement will continue to be beneficial for Versant. For example, Comcast and NBCUniversal provided guarantees for our benefit to third parties with respect to certain of our contractual obligations. As an independent company, we may not be able to obtain similar terms for new contracts, or renew existing contracts on favorable terms or at all. In addition, pursuant to the separation and distribution agreement, we are required to indemnify and reimburse Comcast and its subsidiaries for any payments made by Comcast or its subsidiaries and for any liabilities of Comcast or its subsidiaries arising out of their obligations under guarantees provided by them for our benefit to third parties with respect to certain of our contractual obligations, if such guarantees are not removed or replaced by the time of the Separation. Such payments are not subject to any cap.</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when we renegotiate our carriage agreements with distributors, we will no longer have the ability to do so with the benefit of negotiating as part of NBCUniversal, which may result in less advantageous terms for Versant. Separately, we may lose the advantage of volume discounts with certain vendors that are enjoyed by large organizations like Comcast or NBCUniversal.</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Separation, we also entered into certain commercial arrangements with Comcast. Although these agreements are generally based on market terms that could be obtained from other providers and relate to ordinary course business functions, they are important to our ability to provide certain content to our viewers, provide certain services to our customers and generate portions of our revenue, and we may be required to expend significant resources to renew these commercial arrangements with Comcast, find alternative business partners to provide similar services in the future and/or develop capabilities so that we can perform certain of these functions internally. There can be no assurance that we will be able to do so on attractive terms or at all, which could adversely impact our business, financial condition and results of operations. We also entered into commercial agreements with Comcast in connection with the Separation pursuant to which Comcast granted us a license to use certain intellectual property rights owned by Comcast and which contain limitations on how we may use the licensed intellectual property rights and limit how long we may continue to use such brands. For example, our use of the CNBC brand will be subject to a trademark license agreement with Comcast that provides an initial term of five years, after which time we may need to reposition the related network and related platforms and products. Moreover, we are subject to certain restrictions on our businesses that will prevent us from using certain trademarks to compete with certain Comcast businesses in certain international territories for a period after the expiration of the license. See “Item 1A. Risk Factors—Our network rebrands may result in customer confusion and disruption, leading to lower ratings and monetization.”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Comcast will continue to provide certain services to us on a transitional basis that were previously provided by Comcast to us when we were part of Comcast. Comcast may not successfully execute its obligations to us under these arrangements, and any interruption in the functions or services that will be provided to us by Comcast could have an adverse effect on our business, financial condition and results of operations. Comcast may also allege that we have failed to perform our obligations to Comcast under these arrangements, which may subject us to claims and liability.</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will incur significant costs to create the infrastructure necessary to operate as an independent public company and may experience operational disruptions in connection with the Separation.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Separation, Comcast performed all or part of certain corporate functions for us, including information technology, shared services, insurance, logistics, human resources, public company reporting, finance and internal audit functions. Following the Separation, pursuant to the transition services agreement, Comcast will continue to provide some of these services to us on a transitional basis, generally for a period of up to two years. Comcast may not successfully execute all of these functions during the transition period or we may have to expend significant efforts or incur costs materially in excess of those estimated to be paid to Comcast under the transition services agreement in the event of any such failure. Any interruption in these services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by the end of this transition period, we will need to perform these functions ourselves or hire third parties to perform these functions on our behalf. The costs associated with performing or outsourcing these functions may exceed the amounts reflected in our combined financial statements that were incurred as a business segment of Comcast. We began incurring costs in the second quarter of 2025 to establish the necessary infrastructure and create the systems and services to replace many of the systems and services that Comcast currently provides to us. However, we may not be successful in implementing these systems and services in a timely manner or at all, and we may incur additional costs in connection with, or following, the implementation of these systems and services. A significant increase in the costs of performing or outsourcing these functions could materially and adversely affect our business, results of operations and financial condition.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we have made, and may continue to make, substantial capital investments to establish independent physical infrastructure following the Separation. For example, we have made significant investments to develop our own offices and production sites. These efforts to build the infrastructure necessary to operate independently have been, and could continue to be, costly and complex. There can be no assurance that we will be successful in implementing our own systems or in securing new facilities and services without experiencing delays or unexpected cost overruns. If we are unable to operate our business efficiently or cost-effectively, our profitability may be adversely affected.</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we may experience certain operational disruptions in connection with the Separation as we transition to operating as an independent public company, including information technology disruptions as certain data, software, information technology hardware and other information technology assets and systems are transitioned or re-allocated between us and Comcast pursuant to the separation and distribution agreement and the transition services agreement. Additionally, we may experience operational disruptions as we implement new systems or upgrades in connection with the Separation and also with such transition upon the expiration of the transition period under the transition services agreement. In addition, the efforts related to the separation of the information technology environment will require significant resources that could impact our ability to keep pace with ongoing advancement of information technology needs of the business. Our ability to effectively manage and operate our business depends significantly on information technology systems, and any failure, disruption, interruption, malfunction or other issue with respect to such systems could have an adverse effect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require significant resources and management attention.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directly subject to reporting and other obligations under the Exchange Act and the rules of Nasdaq. As an independent public company, we are required to, among other things:</w:t>
      </w:r>
    </w:p>
    <w:p>
      <w:pPr>
        <w:spacing w:after="0" w:line="108" w:lineRule="exact"/>
        <w:rPr>
          <w:sz w:val="20"/>
          <w:szCs w:val="20"/>
          <w:color w:val="auto"/>
        </w:rPr>
      </w:pPr>
    </w:p>
    <w:p>
      <w:pPr>
        <w:ind w:left="9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proxy statements and other shareholder communications in compliance with the federal securities laws and rules;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own Board of Directors and committees thereof, which comply with federal securities laws and rules and stock exchange rules;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our own financial reporting and disclosure compliance functions;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investor relations and treasury functions;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internal policies, including those relating to trading in our securities and disclosure controls and procedures; and</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implemented by the SEC, the Sarbanes-Oxley Act, the Dodd-Frank Act, the Public Company Accounting Oversight Board and Nasdaq.</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reporting and other obligations place significant demands on our management and our administrative and operational resources, including accounting resources, and we expect to face increased legal, accounting, administrative and other costs and expenses relating to these demands that we had not incurred as a segment of Comcast. Our accounting and other management systems and resources may not be adequately prepared to meet the financial reporting and other requirements to which we became subject to following the Separation. To comply with these requirements, we duplicated information technology infrastructure, implemented additional financial and management controls, reporting systems and procedures and hired additional accounting, finance, tax, treasury and information technology staff. Our investment in compliance with existing and evolving regulatory requirements has, and may continue to result in, increased administrative expenses and a diversion of management’s time and attention from revenue-generating activities to compliance activities. If we are unable to do this in a timely and effective fashion, our ability to comply with our financial reporting requirements and other rules that apply to reporting companies could be impaired, which could have a material adverse effect on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Section 404 of the Sarbanes-Oxley Act, our management will be required to conduct an annual assessment of the effectiveness of our internal control over financial reporting and include a report on these internal controls in the annual reports we will file with the SEC beginning with the Annual Report on Form 10-K for the year ended December 31, 2026. Similarly, our independent registered public accounting firm is not required to formally attest to the effectiveness of our internal controls until our Annual Report on Form 10-K for the year ended December 31, 2026. Leading up to it and when required, this process will require significant documentation of policies, procedures and systems, review of that documentation by our internal auditing and accounting staff and our outside independent registered public accounting firm, and testing of our internal controls over financial reporting by our internal auditing and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management or our independent registered public accounting firm determines that our internal control over financial reporting is not effective, investors may lose confidence in the accuracy and completeness of our financial reports and the market price of our Class A common stock could be negatively affected, and we could become subject to investigations by Nasdaq,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combined financial statements, a decline in our stock price, or suspension or delisting of our Class A common stock from Nasdaq, and could have a material adverse effect on our business, financial condition, prospects and results of operations.</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Comcast agreed to indemnify us for certain liabilities, and we agreed to indemnify Comcast for certain liabilities. If we are required to act under these indemnities to Comcast, we may need to divert cash to meet those obligations, which could adversely affect our financial results. Moreover, the Comcast indemnity may not be sufficient to insure us against the full amount of liabilities for which we will be allocated responsibility.</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separation and distribution agreement and other agreements with Comcast, Comcast has agreed to indemnify us for certain liabilities, and we have agreed to indemnify Comcast for certain liabilities. Payments that we may be required to provide under indemnities and reimbursements to Comcast are not subject to any cap, may be significant and could negatively affect our business, particularly under indemnities relating to our actions that could affect the tax-free nature of the Separation. Third parties could also seek to hold us responsible for the liabilities that Comcast has agreed to retain, and under certain circumstances, we may be subject to continuing contingent liabilities of Comcast following the Separation that arise relating to the operations of the our business during the time that it was a business segment of Comcast prior to the Separation, such as certain tax liabilities which relate to periods during which taxes of our business were reported as a part of Comcast; certain liabilities retained by Comcast which relate to contracts or other obligations entered into jointly by our business and Comcast’s retained business; certain environmental liabilities related to sites at which both Comcast and our business operated; and certain liabilities arising from third-party claims in respect of contracts in which both Comcast and our business supply goods or provide services.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Comcast has agreed to indemnify us for such contingent liabilities. While we have no reason to expect that Comcast will not be able to support its indemnification obligations to us, we can provide no assurance that Comcast will be able to fully satisfy its indemnification obligations or that such indemnity obligations will be sufficient to cover our liabilities for matters which Comcast has agreed to retain, including such contingent liabilities. Moreover, even if we ultimately succeed in recovering from Comcast any amounts for which we are indemnified, we may be temporarily required to bear these losses ourselves. Each of these risks could have a material adverse effect on our business, results of operations and financial condition.</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we incurred substantial indebtedness, which could restrict our business and adversely impact our cash flows, business, financial condition and results of operations.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Separation, on October 3, 2025, we entered into a credit agreement with respect to (i) a loan of $1.0 billion due January 2031 (the “Term Loan A”) and (ii) a revolving credit facility of $750 million due January 2031 (the “Revolving Credit Facility”) and on October 29, 2025, we entered into an indenture pursuant to which we issued $1.0 billion aggregate principal amount of 7.250% senior secured notes due 2031 (the “Senior Notes”). On January 2, 2026, we entered into a separate credit agreement providing for a term loan of $1.0 billion with a five-year term to maturity (the “Term Loan B ” and together with Term Loan A, the “Term Loans”). We used a portion of the proceeds of such indebtedness to make a cash payment of approximately $2.25 billion to Comcast as consideration for assets that were contributed to us in connection with the Separation, with the remainder being used for general corporate purposes. See “Item 7. Management’s Discussion and Analysis of Financial Condition and Results of Operations.” This level of debt could have significant consequences on our future operations,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such debt agreements, which could result in all of our debt becoming immediately due and payable;</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working capital, capital expenditures, acquisitions and other general corporate purposes and limiting our ability to obtain additional financing for these purposes;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any of our competitors that have less debt or are less leveraged.</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 above-listed factors could have an adverse effect on our business, financial condition and results of operations. We may also incur substantial additional indebtedness in the future.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be unable to service or refinance our debt or maintain compliance with restrictive covenants in our debt instruments. Our cash flow from operations will provide the primary source of funds for our debt service payments. If our cash flow from operations declines, we may be unable to service or refinance our current debt. If we fail to comply with any covenant in the future, including any financial covenant, it could result in an event of default and make the entire debt incurred thereunder immediately due and payable or we may be forced to sell assets, restructure our indebtedness or seek additional equity capital, which would dilute our shareholders’ interests.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terms of the indebtedness we have incurred include, and any future indenture or credit agreements that we may enter into may include, restrictive covenants that, subject to certain exceptions and qualifications, restrict or limit our ability and the ability of our subsidiaries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 The Separation may increase the overall cost of debt funding and decrease the overall debt capacity and commercial credit available to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potentially could have received better terms from unaffiliated third parties than the terms we will receive in our agreements with Comcast.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agreements we entered into with Comcast in connection with the Separation were negotiated while we were still part of Comcast’s business. Accordingly, during the period in which the terms of those agreements were negotiated, we did not have an independent Board of Directors or a management team independent of Comcast. The terms of the agreements negotiated in the context of the Separation relate to, among other things, the allocation of assets, intellectual property, liabilities, rights and other obligations between Comcast and us, and arm’s-length negotiations between Comcast and an unaffiliated third-party in another form of transaction, such as a buyer in a sale of a business transaction, may have resulted in more favorable terms to the unaffiliated third-party.</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Separation,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intended that the Separation, together with certain related transactions, will qualify as a “reorganization” within the meaning of Section 368(a)(1)(D) of the Code and a distribution to which Section 355 of the Code applies, and the distribution by Comcast of the proceeds from the $2.25 billion special cash payment made by Versant in connection with the Separation, will qualify as money distributed to Comcast creditors or shareholders in connection with the reorganization for purposes of Section 361(b) of the Code. We received the opinion of Davis Polk &amp; Wardwell LLP to the effect that such transactions will qualify for this intended tax treatment. In addition, it is intended that the Transactions generally will qualify as transactions that are tax-free for U.S. federal income tax and applicable non-U.S. tax purposes. The opinion relied on certain representations, assumptions and undertakings, including those relating to the past and future conduct of our business, and the opinion would not be valid if such representations, assumptions and undertakings were incorrect. Notwithstanding the opinion, the IRS could determine that the Separation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Comcast or us after the Separation.</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Separation, together with certain related transactions, fail to qualify for the intended tax treatment, for any reason, Comcast and/or holders of Comcast common stock could be subject to substantial U.S. and/or applicable non-U.S. taxes as a result of the Separation, and we could incur significant liabilities under applicable law or as a result of the tax matters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Separation is taxable to Comcast as a result of a breach by us of any covenant or representation made by us in the tax matters agreement, we generally will be required to indemnify Comcast and the obligation to make payments on this indemnification obligation could have a material adverse effect on us.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above, it is intended that the Separation, together with certain related transactions, will qualify as tax-free transactions to Comcast and to holders of Comcast common stock, except with respect to any cash received in lieu of fractional shares of common stock, and that the transactions generally will qualify as tax-free transactions. If the Separation and/or any of the related transactions are not so treated or are taxable to Comcast due to a breach by us (or any of our subsidiaries) of any covenant or representation made by us in the tax matters agreement, we generally will be required to indemnify Comcast for all tax-related losses suffered by Comcast. In addition, we will not control the resolution of any tax contest relating to taxes suffered by Comcast in connection with the Separation, and we may not control the resolution of tax contests relating to any other taxes for which we may ultimately have an indemnity obligation under the tax matters agreement. In the event that Comcast suffers tax-related losses in connection with the Separation that must be indemnified by us under the tax matters agreement, the indemnification liability could have a material adverse effect on 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significant restrictions on our actions following the Separation in order to avoid triggering significant tax-related liabilities.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matters agreement generally prohibits us from taking certain actions that could cause the Separation and certain related transactions to fail to qualify as tax-free transactions, including:</w:t>
      </w:r>
    </w:p>
    <w:p>
      <w:pPr>
        <w:spacing w:after="0" w:line="108" w:lineRule="exact"/>
        <w:rPr>
          <w:sz w:val="20"/>
          <w:szCs w:val="20"/>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January 2, 2026 (the “Separation Date”) (or otherwise pursuant to a “plan” within the meaning of Section 355(e) of the Code), we may not cause or permit certain business combinations or transactions to occur;</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Separation Date, we may not discontinue the active conduct of our business (within the meaning of Section 355(b)(2) of the Code);</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Separation Date, we may not sell or otherwise issue our common stock, other than pursuant to issuances that satisfy certain regulatory safe harbors set forth in Treasury regulations related to stock issued to employees and retirement plans;</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Separation Date, we may not redeem or otherwise acquire any of our common stock, other than pursuant to open-market repurchases of less than 20% of our common stock (in the aggregate);</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Separation Date, we may not amend our certificate of incorporation (or other organizational documents) or take any other action, whether through a shareholder vote or otherwise, affecting the voting rights of our common stock;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generally, we may not take any action that could reasonably be expected to cause certain steps of the Separation to fail to qualify as tax-free transactions for U.S. federal income tax purposes or for non-U.S. tax purposes.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tax matters agreement, we may take an action described above if, prior to taking such action, we obtain an IRS letter ruling or an acceptable opinion of tax counsel, upon which Comcast may rely, to the effect that taking such action will not affect the intended tax-free treatment of the Separation and certain related transactions. Even if we obtain such a ruling or opinion, and if we take any of the actions above and such actions result in tax-related losses to Comcast, we generally will be required to indemnify Comcast for such tax-related losses under the Tax Matters Agreement. Due to these restrictions and indemnification obligations under the tax matters agreement, we may be limited in our ability to pursue strategic transactions, equity or convertible debt financings or other transactions that may otherwise be in our best interests. Also, our potential indemnity obligation to Comcast might discourage, delay or prevent a change of control that our shareholders may consider favorable.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and trading volume of our Class A common stock may be volatile, and our shareholders could lose all or part of their investment in the Company.</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“when issued” trading market for our Class A common stock began on Nasdaq on December 15, 2025, and on January 5, 2026, our Class A common stock began “regular way” trading on Nasdaq under the ticker symbol “VSNT.” Prior to this, there was no trading market for shares of our Class A common stock. An active trading market may not develop or be sustained for our Class A common stock, and we cannot predict the prices at which our Class A common stock will trade in the future. The market price of our Class A common stock has, and could continue to, fluctuate significantly due to a number of factors, many of which are beyond our control,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or annual earnings results or those of other companies in our industry;</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operating results to meet the estimates of securities analysts or the expectations of our shareholders, or changes by securities analysts in their estimates of our future earnings;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customers, suppliers or competitors;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other companies in our industry;</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stock market conditions;</w:t>
      </w:r>
    </w:p>
    <w:p>
      <w:pPr>
        <w:spacing w:after="0" w:line="17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significant sales of our Class A common stock by our shareholders or the perception in the market of such sales, including, for instance, if index funds holding shares of Comcast Class A common stock pre-Separation would be required to sell the shares of our Class A common stock they received in the Separation because our Class A common stock may not be included in the Standard &amp; Poor’s 500 Index or other stock indices;</w:t>
      </w:r>
    </w:p>
    <w:p>
      <w:pPr>
        <w:spacing w:after="0" w:line="1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Class A common stock by us;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and elsewhere in this Annual Report on Form 10-K.</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in some cases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and bylaws and certain provisions of Pennsylvania law could delay or prevent a change in control of Versant.</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existence of certain provisions of our articles of incorporation and bylaws and Pennsylvania law could discourage, delay or prevent a change in control of Versant that a shareholder may consider favorable. These include provisions:</w:t>
      </w:r>
    </w:p>
    <w:p>
      <w:pPr>
        <w:spacing w:after="0" w:line="108"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right to our Board of Directors to issue one or more classes or series of preferred stock without shareholder approval;</w:t>
      </w:r>
    </w:p>
    <w:p>
      <w:pPr>
        <w:spacing w:after="0" w:line="17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 large number of shares of stock that are not yet issued, which would allow our Board of Directors to issue shares to persons friendly to current management, thereby protecting the continuity of our management, or which could be used to dilute the stock ownership of persons seeking to obtain control of us;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dual class common stock structure in which holders of shares of our Class B common stock will have substantial voting rights and separate approval rights over several potentially significant transactions;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shareholders from taking action by written consent; and</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other requirements for nominations of candidates for election to our Board of Directors or for proposing matters that can be acted on by shareholders at the annual shareholder meetings.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these provisions will protect our shareholders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apply even if a takeover offer may be considered beneficial by some shareholders and could delay or prevent an acquisition that our Board of Directors determines is not in our and our shareholders’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Versant may be diluted in the future.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future, your percentage ownership in Versant may be diluted because of equity issuances for acquisitions, strategic investments, capital market transactions or otherwise, including equity awards that we may grant to our directors, officers, employees and other service providers. Our Compensation Committee granted additional equity awards to our employees after the Separation. These awards would have a dilutive effect on our earnings per share, which could adversely affect the market price of our Class A common stock. From time to time, we may issue additional equity awards to our employees or independent contractors under our employee compensation and benefit plans.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articles of incorporation authorize us to issue, without the approval of our shareholders, one or more classes or series of preferred stock having such designations, powers, preferences and relative, participating, optional and other rights, and such qualifications, limitations or restrictions as our Board of Directors generally may determine. The terms of one or more classes or series of preferred stock could dilute the voting power or reduce the value of our Class A common stock. For example, we could grant holders of preferred stock the right to elect some number of our directors in all events or on the happening of specified events or the right to veto specified transactions. Similarly, the repurchase or redemption rights or dividend, distribution or liquidation preferences we could assign to holders of preferred stock could affect the residual value of the Class A common stock.</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and will be subordinate to all of our existing and future indebtedness and any preferred stock, and effectively subordinated to all indebtedness and preferred equity claims against our subsidiaries.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our common stock are common equity interests in us and, as such, will rank junior to all of our existing and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 Furthermore, our right to participate in a distribution of assets upon any of our subsidiaries’ liquidation or reorganization is subject to the prior claims of that subsidiary’s creditors and preferred shareholders.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our Board will declare dividends or that we will purchase our common stock pursuant to our share repurchase program in the foreseeable future.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may incur expenses or liabilities or be subject to other circumstances in the future that reduce or eliminate the amount of cash that we have available for distribution as dividends, including as a result of the risks described herein. Furthermore, although our Board of Directors has authorized a share repurchase program to repurchase of up to $1 billion of our Class A common stock, the timing, manner, price and amount of any common stock repurchases will be determined by the Company in its discretion and will depend on a variety of factors, including legal requirements, price and economic and market conditions. We are not obligated to make any purchases under the program, and we may discontinue it at any time.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Class B common stock has substantial voting rights and separate approval rights over certain potentially material transactions, and Brian 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Roberts, the Chairman and CEO of Comcast, has considerable influence over Versant through his beneficial ownership of our Class B common stock.</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Class B common stock has a non-dilutable 33 1/3% of the combined voting power of our Class A and Class B common stock. This non-dilutable voting power is subject to proportional decrease to the extent the number of shares of Class B common stock is reduced below 377,775, subject to adjustment in specified situations. Stock dividends payable on the Class B common stock in the form of Class B or Class A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the Chairman and CEO of Comcast, beneficially owns all of the outstanding shares of our Class B common stock and, accordingly, has considerable influence over Versant and the potential ability to transfer effective control by selling the Class B common stock, which could be at a premium. Mr. Roberts also owns all of the outstanding shares of Comcast Class B common stock and has considerable influence over Comcast. As a result, his interests could in certain cases conflict with ours and those of our other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a comprehensive cybersecurity program that is designed to assess, identify, and manage risks from cybersecurity threats that may result in material adverse effects on the confidentiality, integrity, and availability of data, networks, and technology assets across Versant.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oversees the Company’s enterprise risk management process, including the management and oversight of risks arising from cybersecurity threats. As part of the governance structure adopted in connection with the Separation, the Board has delegated to our Audit Committee oversight of our policies, practices, assessments and mitigation with respect to cybersecurity. The Audit Committee is tasked with regularly reviewing the measures implemented by the Company to identify and mitigate risks from cybersecurity threats. The Board and Audit Committee will receive reports and presentations from members of our team responsible for overseeing the Company’s cybersecurity risk management, including the Chief Information Security Officer (“CISO”) and our Chief Privacy Officer (“CPO”), which may address topics including recent developments, evolving standards, vulnerability assessments, third-party and independent reviews, the threat environment, cybersecurity incidents, and other cybersecurity considerations. The Audit Committee will report to the full Board on its discussions with the management team.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Day-to-day management of our cybersecurity strategy and operations is the responsibility of our CISO, who has over 15 years of experience in cybersecurity, risk management, and technology, including experience in broadcast media and production, and holds numerous industry certifications.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CISO’s experience and leadership is supplemented by the collective experience and expertise of our dedicated internal team of cybersecurity personnel. The CISO maintains three direct Vice President reports who oversee cyber defense operations; governance, risk, and compliance; and identity and security services. The team is further supported by a number of information security professionals, each of whom is responsible for coordinating the implementation, monitoring, training, and maintenance of cybersecurity and data protection practices across the Company. Our CISO and the cybersecurity team work closely and frequently with our CPO and Legal team to oversee compliance with legal, regulatory and contractual cybersecurity requirements.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CISO reports to our Chief Information Officer (“CIO”), who ultimately reports to our President of Operations and Technology (“O&amp;T”), and our Chief Financial Officer and Chief Operating Officer (“CFO and COO”), and is in regular communication with senior management regarding cybersecurity matters and risk management and provides routine updates to the Company’s senior leaders, including our Chief Executive Officer, CFO and COO, CIO, the President of O&amp;T, and General Counsel. As part of the Company’s incident response process, cybersecurity risk events of a certain criteria are communicated to certain individuals within the Company’s senior management, and under certain circumstances, where applicable and relevant, the Audit Committee. The Company has developed a practice of testing the effectiveness of its incidence response plan and assessing its response capabilities by conducting tabletop exercises involving detailed topical cybersecurity scenarios. The Company also has processes in place that are designed to facilitate that decisions regarding public disclosure and reporting of cybersecurity incidents can be made in a timely manner.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cybersecurity program, the framework for how we assess, identify and manage risks from information security and cybersecurity threats, incorporates and is designed in alignment with industry standards, including the National Institute of Standards and Technology (“NIST”) Cybersecurity Framework and the International Organization for Standardization 27001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program employs a layered defense-in-depth system, which includes the use of automated tools, managed by the cybersecurity team, to assess and protect the security of our enterprise-wide systems, our intellectual property, confidential information, and the data of our customers, partners and employees. Our layered approach includes fortifying our network perimeter through intrusion detection and prevention systems; securing individual devices with antivirus solutions, endpoint detection, and multifactor authentication; implementing network security measures and patch management; and ensuring the resilience of applications. We regularly monitor our technological environment, including through penetration and vulnerability scans, and security assessments. Our policy is to conduct regular employee trainings on cybersecurity, including tabletop exercises. In addition to our internal cybersecurity capabilities, we also at times engage consultants or other third parties to assist with assessing, identifying, and managing cybersecurity risks.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employs systems and processes designed to oversee, identify, and reduce the potential impact of a security incident at a third-party vendor, service provider, or customer. Where appropriate based on the data and intellectual property to which these providers are reasonably expected to have access, we conduct security assessments and due diligence reviews of third-party systems for compliance with our security standards, and we include data protection language in our agreements with such third parties.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cybersecurity Incident Response Plan that applies in the event of a cybersecurity threat or incident (the “IRP”) to provide a standardized framework for responding to security incidents. The IRP aligns to industry standards and sets out a coordinated approach focused on preparation; detection and analysis; containment, eradication and recovery; and post-incident remediation. The IRP applies to all Company personnel (including vendors and partners) that perform functions or services, and to all devices and network services that are owned or managed by the Company.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evolving cybersecurity threats, it has and will continue to be difficult to prevent, detect, mitigate, and remediate cybersecurity incidents. Despite ongoing efforts to continued improvement of our and our vendors’ ability to protect against cyber incidents, we may not be able to protect all information systems, and such incidents may lead to reputational harm, revenue and client loss, operational impact, legal actions, and statutory penalties, among other consequences. Based on the information available as of the date of this Annual Report on Form 10-K, we believe that since the Separation, risks from cybersecurity threats, including as a result of previous cybersecurity incidents, have not materially affected us, including our business strategy, results of operations or financial condition, and as of the date of this Annual Report on Form 10-K, the Company is not aware of any material risks from cybersecurity threats that are reasonably likely to do so.</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not experienced any material cybersecurity incidents, there can be no guarantee that we will not be the subject of future successful attacks, threats or incidents. Additional information on cybersecurity risks we face can be found in “Item 1A. Risk Factors” of this Annual Report on Form 10-K, which should be read in conjunction with the foregoing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are headquartered in New York City, New York and lease our headquarters. Additionally, we own our key operational hub located in Englewood Cliffs, New Jersey. We also lease additional offices, studios, production facilities, among others, in numerous locations in the United States and around the world.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to the combined financial statements included in this Annual Report on Form 10-K for a discussion of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198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“when issued” trading market for our Class A common stock began on Nasdaq on December 15, 2025. On January 5, 2026, our Class A common stock began trading on Nasdaq under the ticker symbol “VSNT.” Our Class B common stock is not listed on any stock exchange. Prior to December 15, 2025, there was no public market for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20, 2026, there were 213,654 holders of record of our Class A common stock and one holder of record of our Class B common stock. The number of beneficial owners of our Class A common stock is substantially greater than the number of record holders because many shares are held through brokers, banks and other nominees.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common stock in the aggregate hold 66 2/3% of the combined voting power of our common stock. The number of votes that each share of Class A common stock has at any given time depends on the number of shares of Class A common stock and Class B common stock then outstanding, with each share of Class B common stock having 15 votes per share. The Class B common stock represents 33 1/3% of the combined voting power of our common stock, which percentage is generally non-dilutable under the terms of our articles of incorporation.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Any future determination to declare cash dividends will be made at the discretion of our board of directors and will depend on a number of factors, including our operating results, financial condition, capital requirements, general business conditions, and any contractual restrictions on the payment of dividends under existing or future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recent sales of unregistered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any shares of Company common stock during the three-month period ended December 31, 2025.</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3, 2026, the Board of Directors authorized a share repurchase program (the “2026 Share Repurchase Program”) under which the Company may purchase up to $1 billion of its outstanding shares of Class A common stock. Under the 2026 Share Repurchase Program, repurchases can be made using a variety of methods, which may include open market purchases, block trades, privately negotiated transactions, accelerated share repurchase programs and/or Rule 10b5-1 or other non-discretionary trading plans. The timing, manner, price and amount of any common share repurchases under the 2026 Share Repurchase Program are determined by the Company in its discretion and depend on a variety of factors, including legal requirements, price and economic and market conditions. The 2026 Share Repurchase Program does not obligate the Company to acquire any particular number of common shares, and the program may be suspended, extended, modified or discontinued at any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combined financial statements and the accompanying notes included elsewhere in this Annual Report on Form 10-K. For more information about our company’s operations, see “Item 1. Business”. The following discussion and analysis includes forward-looking statements. These forward-looking statements are based on our current expectations and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Annual Report on Form 10-K, particularly in “Note About Forward Looking Statements” and “Item 1A. Risk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financial performance, which is presented on a combined basis as part of Comcast and does not reflect our expected cost structure in periods following the Separation:</w:t>
      </w:r>
    </w:p>
    <w:p>
      <w:pPr>
        <w:spacing w:after="0" w:line="108"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$6.69 billion and $7.06 billion for 2025 and 2024, respectively;</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Versant of $930 million and $1.36 billion for 2025 and 2024, respectively;</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$2.42 billion and $2.80 billion for 2025 and 2024, respectively. Adjusted EBITDA is a financial measure not defined by generally accepted accounting principles in the United States (“GAAP”). See “Non-GAAP Financial Measures” below for additional information, including our definition and use of Adjusted EBITDA and for a reconciliation from net income attributable to Versant to Adjusted EBITDA.</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 of $2.0 billion and $2.21 billion for 2025 and 2024, respectively.</w:t>
      </w:r>
    </w:p>
    <w:p>
      <w:pPr>
        <w:spacing w:after="0" w:line="167" w:lineRule="exact"/>
        <w:rPr>
          <w:sz w:val="20"/>
          <w:szCs w:val="20"/>
          <w:color w:val="auto"/>
        </w:rPr>
      </w:pPr>
    </w:p>
    <w:p>
      <w:pPr>
        <w:ind w:right="52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Recent Events and Factors Affecting Results of Operations and Comparability </w:t>
      </w:r>
      <w:r>
        <w:rPr>
          <w:rFonts w:ascii="Times New Roman" w:cs="Times New Roman" w:eastAsia="Times New Roman" w:hAnsi="Times New Roman"/>
          <w:sz w:val="18"/>
          <w:szCs w:val="18"/>
          <w:b w:val="1"/>
          <w:bCs w:val="1"/>
          <w:i w:val="1"/>
          <w:iCs w:val="1"/>
          <w:color w:val="auto"/>
        </w:rPr>
        <w:t>Transition to Standalone Company</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January 2, 2026, the Separation of Versant from Comcast was completed through the distribution of 100% of the shares of Versant Class A common stock and Versant Class B common stock (together, the “common stock”) to holders of Comcast Class A common stock and Comcast Class B common stock as of the close of business on the record date of December 16, 2025. In connection with the Separation, Comcast’s shareholders of record received one share of Versant Class A common stock or Class B common stock for every 25 shares of Comcast Class A common stock or Comcast Class B common stock, respectively, held as of the record date. Immediately after the separation, holders of Comcast’s common stock prior to the distribution owned 100% of our issued and outstanding shares. On January 5, 2026, Versant’s Class A common stock began trading on Nasdaq under the ticker symbol “VSNT”.</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our Separation, we became subject to the requirements of federal and state securities laws and Nasdaq stock exchange requirements. We have begun to establish additional procedures and practices as a standalone company and have started to, and will continue to, incur additional expenditures in connection with our transition to a standalone company, including employee-related costs, costs to establish certain standalone functions and information technology systems, and other transaction-related costs. In addition, we have incurred, and will continue to incur, incremental costs related to operating as a public company, such as external reporting, internal audit, treasury, investor relations, board of directors, and stock administration, and expanding the services of existing functions such as information technology, finance, supply chain, human resources, legal, tax, facilities and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Separation, we incurred approximately $3.0 billion of total debt, as further described in Note 8 to the combined financial statements and the “Liquidity” discussion below. Proceeds from the offering of our Senior Notes, together with a portion of the net proceeds of the borrowings under the Term Loans, were used to fund a special cash payment to Comcast of $2.25 billion and pay fees and expenses related to the financing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Held for Sale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2025, we initiated a process to sell our SportsEngine business and the related assets and liabilities are classified as held for sale in our combined balance sheet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periods presented in the combined financial statements included in this report, the Versant businesses were operated as part of Comcast.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in accordance with GAAP and pursuant to the rules and regulations of the SEC, which required allocations and other carve-out methodologies, using assumptions that management believes are reasonable. Accordingly, the combined financial statements herein for periods prior to the Separation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See Note 1 to our combined financial statement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business and marketplace factors that are impacting our business include the following:</w:t>
      </w:r>
    </w:p>
    <w:p>
      <w:pPr>
        <w:spacing w:after="0" w:line="167" w:lineRule="exact"/>
        <w:rPr>
          <w:sz w:val="20"/>
          <w:szCs w:val="20"/>
          <w:color w:val="auto"/>
        </w:rPr>
      </w:pPr>
    </w:p>
    <w:p>
      <w:pPr>
        <w:jc w:val="both"/>
        <w:ind w:left="660" w:hanging="328"/>
        <w:spacing w:after="0" w:line="25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Consumer Demand for Cable Television. </w:t>
      </w:r>
      <w:r>
        <w:rPr>
          <w:rFonts w:ascii="Times New Roman" w:cs="Times New Roman" w:eastAsia="Times New Roman" w:hAnsi="Times New Roman"/>
          <w:sz w:val="18"/>
          <w:szCs w:val="18"/>
          <w:color w:val="auto"/>
        </w:rPr>
        <w:t>The amount of revenue we earn from MVPD distribution has declined in recent years,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reflecting ongoing declines in MVPD subscriber levels due to evolving consumer preferences for consuming video content, and is expected to continue to decline in the future. As a result of these trends, we expect that our future success will depend on, among other things, our ability to compete with alternative content distribution platforms, our success in reaching new audiences by extending our content offerings through new distribution outlets, and our continued ability to distribute our networks on MVPDs.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Advertising. </w:t>
      </w:r>
      <w:r>
        <w:rPr>
          <w:rFonts w:ascii="Times New Roman" w:cs="Times New Roman" w:eastAsia="Times New Roman" w:hAnsi="Times New Roman"/>
          <w:sz w:val="18"/>
          <w:szCs w:val="18"/>
          <w:color w:val="auto"/>
        </w:rPr>
        <w:t>We derive significant revenue from selling advertising on our networks, and have experienced in recent years, and expect to continue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experience, declines in advertising revenue caused by shifts in advertiser priorities primarily due to increased competition for the leisure time of viewers, increased audience fragmentation and increased use of streaming and digital platforms (all of which we expect will continue in the foreseeable future), as well as by cyclical factors, such as election cycles and the timing of major sporting events, the availability of advertising-blocking technologies and macroeconomic conditions. In addition, lower audience ratings and reduced viewership, which our networks have experienced, and likely will continue to experience, affect pricing and the willingness of advertisers to purchase advertising.</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Growth of Digital Platforms. </w:t>
      </w:r>
      <w:r>
        <w:rPr>
          <w:rFonts w:ascii="Times New Roman" w:cs="Times New Roman" w:eastAsia="Times New Roman" w:hAnsi="Times New Roman"/>
          <w:sz w:val="18"/>
          <w:szCs w:val="18"/>
          <w:color w:val="auto"/>
        </w:rPr>
        <w:t>Our digital platforms generate revenue from selling advertising, providing services directly to consumers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selling cloud-based technology and related services. The growth of digital platforms continues to be shaped by evolving consumer behavior and broader macroeconomic conditions, including changes in consumer spending patterns, concerns about data privacy and evolving preferences for digital engagement through websites and mobile applications. Our revenue from our digital platforms has grown in recent years, and we expect that it will continue to grow as we invest in this growing portion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2" w:lineRule="exact"/>
        <w:rPr>
          <w:sz w:val="20"/>
          <w:szCs w:val="20"/>
          <w:color w:val="auto"/>
        </w:rPr>
      </w:pPr>
    </w:p>
    <w:p>
      <w:pPr>
        <w:jc w:val="both"/>
        <w:ind w:left="660" w:hanging="328"/>
        <w:spacing w:after="0" w:line="26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Competition for Programming. </w:t>
      </w:r>
      <w:r>
        <w:rPr>
          <w:rFonts w:ascii="Times New Roman" w:cs="Times New Roman" w:eastAsia="Times New Roman" w:hAnsi="Times New Roman"/>
          <w:sz w:val="18"/>
          <w:szCs w:val="18"/>
          <w:color w:val="auto"/>
        </w:rPr>
        <w:t>The market for programming has been, and we expect will continue to be, very competitive. In recent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sports programming in particular has become significantly more competitive and expensive. We expect to continue to devote significant resources to acquire sports programming in the future, and our ability to continue to provide compelling content will be vital to our success.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Impact of Macroeconomic Conditions. </w:t>
      </w:r>
      <w:r>
        <w:rPr>
          <w:rFonts w:ascii="Times New Roman" w:cs="Times New Roman" w:eastAsia="Times New Roman" w:hAnsi="Times New Roman"/>
          <w:sz w:val="18"/>
          <w:szCs w:val="18"/>
          <w:color w:val="auto"/>
        </w:rPr>
        <w:t>A substantial portion of our revenue is impacted by consumer spending patterns, which are affected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prevailing economic conditions. Downturns in global economic conditions have in the past, and may in the future, negatively affect the spending patterns of consumers and, as a result, our current and potential customers, advertisers, vendors and others with whom we do business.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Brand Value and Reputation. </w:t>
      </w:r>
      <w:r>
        <w:rPr>
          <w:rFonts w:ascii="Times New Roman" w:cs="Times New Roman" w:eastAsia="Times New Roman" w:hAnsi="Times New Roman"/>
          <w:sz w:val="18"/>
          <w:szCs w:val="18"/>
          <w:color w:val="auto"/>
        </w:rPr>
        <w:t>Our brand image, awareness and reputation strengthen our relationship with our audiences and can be important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drivers of consumer and advertiser engagement. We are establishing the Versant brand as a standalone public company and elevated public scrutiny, geopolitical tensions and rapid consumer reaction have heightened reputational concerns.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As a result of the Separation and costs associated with running an independent, publicly traded company,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and expect to continue to incur expenditures that are higher than historical allocations that were allocated pro rata based on revenue, which may have an impact on our profitability and operating cash flows.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evaluate these and other factors as we develop and execute our strategies. For more information on the risk factors affecting our business, see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6"/>
                <w:szCs w:val="16"/>
                <w:color w:val="auto"/>
              </w:rPr>
            </w:pPr>
          </w:p>
        </w:tc>
      </w:tr>
      <w:tr>
        <w:trPr>
          <w:trHeight w:val="23"/>
        </w:trPr>
        <w:tc>
          <w:tcPr>
            <w:tcW w:w="4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8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2024 to 2025</w:t>
            </w:r>
          </w:p>
        </w:tc>
        <w:tc>
          <w:tcPr>
            <w:tcW w:w="11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196"/>
        </w:trPr>
        <w:tc>
          <w:tcPr>
            <w:tcW w:w="43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76"/>
        </w:trPr>
        <w:tc>
          <w:tcPr>
            <w:tcW w:w="430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Costs of revenue (exclusive of depreciation and</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6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62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6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620" w:type="dxa"/>
            <w:vAlign w:val="bottom"/>
            <w:tcBorders>
              <w:bottom w:val="single" w:sz="8" w:color="CCEEFF"/>
            </w:tcBorders>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w:t>
            </w:r>
          </w:p>
        </w:tc>
        <w:tc>
          <w:tcPr>
            <w:tcW w:w="16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(30.9)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(11.0)</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11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1,539</w:t>
            </w:r>
          </w:p>
        </w:tc>
        <w:tc>
          <w:tcPr>
            <w:tcW w:w="162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(31.8)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(11.4)</w:t>
            </w:r>
          </w:p>
        </w:tc>
      </w:tr>
      <w:tr>
        <w:trPr>
          <w:trHeight w:val="250"/>
        </w:trPr>
        <w:tc>
          <w:tcPr>
            <w:tcW w:w="43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3"/>
        </w:trPr>
        <w:tc>
          <w:tcPr>
            <w:tcW w:w="43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color w:val="auto"/>
                <w:vertAlign w:val="superscript"/>
              </w:rPr>
              <w:t>(a)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3,060</w:t>
            </w: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(14.5)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(7.3)</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 changes that are considered not meaningful are denoted with NM.</w:t>
      </w:r>
    </w:p>
    <w:p>
      <w:pPr>
        <w:spacing w:after="0" w:line="113" w:lineRule="exact"/>
        <w:rPr>
          <w:sz w:val="20"/>
          <w:szCs w:val="20"/>
          <w:color w:val="auto"/>
        </w:rPr>
      </w:pPr>
    </w:p>
    <w:p>
      <w:pPr>
        <w:ind w:left="260" w:hanging="252"/>
        <w:spacing w:after="0" w:line="225" w:lineRule="auto"/>
        <w:tabs>
          <w:tab w:leader="none" w:pos="18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EBITDA is a non-GAAP financial measure. Refer to “Non-GAAP Financial Measures” for additional information, including our definition and our use of Adjusted EBITDA, and for a reconciliation from net income attributable to Versant to Adjusted EBITDA.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r>
      <w:tr>
        <w:trPr>
          <w:trHeight w:val="23"/>
        </w:trPr>
        <w:tc>
          <w:tcPr>
            <w:tcW w:w="4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8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2024 to 2025</w:t>
            </w:r>
          </w:p>
        </w:tc>
        <w:tc>
          <w:tcPr>
            <w:tcW w:w="1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196"/>
        </w:trPr>
        <w:tc>
          <w:tcPr>
            <w:tcW w:w="4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3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Linear distribution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5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6"/>
              </w:rPr>
              <w:t>(5.4) %</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(6.6) %</w:t>
            </w:r>
          </w:p>
        </w:tc>
      </w:tr>
      <w:tr>
        <w:trPr>
          <w:trHeight w:val="230"/>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5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Platforms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5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5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6"/>
              </w:rPr>
              <w:t>(8.5) %</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6,688</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7,445</w:t>
            </w:r>
          </w:p>
        </w:tc>
        <w:tc>
          <w:tcPr>
            <w:tcW w:w="15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w w:val="98"/>
              </w:rPr>
              <w:t>(5.3)%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(5.1)%</w:t>
            </w:r>
          </w:p>
        </w:tc>
      </w:tr>
    </w:tbl>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Linear distribution revenue </w:t>
      </w:r>
      <w:r>
        <w:rPr>
          <w:rFonts w:ascii="Times New Roman" w:cs="Times New Roman" w:eastAsia="Times New Roman" w:hAnsi="Times New Roman"/>
          <w:sz w:val="18"/>
          <w:szCs w:val="18"/>
          <w:color w:val="auto"/>
        </w:rPr>
        <w:t>primarily consists of revenue generated from the distribution of our television networks to traditional MVPDs, who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Linear distribution revenue decreased in 2025 and 2024</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primarily due to declines in the number of subscribers of 8% in each of these periods, respectively, partially offset by contractual rate increases.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experience continued declines in the number of subscribers and linear distribution revenue, as further discussed in “Key Factors Affecting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Advertising revenue </w:t>
      </w:r>
      <w:r>
        <w:rPr>
          <w:rFonts w:ascii="Times New Roman" w:cs="Times New Roman" w:eastAsia="Times New Roman" w:hAnsi="Times New Roman"/>
          <w:sz w:val="18"/>
          <w:szCs w:val="18"/>
          <w:color w:val="auto"/>
        </w:rPr>
        <w:t>consists of revenue generated from sales of advertising on our networks and digital platforms. The price charged for each 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based on website page or application visits.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revenue decreased in 2025 and 2024</w:t>
      </w:r>
      <w:r>
        <w:rPr>
          <w:rFonts w:ascii="Arial" w:cs="Arial" w:eastAsia="Arial" w:hAnsi="Arial"/>
          <w:sz w:val="14"/>
          <w:szCs w:val="14"/>
          <w:color w:val="auto"/>
        </w:rPr>
        <w:t>,</w:t>
      </w:r>
      <w:r>
        <w:rPr>
          <w:rFonts w:ascii="Times New Roman" w:cs="Times New Roman" w:eastAsia="Times New Roman" w:hAnsi="Times New Roman"/>
          <w:sz w:val="18"/>
          <w:szCs w:val="18"/>
          <w:color w:val="auto"/>
        </w:rPr>
        <w:t xml:space="preserve"> as compared to the corresponding prior year periods, primarily due to decreases at our networks as a result of ratings declines of 17% and 8%, respectively. Ratings for the year ended December 31, 2025 continued to be negatively impacted by trends in linear advertising, and experienced further declines following the presidential inauguration, which was partially offset by higher digital advertising revenue.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experience continued ratings declines at our networks and continued shifts toward digital advertising in future periods, and these trends are further discussed in “—Key Factors Affecting Our Business.”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Platforms revenue </w:t>
      </w:r>
      <w:r>
        <w:rPr>
          <w:rFonts w:ascii="Times New Roman" w:cs="Times New Roman" w:eastAsia="Times New Roman" w:hAnsi="Times New Roman"/>
          <w:sz w:val="18"/>
          <w:szCs w:val="18"/>
          <w:color w:val="auto"/>
        </w:rPr>
        <w:t>primarily consists of revenue generated from services provided through our digital platforms. The GolfNow, Fandango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SportsEngine platforms facilitate consumer transactions with golf courses, movie cinemas and studios, and youth sports leagues, respectively. Our GolfNow, Fandango and SportsEngine offerings also include cloud-based technology solutions and related services to golf courses, movie cinemas and youth sports organizations, respectively. We also offer subscription services, including CNBC’s branded offerings, which provide live and on-demand personal finance programming, and GolfPass, which offers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 We have generally concluded that we are the agent for the underlying transactions being executed through our platforms, and we therefore do not recognize revenue for each tee time booked, movie ticket sold, television or movie title rented or purchased, or sports registration.</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Platforms revenue increased in 2025 and 2024, primarily due to increased transactional volumes related to services provided to golf courses, including an increased number of courses using our on-site payment facilitation services. The increase in platform revenue for the year ended December 31, 2025 was partially offset by decreases in revenue related to movie ticket purchases through our platform resulting from underlying box office performance.</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Content licensing and other revenue </w:t>
      </w:r>
      <w:r>
        <w:rPr>
          <w:rFonts w:ascii="Times New Roman" w:cs="Times New Roman" w:eastAsia="Times New Roman" w:hAnsi="Times New Roman"/>
          <w:sz w:val="18"/>
          <w:szCs w:val="18"/>
          <w:color w:val="auto"/>
        </w:rPr>
        <w:t>consists of revenue generated from licensing our owned content to third parties, including television networks,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streaming services and other platforms, licensing audio feeds of our programming and original podcasts to digital platforms and other products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Content licensing and other revenue decreased in 2025, primarily due to timing of content licensing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6"/>
                <w:szCs w:val="16"/>
                <w:color w:val="auto"/>
              </w:rPr>
            </w:pPr>
          </w:p>
        </w:tc>
      </w:tr>
      <w:tr>
        <w:trPr>
          <w:trHeight w:val="23"/>
        </w:trPr>
        <w:tc>
          <w:tcPr>
            <w:tcW w:w="4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8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2024 to 2025</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196"/>
        </w:trPr>
        <w:tc>
          <w:tcPr>
            <w:tcW w:w="43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of Revenue</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3,154</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2.8 %</w:t>
            </w:r>
          </w:p>
        </w:tc>
      </w:tr>
    </w:tbl>
    <w:p>
      <w:pPr>
        <w:spacing w:after="0" w:line="2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Programming and production costs </w:t>
      </w:r>
      <w:r>
        <w:rPr>
          <w:rFonts w:ascii="Times New Roman" w:cs="Times New Roman" w:eastAsia="Times New Roman" w:hAnsi="Times New Roman"/>
          <w:sz w:val="18"/>
          <w:szCs w:val="18"/>
          <w:color w:val="auto"/>
        </w:rPr>
        <w:t>primarily consist of the amortization of licensed and owned content, including sports rights, direct production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overhead and on-air talent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Programming and production costs decreased in 2025, primarily due to lower costs associated with sports programming resulting from a reduced number of NASCAR events in the period pursuant to the terms of the current rights agreement commencing with the 2025 season, as well as the timing of other events. Programming and production costs in 2025 reflected lower reductions of programming and production costs of $48 million related to production tax incentives.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Programming and production costs decreased in 2024</w:t>
      </w:r>
      <w:r>
        <w:rPr>
          <w:rFonts w:ascii="Arial" w:cs="Arial" w:eastAsia="Arial" w:hAnsi="Arial"/>
          <w:sz w:val="14"/>
          <w:szCs w:val="14"/>
          <w:color w:val="auto"/>
        </w:rPr>
        <w:t>,</w:t>
      </w:r>
      <w:r>
        <w:rPr>
          <w:rFonts w:ascii="Times New Roman" w:cs="Times New Roman" w:eastAsia="Times New Roman" w:hAnsi="Times New Roman"/>
          <w:sz w:val="18"/>
          <w:szCs w:val="18"/>
          <w:color w:val="auto"/>
        </w:rPr>
        <w:t xml:space="preserve"> primarily due to a production tax incentive recognized in 2024 and resulting in a benefit of $58 million (see Note 4 to the combined financial statements), as well as lower costs associated with sports programming driven by the timing of events, and lower costs associated with entertainment content. Programming and production costs are our most significant costs of revenue and are further discussed in “Key Factors Affecting Our Business” above.</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Other costs of revenue </w:t>
      </w:r>
      <w:r>
        <w:rPr>
          <w:rFonts w:ascii="Times New Roman" w:cs="Times New Roman" w:eastAsia="Times New Roman" w:hAnsi="Times New Roman"/>
          <w:sz w:val="18"/>
          <w:szCs w:val="18"/>
          <w:color w:val="auto"/>
        </w:rPr>
        <w:t>primarily include direct costs associated with transactions supported by our platforms, such as fees for data related to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consumers and payment processing fees, and other platform and customer support costs.</w:t>
      </w:r>
    </w:p>
    <w:p>
      <w:pPr>
        <w:spacing w:after="0" w:line="117" w:lineRule="exact"/>
        <w:rPr>
          <w:sz w:val="20"/>
          <w:szCs w:val="20"/>
          <w:color w:val="auto"/>
        </w:rPr>
      </w:pPr>
    </w:p>
    <w:p>
      <w:pPr>
        <w:ind w:right="1940"/>
        <w:spacing w:after="0" w:line="438" w:lineRule="auto"/>
        <w:rPr>
          <w:sz w:val="20"/>
          <w:szCs w:val="20"/>
          <w:color w:val="auto"/>
        </w:rPr>
      </w:pPr>
      <w:r>
        <w:rPr>
          <w:rFonts w:ascii="Times New Roman" w:cs="Times New Roman" w:eastAsia="Times New Roman" w:hAnsi="Times New Roman"/>
          <w:sz w:val="18"/>
          <w:szCs w:val="18"/>
          <w:color w:val="auto"/>
        </w:rPr>
        <w:t>Other costs of revenue increased in 2025 and 2024</w:t>
      </w:r>
      <w:r>
        <w:rPr>
          <w:rFonts w:ascii="Arial" w:cs="Arial" w:eastAsia="Arial" w:hAnsi="Arial"/>
          <w:sz w:val="14"/>
          <w:szCs w:val="14"/>
          <w:color w:val="auto"/>
        </w:rPr>
        <w:t>,</w:t>
      </w:r>
      <w:r>
        <w:rPr>
          <w:rFonts w:ascii="Times New Roman" w:cs="Times New Roman" w:eastAsia="Times New Roman" w:hAnsi="Times New Roman"/>
          <w:sz w:val="18"/>
          <w:szCs w:val="18"/>
          <w:color w:val="auto"/>
        </w:rPr>
        <w:t xml:space="preserve"> primarily due to higher transactional volumes related to our digital platforms. </w:t>
      </w:r>
      <w:r>
        <w:rPr>
          <w:rFonts w:ascii="Times New Roman" w:cs="Times New Roman" w:eastAsia="Times New Roman" w:hAnsi="Times New Roman"/>
          <w:sz w:val="18"/>
          <w:szCs w:val="18"/>
          <w:b w:val="1"/>
          <w:bCs w:val="1"/>
          <w:i w:val="1"/>
          <w:iCs w:val="1"/>
          <w:color w:val="auto"/>
        </w:rPr>
        <w:t>Selling, General and Administrative Expense</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salaries, employee benefits, rent and other overhead expenses, including allocations of costs from Comcast related to shared functions and infrastructure.</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expense increased in 2025, primarily due to transaction and transaction-related costs associated with the Separation, which totaled $142 million, as well as an increase in the overall costs as we continued to build out functions in preparation for becoming a standalone public company, and partially reflecting lower allocated costs in the prior year period due to the inclusion of the incremental revenues generated by NBCUniversal’s broadcast of the Paris Olympics in the cost allocation methodology.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decreased in 2024</w:t>
      </w:r>
      <w:r>
        <w:rPr>
          <w:rFonts w:ascii="Arial" w:cs="Arial" w:eastAsia="Arial" w:hAnsi="Arial"/>
          <w:sz w:val="14"/>
          <w:szCs w:val="14"/>
          <w:color w:val="auto"/>
        </w:rPr>
        <w:t>,</w:t>
      </w:r>
      <w:r>
        <w:rPr>
          <w:rFonts w:ascii="Times New Roman" w:cs="Times New Roman" w:eastAsia="Times New Roman" w:hAnsi="Times New Roman"/>
          <w:sz w:val="18"/>
          <w:szCs w:val="18"/>
          <w:color w:val="auto"/>
        </w:rPr>
        <w:t xml:space="preserve"> primarily due to a decrease in allocated costs from Comcast. As discussed in “—Key Factors Affecting Our Business” and Note 11 to the combined financial statements, these costs were generally allocated on a pro rata basis using a measure based on revenue applied to the relevant pool of costs and may not be representative of our operating costs as a standalone company following the Separation.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includes amortization of certain acquisition-related intangible assets, which primarily relate to our television networks, as well as depreciation of property and equipment.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in 2025, primarily due to the acceleration of amortization of the MSNBC trade name as a result of rebranding the network. Depreciation and amortization remained consistent in 2024 and 2023. See Note 7 to the combined financial statements for additional information on our 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for the year ended December 31, 2025 was primarily due to interest accrued on our Senior Notes issued in October 2025. See Note 8 to the combined financial statements for additional information on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other income (loss), net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and other income (loss), net, for the year ended December 31, 2025 was primarily due to impairment losses related to nonmarketable equity securities, which were partially offset by interest income. See Note 5 to the combined financial statements for additional information on our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 was 24.2%, 25.9% and 25.6% in 2025, 2024 and 2023, respectively.</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decreases in income tax expense for 2025 and 2024 were primarily due to decreases in income before income taxes and 2025 also included a noncash income tax benefit resulting from a reduced valuation allowance due to a change in tax status of one of our subsidiaries.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to the combined financial statements for additional information on our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 as well as to assist in the evaluation of underlying trends in our business. This measure eliminates the significant level of noncash depreciation and amortization expense that results from property and equipment and intangible assets recognized in business combinations. It is also unaffected by our capital and tax structures, and by our investment activities, including the impacts of entities that we do not consolidate, as our management excludes these results when evaluating our operating performance. Our management and Board of Directors use this financial measure to evaluate our operating performance and to allocate resources.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other events, gains, losses or other charges that affect the period-to-period comparability of our operating performance.</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reconcile Adjusted EBITDA to net income attributable to Versant. This measure should not be considered a substitute for operating income (loss), net income (loss), net income (loss) attributable to Versant, or net cash provided by operating activities that we have reported in accordance with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Attributable to Versant to Adjusted EBITDA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(a)</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2,425</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3,060</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340" w:hanging="332"/>
        <w:spacing w:after="0" w:line="257" w:lineRule="auto"/>
        <w:tabs>
          <w:tab w:leader="none" w:pos="159"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Amounts represent the impact of certain events, gains, losses or other charges that are excluded from Adjusted EBITDA. For the periods presented, Adjusted EBITDA excludes transaction and transaction-related costs associated with the Separation.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660" w:type="dxa"/>
            <w:vAlign w:val="bottom"/>
            <w:gridSpan w:val="4"/>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r>
      <w:tr>
        <w:trPr>
          <w:trHeight w:val="23"/>
        </w:trPr>
        <w:tc>
          <w:tcPr>
            <w:tcW w:w="8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10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r>
      <w:tr>
        <w:trPr>
          <w:trHeight w:val="196"/>
        </w:trPr>
        <w:tc>
          <w:tcPr>
            <w:tcW w:w="8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40" w:type="dxa"/>
            <w:vAlign w:val="bottom"/>
            <w:gridSpan w:val="3"/>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7"/>
                <w:szCs w:val="17"/>
                <w:color w:val="auto"/>
              </w:rPr>
            </w:pPr>
          </w:p>
        </w:tc>
      </w:tr>
      <w:tr>
        <w:trPr>
          <w:trHeight w:val="23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transaction and transaction-related costs</w:t>
            </w:r>
          </w:p>
        </w:tc>
        <w:tc>
          <w:tcPr>
            <w:tcW w:w="10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2,211</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517"/>
        </w:trPr>
        <w:tc>
          <w:tcPr>
            <w:tcW w:w="6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r>
      <w:tr>
        <w:trPr>
          <w:trHeight w:val="23"/>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1,034</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983</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significant cash flows from operating activities. Prior to the Separation, and for the periods presented in this report, we operated within Comcast’s cash management structure, which used a centralized approach to cash management and financing of our operations. This arrangement is not reflective of the manner in which we would have financed our operations had we been an independent, publicly traded company during the periods presented.</w:t>
      </w:r>
    </w:p>
    <w:p>
      <w:pPr>
        <w:spacing w:after="0" w:line="1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Following the Separation, our capital structure and sources of liquidity have changed and we no longer participate in Comcast’s centralized cash management program. In connection with the Separation we issued $3.0 billion of total debt, including the Senior Notes issued in October 2025 and borrowings under the Term Loans drawn upon the Separation. These borrowings and the $750 million Revolving Credit Facility entered into in connection with the Separation are further described below and in Note 8 to the combined financial statements. A portion of the proceeds from these borrowings, including the restricted cash on our balance sheet as of December 31, 2025, was used to fund a cash payment to Comcast of $2.25 billion at the time of the Separation as consideration for assets that were contributed to us in connection with the Separation. In addition, certain net working capital amounts, including outstanding advertising sales receivables, were prefunded through a separate payment prior to the Separation, which will negatively impact net cash provided by operating activities in 2026.</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available cash and cash flows from our operating activities, along with our borrowing capacity and access to capital markets, taken as a whole, will provide adequate liquidity to meet our current and long-term obligations when due, including our third-party debt, and to fund capital expenditures, while also providing flexibility to fund investment opportunities that may arise. However, there can be no assurances that we will be able to obtain debt or equity financing on acceptable terms in the future.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utilize our cash flows to continue to invest across our business, whether through organic or inorganic growth strategies, as well as to repay our indebtedness over time and return value to our shareholders through dividends and repurchases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to the combined financial statements for additional information relating to our debt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Share Repurchase Authorization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 2026, our Board of Directors declared our first quarter dividend of $0.375 per share to be paid in April 2026.</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 2026, our Board of Directors also authorized a share repurchase program under which the Company may purchase up to $1 billion of its outstanding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2026 Share Repurchase Program, repurchases can be made using a variety of methods, which may include open market purchases, block trades, privately negotiated transactions, accelerated share repurchase programs and/or Rule 10b5-1 or other non-discretionary trading plans. The timing, manner, price and amount of any common share repurchases under the 2026 Share Repurchase Program are determined by the Company in its discretion and depend on a variety of factors, including legal requirements, price and economic and market conditions. The 2026 Share Repurchase Program does not obligate the Company to acquire any particular number of common shares, and the program may be suspended, extended, modified or discontinued at any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decreased for the year ended December 31, 2025 as compared to the year ended December 31, 2024, primarily due to a decline in net income caused by lower revenue and an increase in net loss on investment activity, as described above, which was partially offset by an increase from changes in operating assets and liabilities. The increase resulting from changes in operating assets and liabilities was primarily due to a net favorable change in other operating assets and liabilities related to timing of payments on content obligations, as well as a decrease in noncurrent receivables. Operating assets and liabilities in our combined statements of cash flows generally fluctuate based on the timing of amortization and related payments for our content costs and the timing of collections of receivables.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in the year ended December 31, 2024, as compared to the year ended December 31, 2023, primarily due to a decline in net income caused by decreasing revenue as described above. The decrease in operating assets and liabilities for the year ended December 31, 2024 was primarily due to a decrease in content costs, net, partially offset by an increase in current and noncurrent receivables, net.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Notes 1 and 11 to the combined financial statements and above in “—Liquidity and Capital Resources,” we have historically participated in Comcast’s centralized cash management process, and as a result, the amounts and timing of operating receipts and payments may not be indicative of our results as a standalone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investing primarily relates to capital expenditures, which increased for the year ended December 31, 2025 as a result of transaction-related capital spending for facilities and IT systems, and were consistent for the years ended December 31, 2024 and 2023. Net cash used in investing activities for the year ended December 31, 2025 also included consideration paid, net of cash acquired in connection with an acquisition. Such uses of cash in 2025 were partially offset by receivables settled in connection with the centralized cash management programs with Comcast. Other investing activities included net receipts from and payments to Comcast pursuant to loans associated with its centralized cash management programs. See Note 11 to our combined financial statements for additional information on these related party loans.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2025 decreased primarily due to changes in net Comcast investment, which primarily resulted from cash generated from operating activities and swept to Comcast during the periods, partially offset by increased capital expenditures funded through Comcast’s centralized cash management program. This decrease was offset by the net proceeds from the Senior Notes.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reduction in cash used in financing activities for the year ended December 31, 2024 was primarily due to changes in net Comcast investment, which primarily resulted from lower cash generated from operating activities and swept to Comcast during the periods. See Note 2 to our combined financial statements for additional information on net Comcast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most significant contractual obligations following the Separation: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Within the next 12</w:t>
            </w:r>
          </w:p>
        </w:tc>
        <w:tc>
          <w:tcPr>
            <w:tcW w:w="200" w:type="dxa"/>
            <w:vAlign w:val="bottom"/>
          </w:tcPr>
          <w:p>
            <w:pPr>
              <w:spacing w:after="0"/>
              <w:rPr>
                <w:sz w:val="13"/>
                <w:szCs w:val="13"/>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Beyond the next 12</w:t>
            </w:r>
          </w:p>
        </w:tc>
        <w:tc>
          <w:tcPr>
            <w:tcW w:w="0" w:type="dxa"/>
            <w:vAlign w:val="bottom"/>
          </w:tcPr>
          <w:p>
            <w:pPr>
              <w:spacing w:after="0"/>
              <w:rPr>
                <w:sz w:val="1"/>
                <w:szCs w:val="1"/>
                <w:color w:val="auto"/>
              </w:rPr>
            </w:pPr>
          </w:p>
        </w:tc>
      </w:tr>
      <w:tr>
        <w:trPr>
          <w:trHeight w:val="195"/>
        </w:trPr>
        <w:tc>
          <w:tcPr>
            <w:tcW w:w="66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months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95"/>
        </w:trPr>
        <w:tc>
          <w:tcPr>
            <w:tcW w:w="6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4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Programming and production obligations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312"/>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Debt obligations </w:t>
            </w:r>
            <w:r>
              <w:rPr>
                <w:rFonts w:ascii="Times New Roman" w:cs="Times New Roman" w:eastAsia="Times New Roman" w:hAnsi="Times New Roman"/>
                <w:sz w:val="23"/>
                <w:szCs w:val="23"/>
                <w:color w:val="auto"/>
                <w:vertAlign w:val="superscript"/>
              </w:rPr>
              <w:t>(2)</w:t>
            </w:r>
          </w:p>
        </w:tc>
        <w:tc>
          <w:tcPr>
            <w:tcW w:w="920" w:type="dxa"/>
            <w:vAlign w:val="bottom"/>
          </w:tcPr>
          <w:p>
            <w:pPr>
              <w:spacing w:after="0"/>
              <w:rPr>
                <w:sz w:val="24"/>
                <w:szCs w:val="24"/>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24"/>
                <w:szCs w:val="24"/>
                <w:color w:val="auto"/>
              </w:rPr>
            </w:pP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7" w:lineRule="exact"/>
        <w:rPr>
          <w:sz w:val="20"/>
          <w:szCs w:val="20"/>
          <w:color w:val="auto"/>
        </w:rPr>
      </w:pPr>
    </w:p>
    <w:p>
      <w:pPr>
        <w:ind w:left="260" w:hanging="252"/>
        <w:spacing w:after="0" w:line="246" w:lineRule="auto"/>
        <w:tabs>
          <w:tab w:leader="none" w:pos="182"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largest contractual obligations are associated with our programming and production expenses. We have multiyear agreements for broadcast rights of sporting events, which represent the substantial majority of our programming and production obligations. In connection with the Separation, we assumed additional contractual obligations related to content contracts previously shared with Comcast, which are included in the table above. Approximately 87% of the aggregate obligations are due within the next five years. See Note 4 to our combined financial statements for additional information on programming and production costs.</w:t>
      </w:r>
    </w:p>
    <w:p>
      <w:pPr>
        <w:spacing w:after="0" w:line="233" w:lineRule="exact"/>
        <w:rPr>
          <w:rFonts w:ascii="Times New Roman" w:cs="Times New Roman" w:eastAsia="Times New Roman" w:hAnsi="Times New Roman"/>
          <w:sz w:val="22"/>
          <w:szCs w:val="22"/>
          <w:color w:val="auto"/>
          <w:vertAlign w:val="superscript"/>
        </w:rPr>
      </w:pPr>
    </w:p>
    <w:p>
      <w:pPr>
        <w:ind w:left="260" w:hanging="252"/>
        <w:spacing w:after="0" w:line="235" w:lineRule="auto"/>
        <w:tabs>
          <w:tab w:leader="none" w:pos="196"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long-term debt as of December 31, 2025 included $1.0 billion of Senior Notes due in January 2031. As part of additional financing transactions entered into in connection with our Separation in January 2026, the Company borrowed amounts under the Term Loans totaling $2.0 billion, which are included in the table above. These aggregate debt obligations had a weighted-average time to maturity of approximately 5 years and a weighted-average interest rate based on the stated coupons of 6.6%. See Note 8 to our combined financial statements for additional information on our debt obligations.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our combined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estimates associated with the valuation and impairment testing of goodwill and the accounting for content costs are critical in the preparation of our combined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and Impairment Testing of Goodwill</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Goodwill results from business combinations and represents the excess amount of the consideration paid over the identifiable assets and liabilities recorded in the acquisition. Because Versant’s businesses were operated as a part of Comcast’s Media segment, our combined balance sheets include an allocated amount of goodwill from Comcast’s Media segment, which was determined using a relative fair value analysis as of July 1, 2024. This relative fair value analysis resulted in the allocation of approximately 40% of Comcast’s Media segment goodwill to Versant. The fair values utilized in the relative fair value analysis were estimated using a discounted cash flow analysis based on Level 3 inputs. When performing this analysis, we also considered multiples of earnings from comparable public companies and recent market transactions. We test goodwill for impairment at the reporting unit level. Impairment analysis was performed at the Comcast level as of July 1, 2024 and in prior periods and based on this assessment, the estimated fair value of the Media reporting unit, and therefore the estimated fair value of the Versant reporting unit, substantially exceeded its carrying value and no impairment was required.</w:t>
      </w:r>
    </w:p>
    <w:p>
      <w:pPr>
        <w:spacing w:after="0" w:line="1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For periods after the initial allocation, we assess the recoverability of our goodwill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In connection with our impairment assessment process, from time to time, we may perform quantitative assessments in order to support our qualitative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values of a reporting unit primarily based on a discounted cash flow analysis using Level 3 inputs that involves significant judgment, including market participant estimates of future cash flows expected to be generated by the business and the selection of discount rates. When performing this analysis, we also consider multiples of earnings from comparable public companies and recent market transactions.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Versant’s change in chief operating decision maker in 2025 (see Note 2 to our combined financial statements), we reassessed our reporting units. We performed a quantitative assessment in connection with this change and with our annual impairment assessment as of July 1, 2025 and concluded that the estimated fair value of the Versant reporting units substantially exceeded their carrying value and no impairment was required. At December 31, 2025, we performed an updated quantitative assessment for the reporting unit comprised primarily of our television networks, which includes $6.49 billion of goodwill, given the market price indications for our Class A common stock and the relative significance of this reporting unit to our overall business. In connection with this assessment, we concluded that the estimated fair value of our television networks reporting unit continued to exceed its carrying value by more than 10%. Continued declines in cash flows for this reporting unit are expected to result in reduced fair values in future periods, which could result in an impairment to the extent the fair value is below the carrying value of the assets assigned to that reporting unit.</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market conditions, laws and regulations and key assumptions made in future quantitative assessments, such as expected cash flows, competitive factors, discount rates and value indications from market transactions, including the market price of our Class A common stock, could negatively impact the results of future impairment testing and could result in the recognition of an impairment charge.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content is amortized as the associated programs are used, incorporating estimated viewing patterns.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capitalize costs for owned film and television content, including direct costs, production overhead, print costs, development costs and interest, as well as acquired libraries.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The most sensitive factor affecting our estimate of ultimate revenue is whether the television series can be successfully licensed beyond its initial window. Estimates of ultimate revenue generally are limited to the amount of revenue attributed to the initial window unless and until it is determined that the content can be licensed beyond the initial license window.</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Capitalized content costs are subject to impairment testing when certain triggering events are identified. The substantial majority of our owned content is evaluated for impairment on a group basis. Our licensed and owned content are generally assessed on a channel, network or platform basis. Sports rights are accounted for as executory contracts and are not subject to impairment. When performing an impairment assessment, we estimate fair value primarily based on a discounted cash flow analysis that involves significant judgment, including market participant estimates of future cash flows, which are supported by internal forecasts. Impairments of capitalized content costs were not material in any of the periods presented.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utilized over the contract term based on estimated relative value. Estimated relative value is generally based on terms of the contract and the nature of and potential revenue generation of the deliverables within the contract.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combined financial statements for recently issued and recently adopted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2025, we issued $1.0 billion in aggregate principal amount of 7.250% Senior Notes due in January 2031 and there was no debt outstanding as of December 31, 2024. While our Senior Notes bear a fixed rate of interest, in January 2026, we acquired additional financing in connection with the Separation, including the Term Loans totaling $2.0 billion and our $750 million Revolving Credit Facility due January 2031. As a result, our aggregate debt will be approximately $3.0 billion, a portion of which will bear interest at a benchmark rate plus a borrowing margin. As a result, we will be exposed to market risk of adverse changes in interest rates related to these arrangements. To help manage our exposure to changes in interest rates, we may enter into interest rate risk management derivative transactions in accordance with our policy. There were no such instruments outstanding for the periods presented in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72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Index</w:t>
            </w:r>
          </w:p>
        </w:tc>
        <w:tc>
          <w:tcPr>
            <w:tcW w:w="3960" w:type="dxa"/>
            <w:vAlign w:val="bottom"/>
            <w:tcBorders>
              <w:bottom w:val="single" w:sz="8" w:color="auto"/>
            </w:tcBorders>
            <w:gridSpan w:val="3"/>
          </w:tcPr>
          <w:p>
            <w:pPr>
              <w:jc w:val="center"/>
              <w:ind w:left="1630"/>
              <w:spacing w:after="0"/>
              <w:rPr>
                <w:sz w:val="20"/>
                <w:szCs w:val="20"/>
                <w:color w:val="auto"/>
              </w:rPr>
            </w:pPr>
            <w:r>
              <w:rPr>
                <w:rFonts w:ascii="Times New Roman" w:cs="Times New Roman" w:eastAsia="Times New Roman" w:hAnsi="Times New Roman"/>
                <w:sz w:val="18"/>
                <w:szCs w:val="18"/>
                <w:color w:val="auto"/>
              </w:rPr>
              <w:t>Page</w:t>
            </w:r>
          </w:p>
        </w:tc>
      </w:tr>
      <w:tr>
        <w:trPr>
          <w:trHeight w:val="182"/>
        </w:trPr>
        <w:tc>
          <w:tcPr>
            <w:tcW w:w="20" w:type="dxa"/>
            <w:vAlign w:val="bottom"/>
          </w:tcPr>
          <w:p>
            <w:pPr>
              <w:spacing w:after="0"/>
              <w:rPr>
                <w:sz w:val="15"/>
                <w:szCs w:val="15"/>
                <w:color w:val="auto"/>
              </w:rPr>
            </w:pPr>
          </w:p>
        </w:tc>
        <w:tc>
          <w:tcPr>
            <w:tcW w:w="72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3960" w:type="dxa"/>
            <w:vAlign w:val="bottom"/>
            <w:gridSpan w:val="3"/>
          </w:tcPr>
          <w:p>
            <w:pPr>
              <w:jc w:val="center"/>
              <w:ind w:left="1610"/>
              <w:spacing w:after="0" w:line="182" w:lineRule="exact"/>
              <w:rPr>
                <w:sz w:val="20"/>
                <w:szCs w:val="20"/>
                <w:color w:val="auto"/>
              </w:rPr>
            </w:pPr>
            <w:r>
              <w:rPr>
                <w:rFonts w:ascii="Times New Roman" w:cs="Times New Roman" w:eastAsia="Times New Roman" w:hAnsi="Times New Roman"/>
                <w:sz w:val="18"/>
                <w:szCs w:val="18"/>
                <w:color w:val="0000FF"/>
                <w:w w:val="99"/>
              </w:rPr>
              <w:t>43</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Combined Statements of Income</w:t>
            </w:r>
          </w:p>
        </w:tc>
        <w:tc>
          <w:tcPr>
            <w:tcW w:w="3040" w:type="dxa"/>
            <w:vAlign w:val="bottom"/>
            <w:gridSpan w:val="2"/>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45</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Combined Statements of Comprehensive Income</w:t>
            </w:r>
          </w:p>
        </w:tc>
        <w:tc>
          <w:tcPr>
            <w:tcW w:w="396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color w:val="0000FF"/>
                <w:w w:val="99"/>
              </w:rPr>
              <w:t>46</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Combined Statements of Cash Flows</w:t>
            </w:r>
          </w:p>
        </w:tc>
        <w:tc>
          <w:tcPr>
            <w:tcW w:w="860" w:type="dxa"/>
            <w:vAlign w:val="bottom"/>
            <w:gridSpan w:val="3"/>
          </w:tcPr>
          <w:p>
            <w:pPr>
              <w:spacing w:after="0"/>
              <w:rPr>
                <w:sz w:val="18"/>
                <w:szCs w:val="18"/>
                <w:color w:val="auto"/>
              </w:rPr>
            </w:pPr>
          </w:p>
        </w:tc>
        <w:tc>
          <w:tcPr>
            <w:tcW w:w="3720" w:type="dxa"/>
            <w:vAlign w:val="bottom"/>
            <w:gridSpan w:val="4"/>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47</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Combined Balance Sheets</w:t>
            </w:r>
          </w:p>
        </w:tc>
        <w:tc>
          <w:tcPr>
            <w:tcW w:w="820" w:type="dxa"/>
            <w:vAlign w:val="bottom"/>
            <w:gridSpan w:val="5"/>
          </w:tcPr>
          <w:p>
            <w:pPr>
              <w:spacing w:after="0"/>
              <w:rPr>
                <w:sz w:val="18"/>
                <w:szCs w:val="18"/>
                <w:color w:val="auto"/>
              </w:rPr>
            </w:pPr>
          </w:p>
        </w:tc>
        <w:tc>
          <w:tcPr>
            <w:tcW w:w="4580" w:type="dxa"/>
            <w:vAlign w:val="bottom"/>
            <w:gridSpan w:val="7"/>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48</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Combined Statements of Changes in Equity</w:t>
            </w:r>
          </w:p>
        </w:tc>
        <w:tc>
          <w:tcPr>
            <w:tcW w:w="4100" w:type="dxa"/>
            <w:vAlign w:val="bottom"/>
            <w:gridSpan w:val="5"/>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49</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Combined Financial Statements</w:t>
            </w:r>
          </w:p>
        </w:tc>
        <w:tc>
          <w:tcPr>
            <w:tcW w:w="200" w:type="dxa"/>
            <w:vAlign w:val="bottom"/>
          </w:tcPr>
          <w:p>
            <w:pPr>
              <w:spacing w:after="0"/>
              <w:rPr>
                <w:sz w:val="18"/>
                <w:szCs w:val="18"/>
                <w:color w:val="auto"/>
              </w:rPr>
            </w:pPr>
          </w:p>
        </w:tc>
        <w:tc>
          <w:tcPr>
            <w:tcW w:w="4100" w:type="dxa"/>
            <w:vAlign w:val="bottom"/>
            <w:gridSpan w:val="5"/>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50</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 1. Description of the Company and Basis of Presentation</w:t>
            </w:r>
          </w:p>
        </w:tc>
        <w:tc>
          <w:tcPr>
            <w:tcW w:w="396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color w:val="0000FF"/>
                <w:w w:val="99"/>
              </w:rPr>
              <w:t>50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 2. Summary of Significant Accounting Policies</w:t>
            </w:r>
          </w:p>
        </w:tc>
        <w:tc>
          <w:tcPr>
            <w:tcW w:w="680" w:type="dxa"/>
            <w:vAlign w:val="bottom"/>
            <w:gridSpan w:val="2"/>
          </w:tcPr>
          <w:p>
            <w:pPr>
              <w:spacing w:after="0"/>
              <w:rPr>
                <w:sz w:val="18"/>
                <w:szCs w:val="18"/>
                <w:color w:val="auto"/>
              </w:rPr>
            </w:pPr>
          </w:p>
        </w:tc>
        <w:tc>
          <w:tcPr>
            <w:tcW w:w="2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51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w w:val="97"/>
              </w:rPr>
              <w:t>Note 3. Revenue</w:t>
            </w:r>
          </w:p>
        </w:tc>
        <w:tc>
          <w:tcPr>
            <w:tcW w:w="2600" w:type="dxa"/>
            <w:vAlign w:val="bottom"/>
            <w:gridSpan w:val="12"/>
          </w:tcPr>
          <w:p>
            <w:pPr>
              <w:spacing w:after="0"/>
              <w:rPr>
                <w:sz w:val="18"/>
                <w:szCs w:val="18"/>
                <w:color w:val="auto"/>
              </w:rPr>
            </w:pPr>
          </w:p>
        </w:tc>
        <w:tc>
          <w:tcPr>
            <w:tcW w:w="3340" w:type="dxa"/>
            <w:vAlign w:val="bottom"/>
            <w:gridSpan w:val="3"/>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53</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Note 4. Costs of Revenue</w:t>
            </w:r>
          </w:p>
        </w:tc>
        <w:tc>
          <w:tcPr>
            <w:tcW w:w="5300" w:type="dxa"/>
            <w:vAlign w:val="bottom"/>
            <w:gridSpan w:val="11"/>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Note 5. Investments</w:t>
            </w:r>
          </w:p>
        </w:tc>
        <w:tc>
          <w:tcPr>
            <w:tcW w:w="400" w:type="dxa"/>
            <w:vAlign w:val="bottom"/>
            <w:gridSpan w:val="3"/>
          </w:tcPr>
          <w:p>
            <w:pPr>
              <w:spacing w:after="0"/>
              <w:rPr>
                <w:sz w:val="18"/>
                <w:szCs w:val="18"/>
                <w:color w:val="auto"/>
              </w:rPr>
            </w:pPr>
          </w:p>
        </w:tc>
        <w:tc>
          <w:tcPr>
            <w:tcW w:w="5300" w:type="dxa"/>
            <w:vAlign w:val="bottom"/>
            <w:gridSpan w:val="11"/>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 6. Property and Equipment</w:t>
            </w:r>
          </w:p>
        </w:tc>
        <w:tc>
          <w:tcPr>
            <w:tcW w:w="396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 7. Goodwill and Intangible Assets</w:t>
            </w:r>
          </w:p>
        </w:tc>
        <w:tc>
          <w:tcPr>
            <w:tcW w:w="396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 8. Debt Obligations</w:t>
            </w:r>
          </w:p>
        </w:tc>
        <w:tc>
          <w:tcPr>
            <w:tcW w:w="4300" w:type="dxa"/>
            <w:vAlign w:val="bottom"/>
            <w:gridSpan w:val="6"/>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60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Note 9. Income Taxes</w:t>
            </w:r>
          </w:p>
        </w:tc>
        <w:tc>
          <w:tcPr>
            <w:tcW w:w="160" w:type="dxa"/>
            <w:vAlign w:val="bottom"/>
          </w:tcPr>
          <w:p>
            <w:pPr>
              <w:spacing w:after="0"/>
              <w:rPr>
                <w:sz w:val="18"/>
                <w:szCs w:val="18"/>
                <w:color w:val="auto"/>
              </w:rPr>
            </w:pPr>
          </w:p>
        </w:tc>
        <w:tc>
          <w:tcPr>
            <w:tcW w:w="5400" w:type="dxa"/>
            <w:vAlign w:val="bottom"/>
            <w:gridSpan w:val="12"/>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62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Note 10. Commitments and Contingencies</w:t>
            </w:r>
          </w:p>
        </w:tc>
        <w:tc>
          <w:tcPr>
            <w:tcW w:w="4100" w:type="dxa"/>
            <w:vAlign w:val="bottom"/>
            <w:gridSpan w:val="5"/>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65</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Note 11. Related Parties</w:t>
            </w:r>
          </w:p>
        </w:tc>
        <w:tc>
          <w:tcPr>
            <w:tcW w:w="1300" w:type="dxa"/>
            <w:vAlign w:val="bottom"/>
            <w:gridSpan w:val="7"/>
          </w:tcPr>
          <w:p>
            <w:pPr>
              <w:spacing w:after="0"/>
              <w:rPr>
                <w:sz w:val="18"/>
                <w:szCs w:val="18"/>
                <w:color w:val="auto"/>
              </w:rPr>
            </w:pPr>
          </w:p>
        </w:tc>
        <w:tc>
          <w:tcPr>
            <w:tcW w:w="4100" w:type="dxa"/>
            <w:vAlign w:val="bottom"/>
            <w:gridSpan w:val="5"/>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65</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 12. Additional Financial Information</w:t>
            </w:r>
          </w:p>
        </w:tc>
        <w:tc>
          <w:tcPr>
            <w:tcW w:w="396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color w:val="0000FF"/>
                <w:w w:val="99"/>
              </w:rPr>
              <w:t>66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 13. Subsequent Events</w:t>
            </w:r>
          </w:p>
        </w:tc>
        <w:tc>
          <w:tcPr>
            <w:tcW w:w="4100" w:type="dxa"/>
            <w:vAlign w:val="bottom"/>
            <w:gridSpan w:val="5"/>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0000FF"/>
                <w:w w:val="99"/>
              </w:rPr>
              <w:t>67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ind w:right="506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Versant Media Group, Inc.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Versant Media Group, Inc. (the “Company”) as of December 31, 2025 and 2024, the related combined statements of income, comprehensive income,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4340"/>
        <w:spacing w:after="0" w:line="440"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Goodwill – Television networks reporting unit - Refer to Note 7 to the financial statements </w:t>
      </w:r>
      <w:r>
        <w:rPr>
          <w:rFonts w:ascii="Times New Roman" w:cs="Times New Roman" w:eastAsia="Times New Roman" w:hAnsi="Times New Roman"/>
          <w:sz w:val="18"/>
          <w:szCs w:val="18"/>
          <w:i w:val="1"/>
          <w:iCs w:val="1"/>
          <w:u w:val="single" w:color="auto"/>
          <w:color w:val="auto"/>
        </w:rPr>
        <w:t>Critical Audit Matter Description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evaluation of goodwill for impairment is performed at the reporting unit level. To determine its reporting units, the Company evaluates the components one level below the segment level and aggregates components if they have similar economic characteristics. The Company performs an assessment of goodwill for recoverability annually as of July 1, or more frequently whenever events or substantive changes in circumstances indicate that the assets might be impaired. A quantitative assessment considers whether the carrying amount of a reporting unit exceeds its fair value, in which case an impairment charge is recorded to the extent the reporting unit’s carrying value exceeds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Following Versant’s change in chief operating decision maker in 2025, the Company reassessed its reporting units. The Company performed a quantitative assessment in connection with this change and with the annual impairment assessment as of July 1, 2025, and concluded there was no impairment of any of its reporting units. The reporting unit comprised primarily of the Company’s television networks includes $6.49 billion of goodwill. The Company performed an updated quantitative assessment for this reporting unit as of December 31, 2025 given the market price indications for the Company’s Class A common stock and the relative significance of this reporting unit to the overall business. In connection with this assessment, the Company concluded that the estimated fair value of the television networks reporting unit continued to exceed its carrying value.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the discounted cash flow model to estimate fair values, which requires management to make significant judgments related to discount rates and forecasts of expected cash flows. Changes in these assumptions could have a significant impact on the respective fair values.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as a critical audit matter the goodwill relative fair value analysis as of July 1, 2025 and the quantitative goodwill impairment assessments as of July 1, 2025, and December 31, 2025, for the Company’s television networks reporting unit because of the significant judgments made by management to estimate the fair values used in these analyses. This required a high degree of auditor judgment and an increased extent of effort, when performing audit procedures to evaluate the reasonableness of management’s estimates and assumptions related to the selection of the discount rates, revenue growth rates and Adjusted EBITDA margins included in future expected cash flows used in the analysis.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procedures to evaluate the reasonableness of management’s estimates and assumptions related to the selection of the discount rates, revenue growth rates and Adjusted EBITDA margins included in future expected cash flows used by management to estimate the fair values of the television networks reporting unit included the following, among others:</w:t>
      </w:r>
    </w:p>
    <w:p>
      <w:pPr>
        <w:spacing w:after="0" w:line="122" w:lineRule="exact"/>
        <w:rPr>
          <w:sz w:val="20"/>
          <w:szCs w:val="20"/>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rates, including testing the source information underlying the determination of the discount rates, testing the mathematical accuracy of the calculations, and developing a range of independent estimates and comparing those to the discount rates selected by management.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 growth rates and Adjusted EBITDA margins by comparing prior year forecasts to actual results in the respective years.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current forecasts of future revenue growth rates and Adjusted EBITDA margins by comparing such forecasts to historical results, prior year forecasts, and to forecasted information included in analyst and industry reports and companies in its peer group.</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INCOME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23"/>
                <w:szCs w:val="23"/>
                <w:b w:val="1"/>
                <w:bCs w:val="1"/>
                <w:color w:val="auto"/>
                <w:vertAlign w:val="superscript"/>
              </w:rPr>
              <w:t>(a)</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6,688</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7,445</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Costs of revenue (exclusive of depreciation and amortization)</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2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(loss) income, net</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1,539</w:t>
            </w:r>
          </w:p>
        </w:tc>
      </w:tr>
      <w:tr>
        <w:trPr>
          <w:trHeight w:val="21"/>
        </w:trPr>
        <w:tc>
          <w:tcPr>
            <w:tcW w:w="6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20" w:hanging="212"/>
        <w:spacing w:after="0"/>
        <w:tabs>
          <w:tab w:leader="none" w:pos="2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 party amounts totaling $928 million, $1.26 billion and $1.34 billion for 2025, 2024 and 2023, respectively.</w:t>
      </w:r>
    </w:p>
    <w:p>
      <w:pPr>
        <w:spacing w:after="0" w:line="5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 party amounts totaling $1.24 billion, $1.42 billion and $1.42 billion for 2025, 2024 and 2023, respectively.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11 for amounts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$0 for each period</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Versant</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1,541</w:t>
            </w:r>
          </w:p>
        </w:tc>
      </w:tr>
      <w:tr>
        <w:trPr>
          <w:trHeight w:val="21"/>
        </w:trPr>
        <w:tc>
          <w:tcPr>
            <w:tcW w:w="6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11 for amounts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2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on investment activity and other</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Content costs, net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w:t>
            </w:r>
          </w:p>
        </w:tc>
      </w:tr>
      <w:tr>
        <w:trPr>
          <w:trHeight w:val="20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net Comcast investment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r>
      <w:tr>
        <w:trPr>
          <w:trHeight w:val="230"/>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year</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1,092</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0"/>
        </w:trPr>
        <w:tc>
          <w:tcPr>
            <w:tcW w:w="6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11 for amounts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3" w:name="page54"/>
    <w:bookmarkEnd w:id="53"/>
    <w:p>
      <w:pPr>
        <w:ind w:left="4300"/>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Receivables,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 held for sale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costs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12,049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employee costs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Comcast investment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Comcast equity</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12,049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11 for amounts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Comcast Investment</w:t>
            </w:r>
          </w:p>
        </w:tc>
        <w:tc>
          <w:tcPr>
            <w:tcW w:w="9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12,373</w:t>
            </w:r>
          </w:p>
        </w:tc>
      </w:tr>
      <w:tr>
        <w:trPr>
          <w:trHeight w:val="229"/>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Transactions with Comcast, net</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29"/>
        </w:trPr>
        <w:tc>
          <w:tcPr>
            <w:tcW w:w="6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23"/>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11,568</w:t>
            </w:r>
          </w:p>
        </w:tc>
      </w:tr>
      <w:tr>
        <w:trPr>
          <w:trHeight w:val="20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0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Reduction of noncontrolling interests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9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11,677</w:t>
            </w:r>
          </w:p>
        </w:tc>
      </w:tr>
      <w:tr>
        <w:trPr>
          <w:trHeight w:val="20"/>
        </w:trPr>
        <w:tc>
          <w:tcPr>
            <w:tcW w:w="6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11 for amounts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the Company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Versant Media Group, Inc. (“Versant”, the “Company”, “we”, “us”, “our”)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 NOW, Oxygen, E!, Syfy and Golf Channel, and digital platforms, including Fandango, Rotten Tomatoes, GolfNow and SportsEngine. On January 2, 2026, the separation (the “Separation”) of Versant from Comcast Corporation (“Comcast”) was completed. In connection with the completion of the Separation, the assets related to certain of Comcast’s cable television networks and digital platforms were contributed to, and the related liabilities were assumed by Versant in accordance with the separation and distribution agreement and other agreements entered into in connection with the Separation, as further described in Note 13. On January 5, 2026, our common stock began trading on The Nasdaq Stock Market LLC (“Nasdaq”) under the ticker symbol “VSNT”.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periods presented in these combined financial statements,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standalone basis in accordance with U.S. generally accepted accounting principles (“GAAP”) and pursuant to the rules and regulations of the U.S. Securities and Exchange Commission (“SEC”).</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combined balance sheets include assets and liabilities specifically attributable to the Company and certain assets and liabilities held by Comcast but specifically identifiable or otherwise attributable to our business. Assets and liabilities included in our combined balance sheets were based on an initial assessment as of December 31, 2024, and updated as necessary for new assets and liabilities resulting from transactions occurring subsequent to December 31, 2024, that were specifically identifiable or otherwise attributable to our business or in subsidiaries that are included in the combined financial statements. Accordingly, our combined balance sheets may not reflect the assets and liabilities of Versant following the Separation. Other than debt issued by Versant in 2025 (see Note 8), Comcast’s historical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combined statements of income include all revenues and costs directly attributable to our business, including costs related to production activities that used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11).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were handled through Comcast’s centralized cash management process or allocated to us and were generally deemed settled for cash at the time the transactions are recorded in these combined financial statements. The total net effect of the deemed settlement of these transactions is included in net Comcast investment and the net effect of changes in net Comcast investment is presented in financing activities in the combined statements of cash flows Centralized cash management balances related to certain of our operations were executed through formal loan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6" w:name="page57"/>
    <w:bookmarkEnd w:id="56"/>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therefore presented in assets or liabilities, as applicable. These and other transactions between the Company and Comcast are included in the combined financial statements and are considered related party transactions. See Note 11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combined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Accounting policies related to the capitalization and amortization of film and television costs are specific to the industries in which we operate and are discussed in Note 4.</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on other accounting policies and methods that we use in the preparation of our combined financial statements are included, where applicable, in their respective footnotes that follow. Below is a discussion of accounting policies and methods used in our combined financial statements that are not presented within other footnotes.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historically participated in Comcast’s centralized approach to cash management and financing of its operations. Our cash was generally collected by Comcast daily, and Comcast funds our operating and investing activities as needed. Accordingly, our cash and cash equivalents represent directly attributed balances and do not include an allocation of Comcast cash and cash equivalents for any of the periods presented. Cash equivalents consist of highly liquid investments with original maturities of three months or less when purchased. The carrying amounts of our cash equivalents approximate their fair values, which are primarily based on Level 1 inputs.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at December 31, 2025 included proceeds from the senior notes offering held in escrow until the consummation of the Separation on January 2, 2026 (see Note 8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totaled $109 million, $82 million and $105 million in 2025, 2024 and 2023, respectively, included in selling, general and administrative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Comcast restricted stock units (“RSUs”) to certain employees as part of our long-term incentive compensation structure. Awards generally vest over a period of three to five years. The cost associated with our share-based compensation is based on an award’s estimated fair value at the date of grant and is recognized over the period in which any related services are provided. RSUs are primarily valued based on the closing price of Comcast’s common stock on the date of grant and are discounted for the lack of dividends, if any, during the vesting period. Share-based compensation expense for shared employees is included in allocated costs. Share-based compensation expense directly attributable to Versant was not material for the periods presented.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guidance related to fair value measurements establishes a hierarchy based on the types of inputs used for the various valuation techniques.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levels of the hierarchy are described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Values are determined using quoted market prices for identical financial instruments in an active market.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this three-tier fair value hierarchy to measure the fair value of certain financial instruments on a recurring basis, such as for investments (see Note 5), on a non-recurring basis, such as for impairment testing (see Note 7) and for disclosure purposes, such as for debt (see Note 8). Our assessment of the significance of a particular input to the fair value measurement requires judgment and may affect the valuation and classification within the fair value hierarchy.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translate assets and liabilities of our foreign operations where the functional currency is the local currency into U.S. dollars at the exchange rate as of the balance sheet date and translate revenue and expenses using average periodic exchange rates. The related translation adjustments are recorded as a component of accumulated other comprehensive income (loss) in our combined balance sheets. Other comprehensive income activity and balances were entirely attributed currency translation adjustments for the periods included in these combined financial statements. Any foreign currency transaction gains or losses are included in our combined statements of income in investment and other income (loss), net. For disclosures containing future amounts where the functional currency is the local currency, we translate the amounts into U.S. dollars at the exchange rates as of the balance sheet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Comcast Investment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Equity in the combined balance sheets represents Comcast’s net investment in our business and is presented as net Comcast investment in lieu of stockholders’ equity. The combined statement of changes in equity includes net cash transfers and other property transfers between us and Comcast, as well as intercompany receivables and payables between us and other Comcast affiliates that were settled on a current basis within transactions with Comcast, net. Additionally, net Comcast investment is impacted by assets and liabilities that have historically been held at the Comcast level but are specifically identifiable or otherwise attributable to us, and other assets and liabilities recorded by Comcast, whose related income and expenses have been pushed down to us. All transactions reflected in net Comcast investment in the combined balance sheet have been considered cash receipts and payments within financing activities in the combined statements of cash flows. See Note 11 for more information.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data has not been presented in the combined financial statements because we did not operate as a separate legal entity with its own capital structure during any of the periods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our operations in one reportable business segment and beginning in 2025, our Chief Executive Officer was the chief operating decision maker (“CODM”). Our business operates complementary brands, generating revenue through contracts or monetization strategies that span across brands, and leveraging integrated operational infrastructure.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combined financial statements, with further details included throughout the footnotes, including a description of our products and services in Note 3 and certain of our significant operating expenses in Note 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Disclosures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guidance, among other things, required additional disclosures relating to the income tax rate reconciliation and income taxes paid. We have adopted the updated guidance in this Annual Report on Form 10-K for the year ended December 31, 2025 with comparative periods updated to reflect the additional disclosures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Income Statement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with our Annual Report on Form 10-K for the year ended December 31,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updated accounting guidance related to internal-use software. The updated guidance eliminates references to software project stages and clarifies that capitalization of internal-use software costs should begin once management authorizes and commits to funding a software project and it is probable that the project will be completed and used as intended. The updated guidance is effective for us as of January 1, 2028, with early adoption permitted. We are in the process of evaluating the impact of this accounting guidance on our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updated accounting guidance on interim reporting. The updated guidance establishes a principle requiring entities to disclose events occurring after the end of the most recent annual reporting period that have a material impact on the entity, as well as clarifies the applicability of interim disclosure requirements. The guidance does not change the fundamental nature of interim reporting or expand or reduce current interim disclosure requirements. The guidance is effective for us beginning in interim periods after January 1, 2028, with early adoption permitted. We are in the process of determining the impact of this accounting guidance on our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new accounting guidance on the recognition, measurement and presentation of government grants received by business entities. The new guidance defines government grants, clarifies their scope and provides a recognition threshold under which a grant is recognized when it is probable the entity will comply with the grant’s conditions and that the grant will be received. The updated guidance is effective for us as of January 1, 2029, and early adoption is permitted. We are in the process of determining the impact of this accounting guidance on our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Linear distribution</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revenue from the distribution of television programming in the United States and in certain international markets to traditional multichannel video providers and to virtual multichannel video providers that offer streamed linear television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Monthly fees received under distribution agreements with multichannel video providers are generally under multiyear agreements with revenue based on the number of subscribers receiving our television networks through the provider and a per subscriber fee. Payment terms and conditions vary by contract type, although terms generally include payment within 60 days. These arrangements are accounted for as licenses of functional intellectual property and revenue is recognized as programming is provided.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revenue from the sale of advertising on our linear television networks and digital platforms.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determined that a contract exists for our advertising sales once all terms and conditions are agreed upon, typically when the number of advertising units is specifically identified and scheduled. Advertisements are generally aired or delivered within one year once all terms and conditions are agreed upon. Revenue is recognized, net of agency commissions, in the period in which advertisements are aired or delivered and payment occurs thereafter, with payment generally required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 The amount of future revenue to be earned related to fixed price contracts with advertisers in excess of one year totaled $234 million as of December 31, 2025, which will be recognized over the next 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Our platforms facilitate consumer transactions, including tee time reservations at golf courses, the purchase of movie tickets, the rental or purchase of television and movie titles for streaming and registration with youth sports leagues. We also sell technology and related services to golf courses, movie theaters and youth sports organizations that leverage our platform, and also offer consumer subscription services, which provide access to streaming content.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generally have concluded that we are an agent for the underlying consumer transactions on our platforms, and we therefore do not recognize the direct revenue from the sale of the golf rounds, movie tickets, television or movie titles rentals or purchases, or sports registrations.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End-consumers using our movie ticket and tee time platforms pay transaction-based fees. These fees are generally charged to customer credit cards and revenue is recognized at the time of the transaction based on the fee charged. We offer gift cards that customers may use for certain of our consumer services, primarily related to our movie ticket platform. We record a liability for estimated future gift card redemptions. We estimate the portion of these gift cards that will not be redeemed over time (“breakage”) based on historical redemption patterns. As of December 31, 2025 and 2024, the gift card liability for our movie ticket platform was $51 million and $53 million, respectively, including $36 million and $37 million in accrued expenses and other current liabilities, respectively, with the remainder presented in other noncurrent liabilities. Revenue recorded related to breakage on these gift cards was $12 million for the year ended December 31, 2025 and $15 million for each of the years ended December 31, 2024 and 2023.</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technology solutions provide customers access to our cloud-based applications. Contracts for these and our agency services generally have terms ranging from one year to three years with consideration due over the contract term taking multiple forms, including variable amounts tied to the value of specified tee times, which we generally receive directly from the end consumer, a percentage of amounts charged for specified transactions or fixed amounts paid by the customer. We recognize revenue for technology solutions and agency services as the services are provided over the contract term based on our share of the underlying transactions or on a straight-line basis for fixed fee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additional services to customers receiving our technology services including payment processing and other services related to customer operations. Payment processing fees are based on a percentage of each transaction processed and are recognized as transactions occur. Consideration for other services may be a fixed fee or based on variable amounts and are recognized as services are provided over the contract period. Revenue from customers that purchase multiple services is allocated between the separate services based on the respective standalone selling prices.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Subscription services are generally offered based on fixed amounts with monthly or annual terms. Subscription fees for the term are generally fixed and nonrefundable, and we recognize revenue over the term of the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generate revenue from the licensing of our owned content to television networks and direct-to-consumer streaming service providers, as well as through video on demand services provided by multichannel video providers and other service providers. These agreements generally include fixed pricing and span multiple years.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when the content is delivered and available for use by the licensee. When the term of an existing agreement is renewed or extended, we recognize revenue when the licensed content becomes available under the renewal or extension. Payment terms and conditions vary by contract type, although payments are generally collected over the license term. The amount of future revenue to be earned related to fixed pricing under existing third-party agreements is $88 million, which will be recognized within one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5"/>
          </w:tcPr>
          <w:p>
            <w:pPr>
              <w:jc w:val="right"/>
              <w:ind w:right="90"/>
              <w:spacing w:after="0"/>
              <w:rPr>
                <w:sz w:val="20"/>
                <w:szCs w:val="20"/>
                <w:color w:val="auto"/>
              </w:rPr>
            </w:pPr>
            <w:r>
              <w:rPr>
                <w:rFonts w:ascii="Times New Roman" w:cs="Times New Roman" w:eastAsia="Times New Roman" w:hAnsi="Times New Roman"/>
                <w:sz w:val="14"/>
                <w:szCs w:val="14"/>
                <w:color w:val="auto"/>
              </w:rPr>
              <w:t>(in millions)</w:t>
            </w:r>
          </w:p>
        </w:tc>
        <w:tc>
          <w:tcPr>
            <w:tcW w:w="1040" w:type="dxa"/>
            <w:vAlign w:val="bottom"/>
          </w:tcPr>
          <w:p>
            <w:pPr>
              <w:spacing w:after="0"/>
              <w:rPr>
                <w:sz w:val="16"/>
                <w:szCs w:val="16"/>
                <w:color w:val="auto"/>
              </w:rPr>
            </w:pPr>
          </w:p>
        </w:tc>
      </w:tr>
      <w:tr>
        <w:trPr>
          <w:trHeight w:val="23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gross</w:t>
            </w:r>
          </w:p>
        </w:tc>
        <w:tc>
          <w:tcPr>
            <w:tcW w:w="10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6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8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Changes in Allowance for Credit Losses</w:t>
            </w:r>
          </w:p>
        </w:tc>
        <w:tc>
          <w:tcPr>
            <w:tcW w:w="1040" w:type="dxa"/>
            <w:vAlign w:val="bottom"/>
          </w:tcPr>
          <w:p>
            <w:pPr>
              <w:spacing w:after="0"/>
              <w:rPr>
                <w:sz w:val="24"/>
                <w:szCs w:val="24"/>
                <w:color w:val="auto"/>
              </w:rPr>
            </w:pPr>
          </w:p>
        </w:tc>
      </w:tr>
      <w:tr>
        <w:trPr>
          <w:trHeight w:val="23"/>
        </w:trPr>
        <w:tc>
          <w:tcPr>
            <w:tcW w:w="6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 allowance, net of recoveries and other</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0"/>
        </w:trPr>
        <w:tc>
          <w:tcPr>
            <w:tcW w:w="6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most significant accounts receivable balances relate to our linear distribution agreements with large multichannel video providers. As of December 31, 2025 and 2024, our ten largest multichannel video provider customers accounted for approximately 56% and 55% of our total accounts receivable, respectively. For each of the periods presented, revenues from arrangements with Comcast totaled between 10% and 11% of our total revenue. Refer to Note 11 for revenue and accounts receivable information related to distribution and other arrangements with Comcast. In addition, for the year ended December 2025, revenue from one other customer represented 11% of our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Costs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3,154</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Production Costs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4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2,724</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incur costs related to the license of the rights to use content owned by third parties and sports rights on our television networks and digital platforms, and related to the production and acquisition of owned content, which are described as licensed and owned content, respectively. Programming and production costs are presented in costs of revenue in our combined statements of income and the related capitalized amounts are presented in content costs in our combined balance sheets. We have determined that the predominant monetization strategy for the substantial majority of our content is on a group basis. In 2025 and 2024, we recorded reductions of programming and production costs related to production tax incentives of $10 million and $58 million, respectively, along with corresponding noncurrent receivables.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Content Costs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436</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73</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80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Content costs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539</w:t>
            </w:r>
          </w:p>
        </w:tc>
        <w:tc>
          <w:tcPr>
            <w:tcW w:w="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estimated future amortization expense for the next three years for capitalized content costs recorded in our combined balance sheets as of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Licensed</w:t>
            </w:r>
          </w:p>
        </w:tc>
        <w:tc>
          <w:tcPr>
            <w:tcW w:w="520" w:type="dxa"/>
            <w:vAlign w:val="bottom"/>
          </w:tcPr>
          <w:p>
            <w:pPr>
              <w:spacing w:after="0"/>
              <w:rPr>
                <w:sz w:val="16"/>
                <w:szCs w:val="16"/>
                <w:color w:val="auto"/>
              </w:rPr>
            </w:pPr>
          </w:p>
        </w:tc>
        <w:tc>
          <w:tcPr>
            <w:tcW w:w="11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23"/>
        </w:trPr>
        <w:tc>
          <w:tcPr>
            <w:tcW w:w="8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16"/>
                <w:szCs w:val="16"/>
                <w:color w:val="auto"/>
              </w:rPr>
            </w:pPr>
          </w:p>
        </w:tc>
      </w:tr>
      <w:tr>
        <w:trPr>
          <w:trHeight w:val="236"/>
        </w:trPr>
        <w:tc>
          <w:tcPr>
            <w:tcW w:w="8020" w:type="dxa"/>
            <w:vAlign w:val="bottom"/>
            <w:shd w:val="clear" w:color="auto" w:fill="CCEEFF"/>
          </w:tcPr>
          <w:p>
            <w:pPr>
              <w:jc w:val="right"/>
              <w:ind w:right="7550"/>
              <w:spacing w:after="0"/>
              <w:rPr>
                <w:sz w:val="20"/>
                <w:szCs w:val="20"/>
                <w:color w:val="auto"/>
              </w:rPr>
            </w:pPr>
            <w:r>
              <w:rPr>
                <w:rFonts w:ascii="Times New Roman" w:cs="Times New Roman" w:eastAsia="Times New Roman" w:hAnsi="Times New Roman"/>
                <w:sz w:val="18"/>
                <w:szCs w:val="18"/>
                <w:color w:val="auto"/>
                <w:w w:val="99"/>
              </w:rPr>
              <w:t>2026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171</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020" w:type="dxa"/>
            <w:vAlign w:val="bottom"/>
          </w:tcPr>
          <w:p>
            <w:pPr>
              <w:jc w:val="right"/>
              <w:ind w:right="7550"/>
              <w:spacing w:after="0"/>
              <w:rPr>
                <w:sz w:val="20"/>
                <w:szCs w:val="20"/>
                <w:color w:val="auto"/>
              </w:rPr>
            </w:pPr>
            <w:r>
              <w:rPr>
                <w:rFonts w:ascii="Times New Roman" w:cs="Times New Roman" w:eastAsia="Times New Roman" w:hAnsi="Times New Roman"/>
                <w:sz w:val="18"/>
                <w:szCs w:val="18"/>
                <w:color w:val="auto"/>
                <w:w w:val="99"/>
              </w:rPr>
              <w:t>2027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109</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020" w:type="dxa"/>
            <w:vAlign w:val="bottom"/>
            <w:shd w:val="clear" w:color="auto" w:fill="CCEEFF"/>
          </w:tcPr>
          <w:p>
            <w:pPr>
              <w:jc w:val="right"/>
              <w:ind w:right="7550"/>
              <w:spacing w:after="0"/>
              <w:rPr>
                <w:sz w:val="20"/>
                <w:szCs w:val="20"/>
                <w:color w:val="auto"/>
              </w:rPr>
            </w:pPr>
            <w:r>
              <w:rPr>
                <w:rFonts w:ascii="Times New Roman" w:cs="Times New Roman" w:eastAsia="Times New Roman" w:hAnsi="Times New Roman"/>
                <w:sz w:val="18"/>
                <w:szCs w:val="18"/>
                <w:color w:val="auto"/>
                <w:w w:val="99"/>
              </w:rPr>
              <w:t>2028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76</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future minimum commitments for licensed content that are not recognized in our combined balance sheets as of December 31, 2025 totaling $110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Capitalization and Recognition of Content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content is amortized as the associated programs are used, incorporating estimated viewing patterns.</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capitalize costs for owned content, including direct costs, production overhead, print costs, development costs and interest, as well as acquired titles.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airing patterns and distribution strategies, public acceptance and historical results for similar productions. We do not capitalize costs associated with marketing and distribution.</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Licensed and owned content are presented as noncurrent assets in content costs. We present amortization of licensed and owned content and accrued costs associated with participations and residuals payments in programming and production costs.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Production activities may be eligible for tax incentives from certain state, local or foreign jurisdictions. These incentives generally provide for transferable or redeemable tax credits upon meeting established levels of qualified production spending within a participating jurisdiction. We record a receivable for a production tax incentive program when there is a reasonable assurance of collection with a corresponding reduction of capitalized content costs or programming and production costs, as applicable.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an event or a change in circumstance occurs that was known or knowable as of the balance sheet date and that indicates the fair value of either licensed or owned content is less than the unamortized costs in the balance sheet, we determine the fair value and record an impairment charge to the extent the unamortized costs exceed the fair value. Licensed and owned content is assessed in identified film groups, which are generally on a channel, network or platform basis, for content predominantly monetized with other content. Licensed content that is not part of a film group is also generally assessed in packages or channels. Owned content that is not part of a film group is assessed individually. Estimated fair values of licensed and owned content are generally based on Level 3 inputs including analysis of market participant estimates of future cash flows. We record charges related to impairments or content that is substantively abandoned to programming and production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Sports Rights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used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costs. Production costs incurred in advance of airing are also presented in licensed content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of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costs attributed to our service offerings primarily include transaction-based fees to support our payment processing services and integrate the third-party data into our digital platforms, as well as direct personnel and operating costs to maintain the platforms. These costs are generally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investments are accounted for as nonmarketable equity securities. During the year ended December 31, 2025, we recorded an unrealized impairment loss of $40 million for one of our investments. The estimated fair value of $94 million was determined based on an analysis that leveraged multiples of earnings from comparable public companies, which are Level 2 inputs. The cumulative amount of downward adjustments to our nonmarketable equity securities totaled $102 million for investments that continue to be held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generally apply the measurement alternative, adjusting the investments for observable price changes of identical or similar investments of the same issuer, to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We review our nonmarketable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 fair value of the investment, then the fair value is not estimated. We record the changes in value from observable events and impairments to investment and other income (loss), net.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Original Useful Lives</w:t>
            </w:r>
          </w:p>
        </w:tc>
        <w:tc>
          <w:tcPr>
            <w:tcW w:w="360" w:type="dxa"/>
            <w:vAlign w:val="bottom"/>
          </w:tcPr>
          <w:p>
            <w:pPr>
              <w:spacing w:after="0"/>
              <w:rPr>
                <w:sz w:val="16"/>
                <w:szCs w:val="16"/>
                <w:color w:val="auto"/>
              </w:rPr>
            </w:pPr>
          </w:p>
        </w:tc>
        <w:tc>
          <w:tcPr>
            <w:tcW w:w="1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2240" w:type="dxa"/>
            <w:vAlign w:val="bottom"/>
            <w:gridSpan w:val="2"/>
            <w:vMerge w:val="continue"/>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5780" w:type="dxa"/>
            <w:vAlign w:val="bottom"/>
          </w:tcPr>
          <w:p>
            <w:pPr>
              <w:spacing w:after="0"/>
              <w:rPr>
                <w:sz w:val="3"/>
                <w:szCs w:val="3"/>
                <w:color w:val="auto"/>
              </w:rPr>
            </w:pPr>
          </w:p>
        </w:tc>
        <w:tc>
          <w:tcPr>
            <w:tcW w:w="22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3"/>
                <w:szCs w:val="3"/>
                <w:color w:val="auto"/>
              </w:rPr>
            </w:pPr>
          </w:p>
        </w:tc>
        <w:tc>
          <w:tcPr>
            <w:tcW w:w="106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line="20" w:lineRule="exact"/>
              <w:rPr>
                <w:sz w:val="1"/>
                <w:szCs w:val="1"/>
                <w:color w:val="auto"/>
              </w:rPr>
            </w:pPr>
          </w:p>
        </w:tc>
      </w:tr>
      <w:tr>
        <w:trPr>
          <w:trHeight w:val="195"/>
        </w:trPr>
        <w:tc>
          <w:tcPr>
            <w:tcW w:w="5780" w:type="dxa"/>
            <w:vAlign w:val="bottom"/>
          </w:tcPr>
          <w:p>
            <w:pPr>
              <w:spacing w:after="0"/>
              <w:rPr>
                <w:sz w:val="16"/>
                <w:szCs w:val="16"/>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technology</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3-8 years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747</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4-40 years</w:t>
            </w:r>
          </w:p>
        </w:tc>
        <w:tc>
          <w:tcPr>
            <w:tcW w:w="36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224</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1,038</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423</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relating to property and equipment was $67 million, $63 million and $67 million for the years ended December 31, 2025, 2024 and 2023, respectively.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We capitalize improvements that extend asset lives and expense repairs and maintenance costs as incurred. We capitalize direct development costs associated with internal-use software, including external direct costs of material and services and payroll costs for employees devoting time to these software projects, as well as costs associated with arrangements for purchase or license of internal-use software. We expense maintenance and training costs, as well as costs incurred during the preliminary stage of a software development project, as they are incurred.</w:t>
      </w:r>
    </w:p>
    <w:p>
      <w:pPr>
        <w:spacing w:after="0" w:line="12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our goodwill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60" w:type="dxa"/>
            <w:vAlign w:val="bottom"/>
            <w:tcBorders>
              <w:bottom w:val="single" w:sz="8" w:color="auto"/>
            </w:tcBorders>
          </w:tcPr>
          <w:p>
            <w:pPr>
              <w:spacing w:after="0"/>
              <w:rPr>
                <w:sz w:val="18"/>
                <w:szCs w:val="18"/>
                <w:color w:val="auto"/>
              </w:rPr>
            </w:pPr>
          </w:p>
        </w:tc>
      </w:tr>
      <w:tr>
        <w:trPr>
          <w:trHeight w:val="211"/>
        </w:trPr>
        <w:tc>
          <w:tcPr>
            <w:tcW w:w="618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6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60" w:type="dxa"/>
            <w:vAlign w:val="bottom"/>
          </w:tcPr>
          <w:p>
            <w:pPr>
              <w:spacing w:after="0"/>
              <w:rPr>
                <w:sz w:val="18"/>
                <w:szCs w:val="18"/>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1800" w:type="dxa"/>
            <w:vAlign w:val="bottom"/>
            <w:shd w:val="clear" w:color="auto" w:fill="CCEEFF"/>
          </w:tcPr>
          <w:p>
            <w:pPr>
              <w:jc w:val="right"/>
              <w:ind w:right="16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7,732</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w:t>
            </w:r>
          </w:p>
        </w:tc>
      </w:tr>
      <w:tr>
        <w:trPr>
          <w:trHeight w:val="229"/>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w:t>
            </w:r>
          </w:p>
        </w:tc>
        <w:tc>
          <w:tcPr>
            <w:tcW w:w="1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1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0" w:type="dxa"/>
            <w:vAlign w:val="bottom"/>
            <w:tcBorders>
              <w:bottom w:val="single" w:sz="8" w:color="auto"/>
            </w:tcBorders>
          </w:tcPr>
          <w:p>
            <w:pPr>
              <w:jc w:val="right"/>
              <w:ind w:right="16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7,611</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w:t>
            </w:r>
          </w:p>
        </w:tc>
      </w:tr>
      <w:tr>
        <w:trPr>
          <w:trHeight w:val="21"/>
        </w:trPr>
        <w:tc>
          <w:tcPr>
            <w:tcW w:w="6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As the Versant businesses were operated as a part of Comcast’s Media segment, our combined balance sheets include an allocated amount of goodwill from Comcast’s Media segment, determined using a relative fair value analysis as of July 1, 2024, the date of Comcast’s most recent annual goodwill impairment assessment. The fair values utilized in the relative fair value analysis were estimated using a discounted cash flow analysis, using Level 3 inputs. When performing this analysis, we also considered multiples of earnings from comparable public companies and recent market transactions. Prior to this date, impairment analysis was performed at the Comcast level.</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allocation, goodwill is required to be assessed for recoverability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w:t>
      </w:r>
    </w:p>
    <w:p>
      <w:pPr>
        <w:sectPr>
          <w:pgSz w:w="11900" w:h="16838" w:orient="portrait"/>
          <w:cols w:equalWidth="0" w:num="1">
            <w:col w:w="11240"/>
          </w:cols>
          <w:pgMar w:left="320" w:top="1440" w:right="339" w:bottom="1440" w:gutter="0" w:footer="0" w:header="0"/>
        </w:sectPr>
      </w:pP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40" w:right="720" w:hanging="215"/>
        <w:spacing w:after="0" w:line="296" w:lineRule="auto"/>
        <w:rPr>
          <w:sz w:val="20"/>
          <w:szCs w:val="20"/>
          <w:color w:val="auto"/>
        </w:rPr>
      </w:pPr>
      <w:r>
        <w:rPr>
          <w:rFonts w:ascii="Times New Roman" w:cs="Times New Roman" w:eastAsia="Times New Roman" w:hAnsi="Times New Roman"/>
          <w:sz w:val="17"/>
          <w:szCs w:val="17"/>
          <w:color w:val="auto"/>
        </w:rPr>
        <w:t>Finite-Lived Intangible Assets: Customer relationships Tradenames and other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5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60" w:type="dxa"/>
            <w:vAlign w:val="bottom"/>
          </w:tcPr>
          <w:p>
            <w:pPr>
              <w:spacing w:after="0"/>
              <w:rPr>
                <w:sz w:val="10"/>
                <w:szCs w:val="10"/>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80" w:type="dxa"/>
            <w:vAlign w:val="bottom"/>
            <w:gridSpan w:val="3"/>
          </w:tcPr>
          <w:p>
            <w:pPr>
              <w:jc w:val="center"/>
              <w:ind w:right="270"/>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 Life</w:t>
            </w: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1780" w:type="dxa"/>
            <w:vAlign w:val="bottom"/>
            <w:gridSpan w:val="3"/>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4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Amount </w:t>
            </w:r>
            <w:r>
              <w:rPr>
                <w:rFonts w:ascii="Times New Roman" w:cs="Times New Roman" w:eastAsia="Times New Roman" w:hAnsi="Times New Roman"/>
                <w:sz w:val="18"/>
                <w:szCs w:val="18"/>
                <w:b w:val="1"/>
                <w:bCs w:val="1"/>
                <w:color w:val="auto"/>
                <w:w w:val="96"/>
                <w:vertAlign w:val="superscript"/>
              </w:rPr>
              <w:t>(1)</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7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 year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8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234"/>
        </w:trPr>
        <w:tc>
          <w:tcPr>
            <w:tcW w:w="17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9,772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(8,848)</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(8,118)</w:t>
            </w: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-624840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-333375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720"/>
            <w:col w:w="75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5" w:name="page66"/>
    <w:bookmarkEnd w:id="65"/>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subject to amortization was $943 million, $926 million, and $924 million for the years ended December 31, 2025, 2024 and 2023, respectively. Amortization expense for the year ended December 31, 2025 includes accelerated amortization of the MSNBC trade name as a result of the rebranding of the network.</w:t>
      </w:r>
    </w:p>
    <w:p>
      <w:pPr>
        <w:spacing w:after="0" w:line="1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Finite-lived intangible assets are subject to amortization and consist primarily of customer relationships and trade names acquired in business combinations. Our finite-lived intangible assets are amortized primarily on a straight-line basis over their estimated useful life or the term of the associated agreement.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estimated amortization expense of our intangible assets.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9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Obligations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2025, we completed a private offering pursuant to which we issued $1.0 billion in aggregate principal amount of 7.250% senior secured notes due January 2031 (the “Senior Notes”). Interest on the Senior Notes will be paid semi-annually, on January 30 and July 30 of each year, commencing on July 30, 2026.</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proceeds from the Senior Notes were initially placed into an escrow account due to a special mandatory redemption provision that would have required the Senior Notes to be redeemed if the Separation of Versant from Comcast had not been consummated by March 2, 2026, and were released on January 2, 2026 in connection with the consummation of the Separation. The balance in the escrow account was presented as restricted cash and cash equivalents in our combined balance sheet as of December 31, 2025.</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are senior in right of payment and are jointly and unconditionally guaranteed on a senior secured basis by each of our subsidiaries that is a guarantor under the Senior Credit Facilities (as defined below) and are secured, subject to permitted liens and certain other exceptions, by perfected first-priority security interests in substantially all of our and each guarantor’s tangible and intangible assets and property, now owned or hereafter acquired, subject to certain customary exceptions.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any time prior to January 30, 2028, we may, at our option, redeem the Senior Notes, in whole or in part, at a price equal to 100% of the principal amount thereof, plus accrued and unpaid interest, if any, plus the applicable “make-whole” premium set forth in the indenture that governs the Senior Notes. At any time prior to January 30, 2028, we may redeem up to 10% of the principal amount of the Senior Notes during any twelve-month period at a redemption price equal to 103% of the principal amount thereof, plus accrued and unpaid interest, if any. We may, at our option, also redeem up to 40% of the principal amount of the Senior Notes at any time prior to January 30, 2028 in an amount equal to the net proceeds from certain equity offerings at the redemption price equal to 107.250% of the principal amount thereof plus accrued and unpaid interest, if any. We may redeem the Senior Notes, in whole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 at any time on or after January 30, 2028 at the redemption prices set forth in the indenture. The Senior Notes contain customary events of default, as well as customary negative covenants that include, among other things, and subject to certain qualifications and exceptions, covenants that restrict our ability and the ability of certain of our subsidiaries to: incur or guarantee additional indebtedness; create or permit liens on assets; pay dividends on capital stock or redeem, repurchase or retire capital stock or subordinated indebtedness; make certain investments and other restricted payments; engage in mergers, acquisitions, consolidations and amalgamations; transfer and sell certain assets; and engage in transactions with affiliates.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the carrying value of the Senior Notes was $983 million, and the estimated fair value was approximately $1.03 billion, which is based Level 2 inputs using external market data available for debt with similar terms and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 and Revolving Credit Facility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we entered into a credit agreement providing for a term loan of $1.0 billion due January 2031 (the “Term Loan A”) and a revolving credit facility of $750 million due January 2031 (the “Revolving Credit Facility”). The proceeds of the Term Loan A were funded on January 2, 2026 in connection with the consummation of the Separation and the Revolving Credit Facility remains undrawn. In addition, on January 2, 2026, we entered into an additional credit agreement providing for a term loan of $1.0 billion due January 2031 (the “Term Loan B” and together with Term Loan A, the “Term Loans”), with the proceeds of the Term Loan B funded on January 2, 2026.</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Loans and the Revolving Credit Facility (the “Senior Credit Facilities”) are secured by substantially all the assets of the Company and its material, wholly-owned U.S. subsidiaries, subject to certain exceptions. The Term Loans are denominated in U.S. dollars, and borrowings under the Revolving Credit Facility may be made available in U.S. Dollars, Euros, Pounds Sterling and Canadian Dollars.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Term Loan A and the Revolving Credit Facility in U.S. Dollars bear interest at a rate per annum equal to, at our option, either (a) a term SOFR-based rate, subject to a floor of 0.00% per annum, or (b) a U.S. Dollar base rate, subject to a floor of 1.00% per annum, in each case plus an applicable margin. The applicable interest rate margins for borrowings under the Term Loan A and the Revolving Credit Facility in U.S. Dollars are initially (a) 0.75% per annum in the case of U.S. Dollar base rate borrowings and (b) 1.75% per annum in the case of SOFR borrowings. In addition, we are required to pay commitment fees of 0.25% per annum on the unutilized commitments under the Revolving Credit Facility, payable quarterly in arrears. The interest rate margins and the commitments fees may be subject to step downs based on our consolidated first lien net leverage ratio, as defined in the credit agreement governing the Term Loan A and the Revolving Credit Facility.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Term Loan B bear interest at a rate per annum equal to, at our option, either a term SOFR-based rate or a U.S. Dollar base rate, in each case plus an applicable margin of (a) 2.50% per annum in the case of U.S. Dollar base rate borrowings and (b) 3.50% per annum in the case of SOFR borrowings, subject to a SOFR-based rate floor of 0.00% per annum and U.S. Dollar base rate floor of 1.00% per annum.</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amortization rate for the Term Loan A is 5.00% per annum, payable in quarterly installments beginning on September 30, 2026, with the balance being payable at maturity. The amortization rate for the Term B Loan Facility is 7.00% per annum, payable in quarterly installments beginning on September 30, 2026, with the balance being payable at maturity.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agreements governing the Senior Credit Facilities also require mandatory prepayments of the Term Loans under certain circumstances and subject to customary exceptions and baskets set forth in the respective credit agreements, following certain asset sales and debt incurrences. The Term Loan B credit agreement also requires prepayment based on a percentage of excess cash flows as defined in such credit agreement and subject to customary exceptions and baskets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permitted to voluntarily reduce unutilized portion of the Revolving Credit Facility and repay outstanding loans under the Term Loan A and the Revolving Credit Facility at any time without prepayment premium or penalty. We may voluntarily repay outstanding loans under Term Loan B at any time, subject to the payment of a customary make-whole premium set forth in the Term Loan B credit agreement, if such prepayment occurs prior to the first anniversary of the closing date, subject to a prepayment premium of 1% if such prepayment occurs on or after the first anniversary of the closing date and before the second anniversary of the closing date, and at par if such prepayment occurs on or after the second anniversary of the closing date.</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agreements for the Senior Credit Facilities contains certain customary negative and affirmative covenants and events of default. Negative covenants restrict, among other things, subject to certain qualifications and exceptions, our ability and the ability of certain of our subsidiaries to: incur additional indebtedness; create liens; enter into agreements and other arrangements that include negative pledge clauses; pay dividends on capital stock or redeem, repurchase or retire capital stock or subordinated indebtedness; make investments, loans, advances and acquisitions; merge, amalgamate or sell assets; enter into sale and leaseback transactions; engage in transactions with affiliates; and enter into amendments of or waivers under subordinated indebtedness. If an event of default, as specified in the credit agreements, shall occur and be continuing, we may be required to repay all amounts outstanding thereunder.</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 A Loan Facility and the Revolving Credit Facility also contain a financial covenant that requires us to maintain a maximum consolidated first lien net leverage ratio, as defined in the credit agreement governing the Term Loan A and the Revolving Credit Facility, of not greater than 3.50:1.00.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periods presented in these combined financial statements, our operations were included in the combined U.S. federal, state and foreign income tax returns filed by Comcast. Income tax expense and other income tax related information contained in the combined financial statements are calculated as if we were a separate corporation that filed separate income tax returns. We believe the assumptions underlying the calculation of income taxes on a separate return basis are reasonable. However, income tax expense and liabilities as presented in these combined financial statements do not necessarily reflect the results that we would have reported as an independent, standalone company for the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1,222</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1,823</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6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1,228</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1,843</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 (Benefit):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3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income tax expense (benefit) differs from the federal statutory amount because of the effect of the items detailed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Borders>
              <w:bottom w:val="single" w:sz="8" w:color="auto"/>
            </w:tcBorders>
          </w:tcPr>
          <w:p>
            <w:pPr>
              <w:spacing w:after="0"/>
              <w:rPr>
                <w:sz w:val="16"/>
                <w:szCs w:val="16"/>
                <w:color w:val="auto"/>
              </w:rPr>
            </w:pPr>
          </w:p>
        </w:tc>
      </w:tr>
      <w:tr>
        <w:trPr>
          <w:trHeight w:val="196"/>
        </w:trPr>
        <w:tc>
          <w:tcPr>
            <w:tcW w:w="4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Federal tax at statutory rate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income taxes, net of federal benefit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25.6 %</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left="260" w:right="20" w:hanging="252"/>
        <w:spacing w:after="0" w:line="229" w:lineRule="auto"/>
        <w:tabs>
          <w:tab w:leader="none" w:pos="191"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majority of the tax effect in this category was attributable to state taxes in California, New York, Florida, Illinois, New Jersey, Pennsylvania, and Michigan for each of the years presented.</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 statements of income. Current income tax expense has been offset by a corresponding change in net Comcast investment on the combined balance sheet. We recognize deferred tax assets and liabilities when there are temporary differences between the financial reporting basis and tax basis of our assets and liabilities and for the expected benefits of using net operating loss carryforwards. The determination of the realization of the net operating loss carryforwards is dependent on our subsidiaries’ taxable income or loss, redetermination from taxing authorities, and laws that can change from year to year and impact the amount of such carryforwards. We recognize a valuation allowance if we determine it is more likely than not that some portion, or all, of a deferred tax asset will not be realized. When a change in the tax rate or tax law has an impact on deferred taxes, we apply the change based on the years in which the temporary differences are expected to reverse. We record the change in our combined financial statements in the period of enactment.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Legislation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the U.S. H.R.1. legislation (“H.R.1.”) was enacted in the United States and provides, among other things, for immediate deduction of 100% of the costs of qualified property, including significant portions of our capital expenditures and film and television production costs, acquired and placed into service after January 19, 2025, compared to the 40% and 20% deductions that would have applied in 2025 and 2026, respectively, under prior law. H.R.1 also reinstates the immediate deduction of domestic research and development expenses, retroactive to 2022, repealing the prior requirement to capitalize and amortize such costs over five years. H.R.1 resulted in a reduction in our income tax obligation in net Comcast investment of approximately $15 million and a corresponding increase in our deferred tax liability. There is no material impact on our income tax expense or effective tax rate.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Net Deferred Tax Liability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and other loss carryforwards</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Nondeductible accruals and other</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Valuation Allowance for Deferred Tax Assets</w:t>
            </w:r>
          </w:p>
        </w:tc>
        <w:tc>
          <w:tcPr>
            <w:tcW w:w="1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4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460" w:type="dxa"/>
            <w:vAlign w:val="bottom"/>
          </w:tcPr>
          <w:p>
            <w:pPr>
              <w:spacing w:after="0"/>
              <w:rPr>
                <w:sz w:val="24"/>
                <w:szCs w:val="24"/>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37</w:t>
            </w:r>
          </w:p>
        </w:tc>
        <w:tc>
          <w:tcPr>
            <w:tcW w:w="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income tax expense and other accounts</w:t>
            </w:r>
          </w:p>
        </w:tc>
        <w:tc>
          <w:tcPr>
            <w:tcW w:w="1060" w:type="dxa"/>
            <w:vAlign w:val="bottom"/>
          </w:tcPr>
          <w:p>
            <w:pPr>
              <w:spacing w:after="0"/>
              <w:rPr>
                <w:sz w:val="19"/>
                <w:szCs w:val="19"/>
                <w:color w:val="auto"/>
              </w:rPr>
            </w:pPr>
          </w:p>
        </w:tc>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reserves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2024, net operating loss carryforwards primarily related to subsidiaries included in our combined financial statements, which can be carried forward indefinitely. At December 31, 2025 our valuation allowances primarily related to these net operating loss carryforwards and the impairment of certain investments. The reduction in our net operating loss carryforwards and valuation allowance in 2025 primarily resulted from a change in the tax status of one of our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determine the amount of benefit to be recognized in our combined financial statements. We classify interest and penalties, if any, associated with our uncertain tax positions as a component of income tax expense (benefit). Our liability for uncertain tax positions was not material in any period presented.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IRS has completed its examination of Comcast’s income tax returns for all years through 2022. Various states and foreign jurisdictions are examining Comcast’s tax returns and the tax years of those tax returns currently under examination vary by state, with most of the periods relating to tax years 2011 and forward.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Licensed Content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most significant fixed-price purchase obligations relate to long-term commitments for licensed content. Refer to Note 4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transactions with Comcast, of which prior to January 2, 2026, we were a wholly owned subsidiary,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related parties were $928 million, $1.26 billion and $1.34 billion during the years ended December 31, 2025,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due for these transactions were $123 million and $208 million as of December 31, 2025 and 2024, respectively.</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revenue from related parties were $973 million, $1.16 billion and $1.15 billion for the years ended December 31, 2025, 2024 and 2023, respectively. Capitalized content costs related to these costs were $302 million and $286 million as of December 31, 2025 and 2024, respectively. Content obligations related to these costs were $94 million and $112 million as of December 31, 2025 and 2024, respectively.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advertising purchased from related parties were $8 million, $12 million and $14 million for the years ended December 31, 2025, 2024 and 2023, respectively, and are presented in selling, general and administrative expenses. Amounts payable for these transactions were not material as of December 31, 2025 or 2024.</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third quarter 2025, we had related party loan balances associated with the participation of certain of our subsidiaries in Comcast’s centralized cash management programs. Our receivable balances pursuant to these contracts were presented in other current assets in the combined balance sheets and totaled $35 million as of December 31, 2024. Our payable balances pursuant to these contracts were presented in accrued expenses and other current liabilities in the combined balance sheets and totaled $12 million as of December 31, 2024. Activity related to loans receivable and payable is presented in the combined statements of cash flows in other investing and other financing activities,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and Other Allocated Costs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combined statement of income and are reflected in the combined balance sheets and statements of cash flows as changes in net Comcast investment. These amounts represent management’s reasonable estimate of the costs incurred; however, they are not necessarily representative of the costs required for us to operate as an independent, publicly traded company.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recorded in cost of revenue for these services were $264 million, $266 million and $277 million in 2025, 2024 and 2023, respectively.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recorded in selling, general and administrative expenses for these services were $844 million, $870 million and $910 million in 2025, 2024 and 2023,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Additional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cash equivalents and restricted cash and cash equivalents at December 31, 2025 of $1.09 billion includes cash and cash equivalents of $55 million, restricted cash of $1.03 billion, and cash presented within assets held for sale of $3 million.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Non-cash investing activities for the year ended December 31, 2025 included approximately $168 million related to the contribution of a key operational hub located in Englewood Cliffs, New Jersey as part of a series of legal steps executed in October 2025 in anticipation of the Separation.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Held for Sale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2025, we initiated a process to sell SportsEngine and the related assets and liabilities were classified as held for sale in our combined balance sheet as of December 31, 2025. Upon classification as held for sale, this business was measured at the lower of its carrying amount or its estimated fair value less costs to sell. The assets held for sale are primarily comprised of goodwill of $149 million, property and equipment of $17 million and intangible assets of $14 million. Liabilities held for sale totaled $18 million and are presented in other current liabilities. We currently expect to complete the sale of SportsEngine during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$36 million of costs incurred by Comcast related to the Separation have been included in selling, general and administrative expenses in our combined statements of income for the year ended December 31, 2025. These costs include legal, consulting, advisory and audit fees that will directly benefit the Versant business as a standalone company, or for which the Versant business is the legal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Separation and Financing Arrangements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 2026, we completed the Separation from Comcast through the distribution of 100% of the shares of Versant Class A common stock and Versant Class B common stock to holders of Comcast Class A common stock and Comcast Class B common stock as of the close of business on the record date of December 16, 2025. Comcast’s shareholders of record received one share of Versant Class A common stock or Versant Class B common stock for every 25 shares of Comcast Class A common stock or Class B common stock, respectively, held as of the record date. Immediately after the Separation, holders of Comcast’s common stock prior to the Separation owned 100% of our issued and outstanding shares. Prior to the Separation, the assets related to certain of Comcast’s cable television networks and digital platforms were contributed to, and the related liabilities were assumed, by Versant in accordance with certain agreements entered into in connection with the Separation. These agreements, among other things, effected the Separation and provide a framework for our relationship with Comcast after the Separation, including the separation and distribution agreement, the transition service agreement, the tax matters agreement and certain other agreements related to employee matters, intellectual property, and certain commercial arrangements.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we issued approximately $3.0 billion of total debt, including Senior Notes issued in October 2025 and borrowings under the Term Loans drawn upon the Separation. These borrowings are further described in Note 8. A portion of the proceeds from these borrowings was used to fund a cash payment to Comcast of $2.25 billion at the time of the Separation as consideration for assets that were contributed to us in connection with the Separation.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Articles of Incorporation were amended and restated following the Separation to provide the Company with the authority to issue up to 7.5 billion shares of $0.01 par value per share Class A common stock, up to 75 million shares of $0.01 par value per share of Class B common stock, and up to 20 million shares of preferred stock with no par value, Class A and Class B common stock have substantially identical rights, except with respect to voting rights. Holders of Class A common stock are entitled to one vote per share and holders of Class B common stock are entitled to 15 votes per share, and are entitled to any dividends when and as declared without regard to class. Holders of both stock classes vote together as a single class on all matters with respect to which a vote of the shareholders is required or permitted under applicable law, the Amended and Restated Articles of Incorporation, or the Bylaws of the Corporation, whereby Class B common stock in the aggregate are entitled to cast 33 1/3% of the votes, subject to reduction if the number of shares of Class B common stock outstanding is reduced. Each share of Class B common stock is convertible at the option of the holder into one share of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Plans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2026, in connection with the Separation, our Board of Directors adopted our Omnibus Equity Incentive Plan. A total of 19 million shares of the Company’s common stock have been reserved for issuance under the plan, subject to certain adjustments. The plan may be used to grant restricted stock and restricted stock unit awards, stock options and stock appreciation right awards. In connection with the Separation, 1.6 million RSUs, which were originally granted under Comcast’s equity plans, were converted into Versant RSUs for our employees in accordance with the employee matters agreement. In addition, on January 9, 2026, we granted approximately 500,000 RSUs to eligible employees vesting ratably over a three year service period and approximately 500,000 performance stock units to certain senior executives vesting after 3 years based on achievement of certain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Share Repurchase Authorization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 2026, our Board of Directors declared our first quarter dividend of $0.375 per share to be paid in April 2026.</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2026, our Board of Directors also authorized a share repurchase program under which the Company may purchase up to $1 billion of its outstanding shares of Class A common stock. The repurchase authorization does not obligate the Company to acquire any particular number of shares, and the program may be suspended, extended, modified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of Financial Responsibility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Annual Report on Form 10-K (the “Evaluation Date”). Based on this evaluation, our Chief Executive Officer and Chief Financial Officer concluded as of the Evaluation Date that our disclosure controls and procedures were effective such that the information required to be disclosed by us in the reports that we file or submit under the Exchange Act (i) is recorded, processed, summarized and reported within the time periods specified in SEC rules and forms, and (ii) is accumulated and communicated to our management, including our principal executive officer and principal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 Under the rules and regulations of the SEC, the Company is not required to comply with the requirements of Section 404 of the Sarbanes-Oxley Act of 2002 until the Company files its Annual Report on Form 10-K for fiscal year ending December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2025 that materially affected or are reasonably likely to materially affect our internal control over financial reporting.</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set forth below, is incorporated by reference to our definitive proxy statement for the 2026 Annual Meeting of Shareholders (the “2026 Proxy Statement”) to be filed with the SEC within 120 days after the end of the fiscal year ended December 31, 2025.</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officers and employees, including our principal executive, principal financial and principal accounting officers, or persons performing similar functions. Our Code of Conduct is posted on our website located at investors.versantmedia.com/corporate-governance/documents-charters. To the extent required by the rules of the SEC and Nasdaq, we intend to disclose future amendments to certain provisions of the Code of Conduct, and waivers of the Code of Conduct granted to executive officers and directors, on the website within four business days following the date of the amendment or waiver.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information required by this item by reference to our 2026 Proxy 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information required by this item by reference to our 2026 Proxy 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information required by this item by reference to our 2026 Proxy 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incorporate the information required by this item relating to our principal accountant, Deloitte &amp; Touche LLP (PCAOB ID No. 34), by reference to our 2026 Proxy Statement.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ind w:left="340" w:hanging="332"/>
        <w:spacing w:after="0" w:line="266" w:lineRule="auto"/>
        <w:tabs>
          <w:tab w:leader="none" w:pos="3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financial statements are filed as a part of this report on Form 10-K in Item 8, Financial Statements and Supplementary Data, and a list of Versant’s combined financial statements are found on page 42 of this report. Financial statement schedules are omitted because the required information is not applicable, or because the information required is included in the combined financial statements and notes thereto.</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to be filed by Item 601 of Regulation S-K (all of which are under Commission File No. 001-42856, except as otherwise noted):</w:t>
      </w:r>
    </w:p>
    <w:p>
      <w:pPr>
        <w:sectPr>
          <w:pgSz w:w="11900" w:h="16838" w:orient="portrait"/>
          <w:cols w:equalWidth="0" w:num="1">
            <w:col w:w="11220"/>
          </w:cols>
          <w:pgMar w:left="320" w:top="117" w:right="359" w:bottom="1440" w:gutter="0" w:footer="0" w:header="0"/>
        </w:sect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Separation and Distribution Agreement between Comcast Corporation and Versant Media Group, Inc., dated January 2, 2026 (incorporated</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by reference to Exhibit 2.1 to Versant’s Current Report on Form 8-K filed on January 5, 2026).</w:t>
        </w:r>
      </w:hyperlink>
    </w:p>
    <w:p>
      <w:pPr>
        <w:spacing w:after="0" w:line="41"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Amended and Restated Articles of Incorporation of Versant Media Group Inc. (incorporated by reference to Exhibit 3.1 to Versant’s Current</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Report on Form 8-K filed on January 5, 2026).</w:t>
        </w:r>
      </w:hyperlink>
    </w:p>
    <w:p>
      <w:pPr>
        <w:spacing w:after="0" w:line="41"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Amended and Restated Bylaws of Versant Media Group Inc. (incorporated by reference to Exhibit 3.1 to Versant’s Current Report on Form 8-</w:t>
        </w:r>
      </w:hyperlink>
      <w:hyperlink r:id="rId96">
        <w:r>
          <w:rPr>
            <w:rFonts w:ascii="Times New Roman" w:cs="Times New Roman" w:eastAsia="Times New Roman" w:hAnsi="Times New Roman"/>
            <w:sz w:val="18"/>
            <w:szCs w:val="18"/>
            <w:u w:val="single" w:color="auto"/>
            <w:color w:val="0000FF"/>
          </w:rPr>
          <w:t>K filed on January 7, 2026).</w:t>
        </w:r>
      </w:hyperlink>
    </w:p>
    <w:p>
      <w:pPr>
        <w:spacing w:after="0" w:line="41" w:lineRule="exact"/>
        <w:rPr>
          <w:sz w:val="20"/>
          <w:szCs w:val="20"/>
          <w:color w:val="auto"/>
        </w:rPr>
      </w:pPr>
    </w:p>
    <w:p>
      <w:pPr>
        <w:ind w:right="360"/>
        <w:spacing w:after="0" w:line="250" w:lineRule="auto"/>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Indenture, dated as of October 29, 2025, between Versant Media Group, Inc., as issuer, and Citibank, N.A., as trustee and notes collateral</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agent (incorporated by reference to Exhibit 10.11 to Versant’s registration statement on Form 10 filed on December 3, 2025).</w:t>
        </w:r>
      </w:hyperlink>
    </w:p>
    <w:p>
      <w:pPr>
        <w:spacing w:after="0" w:line="41" w:lineRule="exact"/>
        <w:rPr>
          <w:sz w:val="20"/>
          <w:szCs w:val="20"/>
          <w:color w:val="auto"/>
        </w:rPr>
      </w:pPr>
    </w:p>
    <w:p>
      <w:pPr>
        <w:ind w:right="580"/>
        <w:spacing w:after="0" w:line="250"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First Supplemental Indenture, dated January 2, 2026, among the Guarantors and Citibank N.A., as Trustee and Notes Collateral Agent</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(incorporated by reference to Exhibit 4.1 to Versant’s Current Report on Form 8-K for the year ended January 5, 2026).</w:t>
        </w:r>
      </w:hyperlink>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Versant Media Group Inc.’s securities registered pursuant to Section 12 of the Securities Exchange Act.</w:t>
      </w:r>
    </w:p>
    <w:p>
      <w:pPr>
        <w:spacing w:after="0" w:line="77" w:lineRule="exact"/>
        <w:rPr>
          <w:sz w:val="20"/>
          <w:szCs w:val="20"/>
          <w:color w:val="auto"/>
        </w:rPr>
      </w:pPr>
    </w:p>
    <w:p>
      <w:pPr>
        <w:ind w:right="600"/>
        <w:spacing w:after="0" w:line="250"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Transition Services Agreement between Comcast Corporation and Versant Media Group, Inc., dated January 2, 2026 (incorporated by</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reference to Exhibit 10.1 to Versant’s Current Report on Form 8-K filed on January 2, 2026).</w:t>
        </w:r>
      </w:hyperlink>
    </w:p>
    <w:p>
      <w:pPr>
        <w:spacing w:after="0" w:line="41" w:lineRule="exact"/>
        <w:rPr>
          <w:sz w:val="20"/>
          <w:szCs w:val="20"/>
          <w:color w:val="auto"/>
        </w:rPr>
      </w:pPr>
    </w:p>
    <w:p>
      <w:pPr>
        <w:ind w:right="220"/>
        <w:spacing w:after="0" w:line="250"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Tax Matters Agreement between Comcast Corporation and Versant Media Group, Inc., dated January 2, 2026 (incorporated by reference to</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Exhibit 10.2 to Versant’s Current Report on Form 8-K filed on January 2, 2026).</w:t>
        </w:r>
      </w:hyperlink>
    </w:p>
    <w:p>
      <w:pPr>
        <w:spacing w:after="0" w:line="41" w:lineRule="exact"/>
        <w:rPr>
          <w:sz w:val="20"/>
          <w:szCs w:val="20"/>
          <w:color w:val="auto"/>
        </w:rPr>
      </w:pPr>
    </w:p>
    <w:p>
      <w:pPr>
        <w:ind w:right="660"/>
        <w:spacing w:after="0" w:line="250"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Employee Matters Agreement between Comcast Corporation and Versant Media Group, Inc., dated January 2, 2026 (incorporated by</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reference to Exhibit 10.3 to Versant’s Current Report on Form 8-K filed on January 2, 2026).</w:t>
        </w:r>
      </w:hyperlink>
    </w:p>
    <w:p>
      <w:pPr>
        <w:spacing w:after="0" w:line="41" w:lineRule="exact"/>
        <w:rPr>
          <w:sz w:val="20"/>
          <w:szCs w:val="20"/>
          <w:color w:val="auto"/>
        </w:rPr>
      </w:pPr>
    </w:p>
    <w:p>
      <w:pPr>
        <w:ind w:right="120"/>
        <w:spacing w:after="0" w:line="250"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Versant Media Group, Inc. Omnibus Equity Incentive Plan (incorporated by reference to Exhibit 99.1 to Versant’s Registration Statement on</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Form S-8, filed on January 9, 2026).</w:t>
        </w:r>
      </w:hyperlink>
    </w:p>
    <w:p>
      <w:pPr>
        <w:spacing w:after="0" w:line="41" w:lineRule="exact"/>
        <w:rPr>
          <w:sz w:val="20"/>
          <w:szCs w:val="20"/>
          <w:color w:val="auto"/>
        </w:rPr>
      </w:pPr>
    </w:p>
    <w:p>
      <w:pPr>
        <w:ind w:right="680"/>
        <w:spacing w:after="0" w:line="250"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Form of Indemnification Agreement for Non-Employee Directors (incorporated by reference to Exhibit 10.5 to Versant’s registration</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statement on Form 10 filed on December 3, 2025).</w:t>
        </w:r>
      </w:hyperlink>
    </w:p>
    <w:p>
      <w:pPr>
        <w:spacing w:after="0" w:line="41"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Executive Employment Agreement of Mark Lazarus (incorporated by reference to Exhibit 10.6 to Versant’s registration statement on Form 10</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filed on December 3, 2025).</w:t>
        </w:r>
      </w:hyperlink>
    </w:p>
    <w:p>
      <w:pPr>
        <w:spacing w:after="0" w:line="41" w:lineRule="exact"/>
        <w:rPr>
          <w:sz w:val="20"/>
          <w:szCs w:val="20"/>
          <w:color w:val="auto"/>
        </w:rPr>
      </w:pPr>
    </w:p>
    <w:p>
      <w:pPr>
        <w:ind w:right="140"/>
        <w:spacing w:after="0" w:line="250"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Executive Employment Agreement of Anand M. Kini (incorporated by reference to Exhibit 10.7 to Versant’s registration statement on Form</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10 filed on December 3, 2025).</w:t>
        </w:r>
      </w:hyperlink>
    </w:p>
    <w:p>
      <w:pPr>
        <w:spacing w:after="0" w:line="41" w:lineRule="exact"/>
        <w:rPr>
          <w:sz w:val="20"/>
          <w:szCs w:val="20"/>
          <w:color w:val="auto"/>
        </w:rPr>
      </w:pPr>
    </w:p>
    <w:p>
      <w:pPr>
        <w:ind w:right="200"/>
        <w:spacing w:after="0" w:line="250"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Executive Employment Agreement of Jordan R. Fasbender (incorporated by reference to Exhibit 10.8 to Versant’s registration statement on</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Form 10 filed on December 3, 2025).</w:t>
        </w:r>
      </w:hyperlink>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Versant Media Group, Inc. Non-Employee Director Compensation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Versant Media Group, Inc. Deferred Compensation Plan for Non-Employee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Non-Employee Director Restricted Stock Unit Award Agreement and Long-Term Incentive Awards Summary Schedule.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Performance Stock Unit Agreement (Founders Award) and Long-Term Incentive Awards Summary Schedule.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Restricted Stock Unit Agreement (Founders Award) and Long-Term Incentive Awards Summary Schedule.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Performance Stock Unit Agreement and Long-Term Incentive Awards Summary Schedule.</w:t>
      </w:r>
    </w:p>
    <w:p>
      <w:pPr>
        <w:spacing w:after="0" w:line="200" w:lineRule="exact"/>
        <w:rPr>
          <w:sz w:val="20"/>
          <w:szCs w:val="20"/>
          <w:color w:val="auto"/>
        </w:rPr>
      </w:pPr>
    </w:p>
    <w:p>
      <w:pPr>
        <w:sectPr>
          <w:pgSz w:w="11900" w:h="16838" w:orient="portrait"/>
          <w:cols w:equalWidth="0" w:num="2">
            <w:col w:w="540" w:space="440"/>
            <w:col w:w="10240"/>
          </w:cols>
          <w:pgMar w:left="320" w:top="1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Restricted Stock Unit Agreement (Annual Award) and Long-Term Incentive Awards Summary Schedule.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Comcast Corporation 2022 Restricted Stock Unit Award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Comcast Corporation 2023 Restricted Stock Unit Award Agreement.</w:t>
      </w:r>
    </w:p>
    <w:p>
      <w:pPr>
        <w:spacing w:after="0" w:line="77"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u w:val="single" w:color="auto"/>
          <w:color w:val="0000FF"/>
        </w:rPr>
        <w:t>Comcast Corporation 2023 Omnibus Equity Incentive Plan Form of Restricted Stock Unit Award Agreement and Long-Term Incentive Awards Summary Schedule.</w:t>
      </w:r>
    </w:p>
    <w:p>
      <w:pPr>
        <w:spacing w:after="0" w:line="4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08">
        <w:r>
          <w:rPr>
            <w:rFonts w:ascii="Times New Roman" w:cs="Times New Roman" w:eastAsia="Times New Roman" w:hAnsi="Times New Roman"/>
            <w:sz w:val="17"/>
            <w:szCs w:val="17"/>
            <w:u w:val="single" w:color="auto"/>
            <w:color w:val="0000FF"/>
          </w:rPr>
          <w:t>Credit and Guaranty Agreement, dated as of October 3, 2025, among Versant Media Group, Inc., as borrower, certain subsidiary guarantors</w:t>
        </w:r>
      </w:hyperlink>
    </w:p>
    <w:p>
      <w:pPr>
        <w:spacing w:after="0" w:line="14" w:lineRule="exact"/>
        <w:rPr>
          <w:sz w:val="20"/>
          <w:szCs w:val="20"/>
          <w:color w:val="auto"/>
        </w:rPr>
      </w:pPr>
    </w:p>
    <w:p>
      <w:pPr>
        <w:jc w:val="both"/>
        <w:ind w:right="200"/>
        <w:spacing w:after="0" w:line="218"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party thereto from time to time, the financial institutions party thereto, as lenders and issuing banks, and J.P. Morgan Chase Bank, N.A., as</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administrative agent, collateral agent and swingline lender (incorporated by reference to Exhibit 10.9 to Versant’s registration statement on</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Form 10 filed on December 3, 2025).</w:t>
        </w:r>
      </w:hyperlink>
    </w:p>
    <w:p>
      <w:pPr>
        <w:spacing w:after="0" w:line="50"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7"/>
          <w:szCs w:val="17"/>
          <w:u w:val="single" w:color="auto"/>
          <w:color w:val="0000FF"/>
        </w:rPr>
      </w:pPr>
      <w:hyperlink r:id="rId109">
        <w:r>
          <w:rPr>
            <w:rFonts w:ascii="Times New Roman" w:cs="Times New Roman" w:eastAsia="Times New Roman" w:hAnsi="Times New Roman"/>
            <w:sz w:val="17"/>
            <w:szCs w:val="17"/>
            <w:u w:val="single" w:color="auto"/>
            <w:color w:val="0000FF"/>
          </w:rPr>
          <w:t>Credit and Guaranty Agreement, dated January 2, 2026, among Versant Media Group, Inc., as borrower, certain subsidiary guarantors party</w:t>
        </w:r>
      </w:hyperlink>
    </w:p>
    <w:p>
      <w:pPr>
        <w:spacing w:after="0" w:line="14" w:lineRule="exact"/>
        <w:rPr>
          <w:rFonts w:ascii="Times New Roman" w:cs="Times New Roman" w:eastAsia="Times New Roman" w:hAnsi="Times New Roman"/>
          <w:sz w:val="18"/>
          <w:szCs w:val="18"/>
          <w:u w:val="single" w:color="auto"/>
          <w:color w:val="0000FF"/>
        </w:rPr>
      </w:pPr>
    </w:p>
    <w:p>
      <w:pPr>
        <w:ind w:right="160"/>
        <w:spacing w:after="0" w:line="226"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thereto from time to time, the financial institutions party thereto, as lenders and issuing banks, and Morgan Stanley Senior Funding, Inc., as</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administrative agent and collateral agent (incorporated by reference to Exhibit 10.4 to Versant’s Form 8-K filed on January 5, 2026).</w:t>
        </w:r>
      </w:hyperlink>
    </w:p>
    <w:p>
      <w:pPr>
        <w:spacing w:after="0" w:line="49" w:lineRule="exact"/>
        <w:rPr>
          <w:sz w:val="20"/>
          <w:szCs w:val="20"/>
          <w:color w:val="auto"/>
        </w:rPr>
      </w:pPr>
    </w:p>
    <w:p>
      <w:pPr>
        <w:sectPr>
          <w:pgSz w:w="11900" w:h="16838" w:orient="portrait"/>
          <w:cols w:equalWidth="0" w:num="2">
            <w:col w:w="620" w:space="360"/>
            <w:col w:w="10200"/>
          </w:cols>
          <w:pgMar w:left="320" w:top="117"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19</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0000FF"/>
        </w:rPr>
        <w:t>Versant Media Group, Inc. Insider Trading Policy.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Deloitte &amp; Touche LLP.</w:t>
      </w:r>
    </w:p>
    <w:p>
      <w:pPr>
        <w:spacing w:after="0" w:line="77"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u w:val="single" w:color="auto"/>
          <w:color w:val="0000FF"/>
        </w:rPr>
        <w:t>Certification of the Registrant’s Chief Executive Officer pursuant to Rule 13a-14(a)/15d-14(a) of the Securities Exchange Act of 1934, as amended, as adopted pursuant to Section 302 of the Sarbanes-Oxley Act of 2002.</w:t>
      </w:r>
    </w:p>
    <w:p>
      <w:pPr>
        <w:spacing w:after="0" w:line="41"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u w:val="single" w:color="auto"/>
          <w:color w:val="0000FF"/>
        </w:rPr>
        <w:t>Certification of the Registrant’s Chief Financial Officer pursuant to Rule 13a-14(a)/15d-14(a) of the Securities Exchange Act of 1934, as amended, as adopted pursuant to Section 302 of the Sarbanes-Oxley Act of 2002.</w:t>
      </w:r>
    </w:p>
    <w:p>
      <w:pPr>
        <w:spacing w:after="0" w:line="4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u w:val="single" w:color="auto"/>
          <w:color w:val="0000FF"/>
        </w:rPr>
        <w:t>Certifications of the Registrant’s Chief Executive Officer and Chief Financial Officer pursuant to 18 U.S.C. 1350, as adopted pursuant to Section 906 of the Sarbanes-Oxley Act of 2002.</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Versant Media Group. Inc. Recoupment Policy.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from Versant’s Annual Report on Form 10-K for the year ended December 31, 2025, filed with the</w:t>
      </w:r>
    </w:p>
    <w:p>
      <w:pPr>
        <w:spacing w:after="0" w:line="1" w:lineRule="exact"/>
        <w:rPr>
          <w:sz w:val="20"/>
          <w:szCs w:val="20"/>
          <w:color w:val="auto"/>
        </w:rPr>
      </w:pPr>
    </w:p>
    <w:p>
      <w:pPr>
        <w:sectPr>
          <w:pgSz w:w="11900" w:h="16838" w:orient="portrait"/>
          <w:cols w:equalWidth="0" w:num="2">
            <w:col w:w="340" w:space="640"/>
            <w:col w:w="10200"/>
          </w:cols>
          <w:pgMar w:left="320" w:top="117" w:right="399" w:bottom="1440" w:gutter="0" w:footer="0" w:header="0"/>
          <w:type w:val="continuous"/>
        </w:sectPr>
      </w:pPr>
    </w:p>
    <w:p>
      <w:pPr>
        <w:ind w:left="980"/>
        <w:spacing w:after="0" w:line="205" w:lineRule="auto"/>
        <w:rPr>
          <w:sz w:val="20"/>
          <w:szCs w:val="20"/>
          <w:color w:val="auto"/>
        </w:rPr>
      </w:pPr>
      <w:r>
        <w:rPr>
          <w:rFonts w:ascii="Times New Roman" w:cs="Times New Roman" w:eastAsia="Times New Roman" w:hAnsi="Times New Roman"/>
          <w:sz w:val="18"/>
          <w:szCs w:val="18"/>
          <w:color w:val="auto"/>
        </w:rPr>
        <w:t>Securities and Exchange Commission on March 3, 2026, formatted in Inline Extensible Business Reporting Language (iXBRL): (1) the</w:t>
      </w:r>
    </w:p>
    <w:p>
      <w:pPr>
        <w:spacing w:after="0" w:line="1" w:lineRule="exact"/>
        <w:rPr>
          <w:sz w:val="20"/>
          <w:szCs w:val="20"/>
          <w:color w:val="auto"/>
        </w:rPr>
      </w:pPr>
    </w:p>
    <w:p>
      <w:pPr>
        <w:ind w:left="980" w:hanging="954"/>
        <w:spacing w:after="0" w:line="223"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 of Income; (2) the Consolidated Statement of Comprehensive Income; (3) the Consolidated Statement of Cash Flows; (4) the Consolidated Balance Sheet; (5) the Consolidated Statement of Changes in Equity; and (6) the Notes to Consolidated Financial Statements.</w:t>
      </w:r>
    </w:p>
    <w:p>
      <w:pPr>
        <w:spacing w:after="0" w:line="2"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ind w:left="980" w:hanging="954"/>
        <w:spacing w:after="0"/>
        <w:tabs>
          <w:tab w:leader="none" w:pos="9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a management contract or compensatory plan or arrangement.</w:t>
      </w:r>
    </w:p>
    <w:p>
      <w:pPr>
        <w:spacing w:after="0" w:line="42" w:lineRule="exact"/>
        <w:rPr>
          <w:sz w:val="20"/>
          <w:szCs w:val="20"/>
          <w:color w:val="auto"/>
        </w:rPr>
      </w:pPr>
    </w:p>
    <w:p>
      <w:pPr>
        <w:ind w:left="980" w:right="500" w:hanging="954"/>
        <w:spacing w:after="0" w:line="251" w:lineRule="auto"/>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to this agreement have been omitted pursuant to Item 601(a)(5) of Regulation S-K. A copy of any omitted schedule and/or exhibit will be furnished supplementally to the SEC upon request.</w:t>
      </w:r>
    </w:p>
    <w:p>
      <w:pPr>
        <w:spacing w:after="0" w:line="1" w:lineRule="exact"/>
        <w:rPr>
          <w:sz w:val="20"/>
          <w:szCs w:val="20"/>
          <w:color w:val="auto"/>
        </w:rPr>
      </w:pPr>
    </w:p>
    <w:p>
      <w:pPr>
        <w:ind w:left="980" w:hanging="954"/>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personally identifiable information has been omitted from this exhibit pursuant to Item 601(a)(6) of Regulation S-K.</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3, 2026.</w:t>
      </w:r>
    </w:p>
    <w:p>
      <w:pPr>
        <w:spacing w:after="0" w:line="148" w:lineRule="exact"/>
        <w:rPr>
          <w:sz w:val="20"/>
          <w:szCs w:val="20"/>
          <w:color w:val="auto"/>
        </w:rPr>
      </w:pPr>
    </w:p>
    <w:tbl>
      <w:tblPr>
        <w:tblLayout w:type="fixed"/>
        <w:tblInd w:w="384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LAZARUS</w:t>
            </w:r>
          </w:p>
        </w:tc>
      </w:tr>
      <w:tr>
        <w:trPr>
          <w:trHeight w:val="216"/>
        </w:trPr>
        <w:tc>
          <w:tcPr>
            <w:tcW w:w="1120" w:type="dxa"/>
            <w:vAlign w:val="bottom"/>
          </w:tcPr>
          <w:p>
            <w:pPr>
              <w:spacing w:after="0"/>
              <w:rPr>
                <w:sz w:val="18"/>
                <w:szCs w:val="18"/>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Lazarus</w:t>
            </w:r>
          </w:p>
        </w:tc>
      </w:tr>
      <w:tr>
        <w:trPr>
          <w:trHeight w:val="236"/>
        </w:trPr>
        <w:tc>
          <w:tcPr>
            <w:tcW w:w="1120" w:type="dxa"/>
            <w:vAlign w:val="bottom"/>
          </w:tcPr>
          <w:p>
            <w:pPr>
              <w:spacing w:after="0"/>
              <w:rPr>
                <w:sz w:val="20"/>
                <w:szCs w:val="20"/>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p>
      <w:pPr>
        <w:ind w:left="1540"/>
        <w:spacing w:after="0"/>
        <w:tabs>
          <w:tab w:leader="none" w:pos="6060" w:val="left"/>
          <w:tab w:leader="none" w:pos="978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20"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MARK LAZARUS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0"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Mark Lazarus</w:t>
      </w:r>
    </w:p>
    <w:p>
      <w:pPr>
        <w:spacing w:after="0" w:line="104"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ANAND M.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0"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Anand M. Kini</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GREGORY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3914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8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Gregory Wright</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 DAVID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David Novak</w:t>
      </w:r>
    </w:p>
    <w:p>
      <w:pPr>
        <w:spacing w:after="0" w:line="10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/s/ REBECCA S.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914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Rebecca S. Campbell</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CREIGHTON CORDON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Creighton Condon</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MICHAEL A.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Michael A. Conway</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DAVID EUN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David Eun</w:t>
      </w:r>
    </w:p>
    <w:p>
      <w:pPr>
        <w:spacing w:after="0" w:line="10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 GERALD L. HASSEL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Gerald L. Hassell</w:t>
      </w:r>
    </w:p>
    <w:p>
      <w:pPr>
        <w:spacing w:after="0" w:line="1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 W. SCOTT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W. Scott Mahoney</w:t>
      </w:r>
    </w:p>
    <w:p>
      <w:pPr>
        <w:spacing w:after="0" w:line="10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MARITZA MONTIEL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Maritza Montiel</w:t>
      </w:r>
    </w:p>
    <w:p>
      <w:pPr>
        <w:spacing w:after="0" w:line="1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 LEONARD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Leonard A. Potter</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44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234"/>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720" w:type="dxa"/>
            <w:vAlign w:val="bottom"/>
          </w:tcPr>
          <w:p>
            <w:pPr>
              <w:spacing w:after="0"/>
              <w:rPr>
                <w:sz w:val="20"/>
                <w:szCs w:val="20"/>
                <w:color w:val="auto"/>
              </w:rPr>
            </w:pPr>
          </w:p>
        </w:tc>
      </w:tr>
      <w:tr>
        <w:trPr>
          <w:trHeight w:val="292"/>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234"/>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720" w:type="dxa"/>
            <w:vAlign w:val="bottom"/>
          </w:tcPr>
          <w:p>
            <w:pPr>
              <w:spacing w:after="0"/>
              <w:rPr>
                <w:sz w:val="20"/>
                <w:szCs w:val="20"/>
                <w:color w:val="auto"/>
              </w:rPr>
            </w:pPr>
          </w:p>
        </w:tc>
      </w:tr>
      <w:tr>
        <w:trPr>
          <w:trHeight w:val="333"/>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Chief Accounting</w:t>
            </w: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184"/>
        </w:trPr>
        <w:tc>
          <w:tcPr>
            <w:tcW w:w="4420" w:type="dxa"/>
            <w:vAlign w:val="bottom"/>
          </w:tcPr>
          <w:p>
            <w:pPr>
              <w:jc w:val="center"/>
              <w:ind w:right="570"/>
              <w:spacing w:after="0" w:line="184" w:lineRule="exact"/>
              <w:rPr>
                <w:sz w:val="20"/>
                <w:szCs w:val="20"/>
                <w:color w:val="auto"/>
              </w:rPr>
            </w:pPr>
            <w:r>
              <w:rPr>
                <w:rFonts w:ascii="Times New Roman" w:cs="Times New Roman" w:eastAsia="Times New Roman" w:hAnsi="Times New Roman"/>
                <w:sz w:val="18"/>
                <w:szCs w:val="18"/>
                <w:color w:val="auto"/>
                <w:w w:val="99"/>
              </w:rPr>
              <w:t>Officer and Controller</w:t>
            </w:r>
          </w:p>
        </w:tc>
        <w:tc>
          <w:tcPr>
            <w:tcW w:w="1720" w:type="dxa"/>
            <w:vAlign w:val="bottom"/>
          </w:tcPr>
          <w:p>
            <w:pPr>
              <w:spacing w:after="0"/>
              <w:rPr>
                <w:sz w:val="16"/>
                <w:szCs w:val="16"/>
                <w:color w:val="auto"/>
              </w:rPr>
            </w:pPr>
          </w:p>
        </w:tc>
      </w:tr>
      <w:tr>
        <w:trPr>
          <w:trHeight w:val="234"/>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720" w:type="dxa"/>
            <w:vAlign w:val="bottom"/>
          </w:tcPr>
          <w:p>
            <w:pPr>
              <w:spacing w:after="0"/>
              <w:rPr>
                <w:sz w:val="20"/>
                <w:szCs w:val="20"/>
                <w:color w:val="auto"/>
              </w:rPr>
            </w:pPr>
          </w:p>
        </w:tc>
      </w:tr>
      <w:tr>
        <w:trPr>
          <w:trHeight w:val="283"/>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Chairman</w:t>
            </w: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567"/>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567"/>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567"/>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567"/>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567"/>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567"/>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567"/>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567"/>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March 3, 2026</w:t>
            </w:r>
          </w:p>
        </w:tc>
      </w:tr>
    </w:tbl>
    <w:p>
      <w:pPr>
        <w:spacing w:after="0" w:line="456" w:lineRule="exact"/>
        <w:rPr>
          <w:sz w:val="20"/>
          <w:szCs w:val="20"/>
          <w:color w:val="auto"/>
        </w:rPr>
      </w:pPr>
    </w:p>
    <w:p>
      <w:pPr>
        <w:sectPr>
          <w:pgSz w:w="11900" w:h="16838" w:orient="portrait"/>
          <w:cols w:equalWidth="0" w:num="2">
            <w:col w:w="3640" w:space="720"/>
            <w:col w:w="6880"/>
          </w:cols>
          <w:pgMar w:left="320" w:top="117"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17" w:right="339" w:bottom="1440" w:gutter="0" w:footer="0" w:header="0"/>
          <w:type w:val="continuous"/>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VERSANT MEDIA GROUP, INC. SECURITIES</w:t>
      </w:r>
    </w:p>
    <w:p>
      <w:pPr>
        <w:spacing w:after="0" w:line="24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i w:val="1"/>
          <w:iCs w:val="1"/>
          <w:color w:val="auto"/>
        </w:rPr>
        <w:t>In the following summary, references to “Versant,” the “Company,” “we,” “us” and “our” refer only to Versant Media Group, Inc. and not any of its subsidiaries. The following descriptions are summaries of the material terms of our capital stock based on the applicable provisions of Pennsylvania law and our amended and restated articles of incorporation (“articles of incorporation”) and our amended and restated bylaws (“bylaws”). The summaries and descriptions below do not purport to be complete statements of the relevant provisions of the applicable provisions of Pennsylvania law or of our articles of incorporation or our bylaws. The summary is qualified in its entirety by reference to those articles of incorporation and our bylaws, which we recommend that you read (along with the applicable provisions of Pennsylvania law) for additional information on our capital stock. Copies of our articles of incorporation and bylaws are filed as exhibits to this Annual Report on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4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2"/>
          <w:szCs w:val="22"/>
          <w:i w:val="1"/>
          <w:iCs w:val="1"/>
          <w:color w:val="auto"/>
        </w:rPr>
        <w:t>Common stock</w:t>
      </w:r>
      <w:r>
        <w:rPr>
          <w:rFonts w:ascii="Times New Roman" w:cs="Times New Roman" w:eastAsia="Times New Roman" w:hAnsi="Times New Roman"/>
          <w:sz w:val="22"/>
          <w:szCs w:val="22"/>
          <w:color w:val="auto"/>
        </w:rPr>
        <w:t>. We have two classes of common stock outstanding: Class A common stock, par value $0.01 per share (“Class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common stock”), and Class B common stock, par value $0.01 per share (“Class B common stock”). Under our articles of incorporation, there are authorized 7,500,000,000 shares of Class A common stock, 75,000,000 shares of Class B common stock and 20,000,000 shares of preferred stock. All outstanding shares of Class A common stock and Class B common stock are fully paid and non-assessable.</w:t>
      </w:r>
    </w:p>
    <w:p>
      <w:pPr>
        <w:spacing w:after="0" w:line="20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i w:val="1"/>
          <w:iCs w:val="1"/>
          <w:color w:val="auto"/>
        </w:rPr>
        <w:t>Voting rights</w:t>
      </w:r>
      <w:r>
        <w:rPr>
          <w:rFonts w:ascii="Times New Roman" w:cs="Times New Roman" w:eastAsia="Times New Roman" w:hAnsi="Times New Roman"/>
          <w:sz w:val="22"/>
          <w:szCs w:val="22"/>
          <w:color w:val="auto"/>
        </w:rPr>
        <w:t>. As a general matter, on all matters submitted for a vote to holders of all classes of our voting stock, holders of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377,775, subject to adjustment in specified situations. The issuance of additional shares of Class A common stock and stock dividends payable on the Class B common stock in the form of Class B common stock do not decrease the non-dilutable voting power of the Class B common stock.</w:t>
      </w:r>
    </w:p>
    <w:p>
      <w:pPr>
        <w:spacing w:after="0" w:line="2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i w:val="1"/>
          <w:iCs w:val="1"/>
          <w:color w:val="auto"/>
        </w:rPr>
        <w:t>Dividends</w:t>
      </w:r>
      <w:r>
        <w:rPr>
          <w:rFonts w:ascii="Times New Roman" w:cs="Times New Roman" w:eastAsia="Times New Roman" w:hAnsi="Times New Roman"/>
          <w:sz w:val="22"/>
          <w:szCs w:val="22"/>
          <w:color w:val="auto"/>
        </w:rPr>
        <w:t>. Subject to the preferential rights of any preferred stock then outstanding, holders of our Class A common stock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Class B common 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 Holders of our Class A common stock and Class B common stock are also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w:t>
      </w:r>
    </w:p>
    <w:p>
      <w:pPr>
        <w:sectPr>
          <w:pgSz w:w="11900" w:h="16838" w:orient="portrait"/>
          <w:cols w:equalWidth="0" w:num="1">
            <w:col w:w="11240"/>
          </w:cols>
          <w:pgMar w:left="320" w:top="120"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dividends on, or stock splits of, our Class B common stock may also be paid or issued in shares of our Class A common stock.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“Dividend Policy” above.</w:t>
      </w:r>
    </w:p>
    <w:p>
      <w:pPr>
        <w:spacing w:after="0" w:line="219"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22"/>
          <w:szCs w:val="22"/>
          <w:i w:val="1"/>
          <w:iCs w:val="1"/>
          <w:color w:val="auto"/>
        </w:rPr>
        <w:t>Conversion of Class B common stock</w:t>
      </w:r>
      <w:r>
        <w:rPr>
          <w:rFonts w:ascii="Times New Roman" w:cs="Times New Roman" w:eastAsia="Times New Roman" w:hAnsi="Times New Roman"/>
          <w:sz w:val="22"/>
          <w:szCs w:val="22"/>
          <w:color w:val="auto"/>
        </w:rPr>
        <w:t>. The Class B common stock is convertible share for share into Class A common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certain restrictions.</w:t>
      </w:r>
    </w:p>
    <w:p>
      <w:pPr>
        <w:spacing w:after="0" w:line="16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1"/>
          <w:szCs w:val="21"/>
          <w:i w:val="1"/>
          <w:iCs w:val="1"/>
          <w:color w:val="auto"/>
        </w:rPr>
        <w:t>Approval rights</w:t>
      </w:r>
      <w:r>
        <w:rPr>
          <w:rFonts w:ascii="Times New Roman" w:cs="Times New Roman" w:eastAsia="Times New Roman" w:hAnsi="Times New Roman"/>
          <w:sz w:val="21"/>
          <w:szCs w:val="21"/>
          <w:color w:val="auto"/>
        </w:rPr>
        <w:t>. Except as required by law, holders of Class A common stock have no specific approval rights over any corporate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would limit the rights of holders of our Class B common stock or any subsequent transferee of our Class B common stock to transfer, vote or otherwise exercise rights with respect to our capital stock.</w:t>
      </w:r>
    </w:p>
    <w:p>
      <w:pPr>
        <w:spacing w:after="0" w:line="19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2"/>
          <w:szCs w:val="22"/>
          <w:i w:val="1"/>
          <w:iCs w:val="1"/>
          <w:color w:val="auto"/>
        </w:rPr>
        <w:t>Preferences on liquidation</w:t>
      </w:r>
      <w:r>
        <w:rPr>
          <w:rFonts w:ascii="Times New Roman" w:cs="Times New Roman" w:eastAsia="Times New Roman" w:hAnsi="Times New Roman"/>
          <w:sz w:val="22"/>
          <w:szCs w:val="22"/>
          <w:color w:val="auto"/>
        </w:rPr>
        <w:t>. In the event of our liquidation, dissolution or winding-up, either voluntary or involuntary, the holders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i w:val="1"/>
          <w:iCs w:val="1"/>
          <w:color w:val="auto"/>
        </w:rPr>
        <w:t>Mergers, consolidations, etc</w:t>
      </w:r>
      <w:r>
        <w:rPr>
          <w:rFonts w:ascii="Times New Roman" w:cs="Times New Roman" w:eastAsia="Times New Roman" w:hAnsi="Times New Roman"/>
          <w:sz w:val="22"/>
          <w:szCs w:val="22"/>
          <w:color w:val="auto"/>
        </w:rPr>
        <w:t>. Our articles of incorporation provide that if in a transaction such as a merger, consolidation, share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exchange or recapitalization, pursuant to which the holders of each class of our common stock outstanding would be entitled to receive equity interests of one or more corporations or other entities, or rights to acquire such equity interests, the Board of Directors may decide that in lieu of holders of each class of our common stock outstanding receiving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0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 The holders of Class A common stock and Class B common stock do not have any preemptive rights to acquire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proportionate percentage of any securities we may issue.</w:t>
      </w:r>
    </w:p>
    <w:p>
      <w:pPr>
        <w:sectPr>
          <w:pgSz w:w="11900" w:h="16838" w:orient="portrait"/>
          <w:cols w:equalWidth="0" w:num="1">
            <w:col w:w="11240"/>
          </w:cols>
          <w:pgMar w:left="320" w:top="120"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Our Board of Directors has the authority to issue up to 20,000,000 shares of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 subject to the limitations prescribed by Pennsylvania law and our articles of incorporation. The issuance of preferred stock could adversely affect the voting power of the holders of the Class A common stock and the likelihood that such holders will receive dividend payments and payments upon liquidation. In addition, the issuance of preferred stock may have the effect of delaying, deferring or preventing a change in control of Versant without further action by our shareholders and may adversely affect the voting and other rights of the holders of Class A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Election and Removal of Directors</w:t>
      </w:r>
    </w:p>
    <w:p>
      <w:pPr>
        <w:spacing w:after="0" w:line="251"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22"/>
          <w:szCs w:val="22"/>
          <w:color w:val="auto"/>
        </w:rPr>
        <w:t>Except as set forth in our articles of incorporation, the number of directors will be fixed exclusively by our Board of Directors from time to time. Each director shall be elected by a plurality of the votes cast by holders of all shares entitled to vote in the election at the meeting.</w:t>
      </w:r>
    </w:p>
    <w:p>
      <w:pPr>
        <w:spacing w:after="0" w:line="2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2"/>
          <w:szCs w:val="22"/>
          <w:color w:val="auto"/>
        </w:rPr>
        <w:t>Under the terms of our bylaws, our directors are removable, only for cause, by a majority of the votes cast at the meeting by the holders of shares entitled to vote in the election of directors, voting together as a single class. Except as set forth in our articles of incorporation, any vacancy occurring on the Board of Directors and any newly created directorship may be filled by a majority of the remaining directors in office (although less than a quorum) or by a sole remaining director, or if there are no remaining directors, then by the shareholders.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Election of Directors</w:t>
      </w:r>
    </w:p>
    <w:p>
      <w:pPr>
        <w:spacing w:after="0" w:line="26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2"/>
          <w:szCs w:val="22"/>
          <w:color w:val="auto"/>
        </w:rPr>
        <w:t>Directors are elected annually by the shareholders at each annual meeting of shareholders for a term expiring at the next annual meeting of shareholders.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Limits on Shareholder Action by Written Consent</w:t>
      </w:r>
    </w:p>
    <w:p>
      <w:pPr>
        <w:spacing w:after="0" w:line="25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2"/>
          <w:szCs w:val="22"/>
          <w:color w:val="auto"/>
        </w:rPr>
        <w:t>Our articles of incorporation and bylaws provide that our shareholders are not permitted to act by written consent in lieu of a meeting, provided that holders of a majority of our Class B common stock may act by written consent in lieu of a meeting in the exercise of certain approval rights over specified material transactions under our articles of incorporation.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Meetings</w:t>
      </w:r>
    </w:p>
    <w:p>
      <w:pPr>
        <w:spacing w:after="0" w:line="251"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2"/>
          <w:szCs w:val="22"/>
          <w:color w:val="auto"/>
        </w:rPr>
        <w:t>Our articles of incorporation and bylaws provide that special meetings of shareholders may be called by our Board of Directors and not by our shareholders.</w:t>
      </w:r>
    </w:p>
    <w:p>
      <w:pPr>
        <w:sectPr>
          <w:pgSz w:w="11900" w:h="16838" w:orient="portrait"/>
          <w:cols w:equalWidth="0" w:num="1">
            <w:col w:w="11240"/>
          </w:cols>
          <w:pgMar w:left="320" w:top="120"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Amendment of the Articles of Incorporation</w:t>
      </w:r>
    </w:p>
    <w:p>
      <w:pPr>
        <w:spacing w:after="0" w:line="251"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22"/>
          <w:szCs w:val="22"/>
          <w:color w:val="auto"/>
        </w:rPr>
        <w:t>Our articles of incorporation may be amended by resolution of our Board of Directors and the affirmative vote of a majority of the votes cast by all shareholders entitled to vote thereon, provided that any amendment to our articles of incorporation that would, in any such case, limit the rights of the holders of our Class B common stock or any subsequent transferee of Class B common stock to transfer, vote or otherwise exercise rights with respect to capital stock of Versant requires the approval of the holders of Class B common stock, voting separately as a class. In addition, the approval of the holder of any class or series of shares of Versant is necessary to approve any amendment to our articles of incorporation which would make any change in the preferences, limitations or rights of the shares of such class or series adverse to such class or series.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Amendment of Bylaws</w:t>
      </w:r>
    </w:p>
    <w:p>
      <w:pPr>
        <w:spacing w:after="0" w:line="25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2"/>
          <w:szCs w:val="22"/>
          <w:color w:val="auto"/>
        </w:rPr>
        <w:t>Our articles of incorporation and bylaws grant our Board of Directors the power to alter, amend and repeal our bylaws regardless of a prior shareholder vote except on any subject that is expressly committed to the shareholders by the express terms in our bylaws, subject to applicable law. Any amendment to the bylaws approved by our shareholders will not be deemed to have been adopted unless it has been previously approved by the Board of Directors.</w:t>
      </w:r>
    </w:p>
    <w:p>
      <w:pPr>
        <w:spacing w:after="0" w:line="20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21"/>
          <w:szCs w:val="21"/>
          <w:color w:val="auto"/>
        </w:rPr>
        <w:t>Subject to the provisions of our articles of incorporation, including the approval by the Board of Directors noted above, our bylaws grant our shareholders the power to alter, amend or repeal our bylaws with the affirmative vote of a majority of votes cast by all shareholders entitled to vote thereon, except that any repeal or amendment affecting the provision of our bylaws governing the indemnification of directors, officers and other persons in a manner so as either to reduce or limit indemnification or the advancement of expenses in any manner also requires either a unanimous vote of the directors then-serving, or the affirmative vote of at least 80% of the votes cast by all shareholders entitled to vote in an election of directors, provided that no such amendment may have a retroactive effect to reduce or limit the rights of an indemnitee to indemnification or the advancement of expenses with respect to any action or failure to act occurring prior to the time of such repeal or amendment.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Requirements for Advance Notification of Shareholder Nomination and Proposals</w:t>
      </w:r>
    </w:p>
    <w:p>
      <w:pPr>
        <w:spacing w:after="0" w:line="25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2"/>
          <w:szCs w:val="22"/>
          <w:color w:val="auto"/>
        </w:rPr>
        <w:t>Under our bylaws, shareholders of record are able to nominate persons for election to our Board of Directors or bring other business constituting a proper matter for shareholder action only by providing proper notice. Proper notice must generally be received, (i) in the case of an annual meeting that is called for a date that is within 30 days before or after the anniversary date of the immediately preceding annual meeting of shareholders, not less than 90 days, and not more than 120 days, prior to such anniversary date; and (ii) in the case of an annual meeting that is called for a date that is not within 30 days before or after the anniversary date of the immediately preceding annual meeting (or if no annual meeting was held in the preceding year), not later than the date the meeting is first announced by Versant.</w:t>
      </w:r>
    </w:p>
    <w:p>
      <w:pPr>
        <w:sectPr>
          <w:pgSz w:w="11900" w:h="16838" w:orient="portrait"/>
          <w:cols w:equalWidth="0" w:num="1">
            <w:col w:w="11240"/>
          </w:cols>
          <w:pgMar w:left="320" w:top="12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Proxy Access</w:t>
      </w:r>
    </w:p>
    <w:p>
      <w:pPr>
        <w:spacing w:after="0" w:line="25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color w:val="auto"/>
        </w:rPr>
        <w:t>Under our bylaws, up to 20 shareholders owning 3% or more of the aggregate number of shares outstanding of either class of our common stock continuously for at least three years may nominate the greater of two directors or up to 20% of our Board of Directors and include those nominees in our proxy materials. Notice of shareholder nominations for persons for election as a director that are to be included in our proxy statement must be delivered or mailed and received at our principal executive offices, not less than 120 days nor more than 150 days prior to the first anniversary of the date that we first distributed our proxy statement to shareholders for the immediately preceding annual meeting of shareholders.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 of Liability and Indemnification of Directors and Officers</w:t>
      </w:r>
    </w:p>
    <w:p>
      <w:pPr>
        <w:spacing w:after="0" w:line="264"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22"/>
          <w:szCs w:val="22"/>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Article Eleventh of our articles of incorporation provides that no person who is or was a director of Versant will be personally liable, as such, for monetary damages (other than under criminal statutes and under laws imposing such liability on directors for the payment of taxes) unless such person’s conduct constitutes self-dealing, willful misconduct or recklessness. Article Twelfth of Versant’s articles of incorporation extends such protection to any person who is or was an officer of Versant.</w:t>
      </w:r>
    </w:p>
    <w:p>
      <w:pPr>
        <w:spacing w:after="0" w:line="2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Article 7 of Versant’s bylaws provides that each current and, if applicable, former, officer and director of Versant will be indemnified and held harmless by Versant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Versant), whether civil, criminal, administrative or investigative, including any appeal therefrom (a “Proceeding”) arising out of or related to such director’s or officer’s (x) service at any time in his or her capacity as a director or officer of Versant or (y) service at any time in his or her capacity at the request or for the benefit of Versant as a director, officer, employee, agent, partner, or fiduciary of, or in any other capacity for, another entity (such services described in clauses (x) and (y), the “Covered Services”). No indemnification will be made pursuant to Versant’s bylaws,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under Article 7 of Versant’s bylaws), unless the Proceeding (or part of the Proceeding) was authorized by the Board of Directors. The right to indemnification under Versant’s bylaws includes the right to have the expenses incurred by such director or officer in participating in any Proceeding paid by Versant in advance of the</w:t>
      </w:r>
    </w:p>
    <w:p>
      <w:pPr>
        <w:sectPr>
          <w:pgSz w:w="11900" w:h="16838" w:orient="portrait"/>
          <w:cols w:equalWidth="0" w:num="1">
            <w:col w:w="11240"/>
          </w:cols>
          <w:pgMar w:left="320" w:top="120"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final disposition of the Proceeding arising out of or related to such director’s or officer’s Covered Services automatically and without any action or approval required by the Board of Directors, provided that, if Pennsylvania law requires, the payment of such expenses incurred by such director or officer in advance of the final disposition of a Proceeding shall be made only upon delivery to Versant of an undertaking, by or on behalf of such director or officer, to repay all advanced amounts without interest if it is ultimately determined that such director or officer is not entitled to be so indemnified.</w:t>
      </w:r>
    </w:p>
    <w:p>
      <w:pPr>
        <w:spacing w:after="0" w:line="20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Article 7 of Versant’s bylaws also provides that Versant may purchase and maintain insurance, at its expense, for the benefit of any person on behalf of whom insurance is permitted to be purchased by Pennsylvania law against any expense, liability or loss, whether or not Versant would have the power to indemnify such person under Pennsylvania or any other law. Versant may also purchase and maintain insurance to insure its indemnification obligations.</w:t>
      </w:r>
    </w:p>
    <w:p>
      <w:pPr>
        <w:spacing w:after="0" w:line="203"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22"/>
          <w:szCs w:val="22"/>
          <w:color w:val="auto"/>
        </w:rPr>
        <w:t>In addition, Versant will enter into indemnification agreements with all of its directors, to indemnify the directors to the fullest extent permitted by applicable law. Versant will maintain directors and officers insurance to insure such persons against certain liabilities.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Anti-Takeover Effects of Our Articles of Incorporation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Some of the provisions of our articles of incorporation and bylaws (as described above), including the rights of holders of our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B common stock, could make the following more difficult:</w:t>
      </w:r>
    </w:p>
    <w:p>
      <w:pPr>
        <w:spacing w:after="0" w:line="24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of control of us by means of a proxy contest or otherwise; or</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removal of our incumbent officers and directors.</w:t>
      </w:r>
    </w:p>
    <w:p>
      <w:pPr>
        <w:spacing w:after="0" w:line="247"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2"/>
          <w:szCs w:val="22"/>
          <w:color w:val="auto"/>
        </w:rPr>
        <w:t>These provisions, including our ability to issue preferred stock, may discourage coercive takeover practices and inadequate takeover bids. These provisions may also encourage persons seeking to acquire control of us to first negotiate with our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Pennsylvania Anti-Takeover Statutes</w:t>
      </w:r>
    </w:p>
    <w:p>
      <w:pPr>
        <w:spacing w:after="0" w:line="25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Under Section 1712 of the PBCL, which is applicable to Versant,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Under Section 1715 of the PBCL,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w:t>
      </w:r>
    </w:p>
    <w:p>
      <w:pPr>
        <w:sectPr>
          <w:pgSz w:w="11900" w:h="16838" w:orient="portrait"/>
          <w:cols w:equalWidth="0" w:num="1">
            <w:col w:w="11240"/>
          </w:cols>
          <w:pgMar w:left="320" w:top="120" w:right="339" w:bottom="1440" w:gutter="0" w:footer="0" w:header="0"/>
        </w:sectPr>
      </w:pPr>
    </w:p>
    <w:bookmarkStart w:id="85" w:name="page86"/>
    <w:bookmarkEnd w:id="85"/>
    <w:p>
      <w:pPr>
        <w:ind w:left="10260"/>
        <w:spacing w:after="0"/>
        <w:rPr>
          <w:sz w:val="20"/>
          <w:szCs w:val="20"/>
          <w:color w:val="auto"/>
        </w:rPr>
      </w:pPr>
      <w:r>
        <w:rPr>
          <w:rFonts w:ascii="Times New Roman" w:cs="Times New Roman" w:eastAsia="Times New Roman" w:hAnsi="Times New Roman"/>
          <w:sz w:val="21"/>
          <w:szCs w:val="21"/>
          <w:b w:val="1"/>
          <w:bCs w:val="1"/>
          <w:i w:val="1"/>
          <w:i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color w:val="auto"/>
        </w:rPr>
        <w:t>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w:t>
      </w:r>
    </w:p>
    <w:p>
      <w:pPr>
        <w:spacing w:after="0" w:line="22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Versant has opted out of Subchapters E, F, G, H, I and J and Section 2538 of Subchapter D of the PBCL. Subchapter E of Chapter 25 of the PBCL requires a person who acquires 20% or more of the shares of a publicly 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Authorized But Unissued Shares</w:t>
      </w:r>
    </w:p>
    <w:p>
      <w:pPr>
        <w:spacing w:after="0" w:line="2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2"/>
          <w:szCs w:val="22"/>
          <w:color w:val="auto"/>
        </w:rPr>
        <w:t>Our authorized but unissued shares of common stock and preferred stock are available for future issuance without shareholder approval. The Company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Versant by means of a proxy contest, tender offer, merger or otherwise.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transfer agent and registrar for our Class A common stock is Equiniti Trust Company, LLC. Its telephone number is 651-450-4064.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ectPr>
          <w:pgSz w:w="11900" w:h="16838" w:orient="portrait"/>
          <w:cols w:equalWidth="0" w:num="1">
            <w:col w:w="11240"/>
          </w:cols>
          <w:pgMar w:left="320" w:top="12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Class A common stock is listed on Nasdaq under the ticker symbol “VSNT.”</w:t>
      </w:r>
    </w:p>
    <w:p>
      <w:pPr>
        <w:sectPr>
          <w:pgSz w:w="11900" w:h="16838" w:orient="portrait"/>
          <w:cols w:equalWidth="0" w:num="1">
            <w:col w:w="11240"/>
          </w:cols>
          <w:pgMar w:left="320" w:top="120"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VERSANT MEDIA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(Effective January 2, 2026)</w:t>
      </w:r>
    </w:p>
    <w:p>
      <w:pPr>
        <w:spacing w:after="0" w:line="212" w:lineRule="exact"/>
        <w:rPr>
          <w:sz w:val="20"/>
          <w:szCs w:val="20"/>
          <w:color w:val="auto"/>
        </w:rPr>
      </w:pPr>
    </w:p>
    <w:p>
      <w:pPr>
        <w:ind w:left="700" w:hanging="692"/>
        <w:spacing w:after="0"/>
        <w:tabs>
          <w:tab w:leader="none" w:pos="70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BACKGROUND AND PURPOSE</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Each member of the Board of Directors (the “Board”) of Versant Media Group, Inc., a Pennsylvania corporation (together with its successors, the “Company”), who is not an employee or executive officer of the Company or its Subsidiaries (each such member, a “Non-Employee Director”) will be eligible to receive the compensation described in this Non-Employee Director Compensation Policy (this “Policy”) for his or her Board service. The terms of this Policy shall supersede all prior cash and/or equity compensation arrangements for service as a member of the Board between the Company and any Non-Employee Director and between any Subsidiary of the Company and any of its non-employee directors. While this Policy remains in effect, the cash compensation and equity grants described in this Policy shall be paid or be made, as applicable, automatically in accordance with the terms of the Policy, without the need for any further action by the Board (or any committee thereof). Capitalized terms used but not defined herein shall have the meanings ascribed to them in the Versant Media Group, Inc. Omnibus Incentive Plan (as may be amended and restated from time to time, or the applicable successor plan thereto, the “Omnibus Plan”).</w:t>
      </w:r>
    </w:p>
    <w:p>
      <w:pPr>
        <w:spacing w:after="0" w:line="166" w:lineRule="exact"/>
        <w:rPr>
          <w:sz w:val="20"/>
          <w:szCs w:val="20"/>
          <w:color w:val="auto"/>
        </w:rPr>
      </w:pPr>
    </w:p>
    <w:p>
      <w:pPr>
        <w:ind w:left="700" w:hanging="692"/>
        <w:spacing w:after="0"/>
        <w:tabs>
          <w:tab w:leader="none" w:pos="70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ANNUAL CASH COMPENSATION</w:t>
      </w:r>
    </w:p>
    <w:p>
      <w:pPr>
        <w:spacing w:after="0" w:line="193" w:lineRule="exact"/>
        <w:rPr>
          <w:sz w:val="20"/>
          <w:szCs w:val="20"/>
          <w:color w:val="auto"/>
        </w:rPr>
      </w:pPr>
    </w:p>
    <w:p>
      <w:pPr>
        <w:jc w:val="both"/>
        <w:ind w:left="500" w:hanging="492"/>
        <w:spacing w:after="0" w:line="258" w:lineRule="auto"/>
        <w:tabs>
          <w:tab w:leader="none" w:pos="49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Retainers</w:t>
      </w:r>
      <w:r>
        <w:rPr>
          <w:rFonts w:ascii="Times New Roman" w:cs="Times New Roman" w:eastAsia="Times New Roman" w:hAnsi="Times New Roman"/>
          <w:sz w:val="20"/>
          <w:szCs w:val="20"/>
          <w:color w:val="auto"/>
        </w:rPr>
        <w:t>. Each Non-Employee Director will be paid an annual cash retainer of $100,000 for each calendar year (a “</w:t>
      </w:r>
      <w:r>
        <w:rPr>
          <w:rFonts w:ascii="Times New Roman" w:cs="Times New Roman" w:eastAsia="Times New Roman" w:hAnsi="Times New Roman"/>
          <w:sz w:val="20"/>
          <w:szCs w:val="20"/>
          <w:u w:val="single" w:color="auto"/>
          <w:color w:val="auto"/>
        </w:rPr>
        <w:t>Compensation Year</w:t>
      </w:r>
      <w:r>
        <w:rPr>
          <w:rFonts w:ascii="Times New Roman" w:cs="Times New Roman" w:eastAsia="Times New Roman" w:hAnsi="Times New Roman"/>
          <w:sz w:val="20"/>
          <w:szCs w:val="20"/>
          <w:color w:val="auto"/>
        </w:rPr>
        <w:t xml:space="preserve">”). In addition, the Chairperson of the Board shall receive an additional cash retainer of $135,000 for each Compensation Year. The annual cash compensation provided for in this </w:t>
      </w:r>
      <w:r>
        <w:rPr>
          <w:rFonts w:ascii="Times New Roman" w:cs="Times New Roman" w:eastAsia="Times New Roman" w:hAnsi="Times New Roman"/>
          <w:sz w:val="20"/>
          <w:szCs w:val="20"/>
          <w:u w:val="single" w:color="auto"/>
          <w:color w:val="auto"/>
        </w:rPr>
        <w:t>Paragraph 2(a)</w:t>
      </w:r>
      <w:r>
        <w:rPr>
          <w:rFonts w:ascii="Times New Roman" w:cs="Times New Roman" w:eastAsia="Times New Roman" w:hAnsi="Times New Roman"/>
          <w:sz w:val="20"/>
          <w:szCs w:val="20"/>
          <w:color w:val="auto"/>
        </w:rPr>
        <w:t xml:space="preserve"> shall be referred to herein as the “</w:t>
      </w:r>
      <w:r>
        <w:rPr>
          <w:rFonts w:ascii="Times New Roman" w:cs="Times New Roman" w:eastAsia="Times New Roman" w:hAnsi="Times New Roman"/>
          <w:sz w:val="20"/>
          <w:szCs w:val="20"/>
          <w:u w:val="single" w:color="auto"/>
          <w:color w:val="auto"/>
        </w:rPr>
        <w:t>Annual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Retainers</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500" w:hanging="492"/>
        <w:spacing w:after="0" w:line="261" w:lineRule="auto"/>
        <w:tabs>
          <w:tab w:leader="none" w:pos="48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Committee Chair Retainers</w:t>
      </w:r>
      <w:r>
        <w:rPr>
          <w:rFonts w:ascii="Times New Roman" w:cs="Times New Roman" w:eastAsia="Times New Roman" w:hAnsi="Times New Roman"/>
          <w:sz w:val="20"/>
          <w:szCs w:val="20"/>
          <w:color w:val="auto"/>
        </w:rPr>
        <w:t xml:space="preserve">. Each Non-Employee Director is entitled to receive additional annual cash compensation as set forth in this </w:t>
      </w:r>
      <w:r>
        <w:rPr>
          <w:rFonts w:ascii="Times New Roman" w:cs="Times New Roman" w:eastAsia="Times New Roman" w:hAnsi="Times New Roman"/>
          <w:sz w:val="20"/>
          <w:szCs w:val="20"/>
          <w:u w:val="single" w:color="auto"/>
          <w:color w:val="auto"/>
        </w:rPr>
        <w:t>Paragraph 2(b)</w:t>
      </w:r>
      <w:r>
        <w:rPr>
          <w:rFonts w:ascii="Times New Roman" w:cs="Times New Roman" w:eastAsia="Times New Roman" w:hAnsi="Times New Roman"/>
          <w:sz w:val="20"/>
          <w:szCs w:val="20"/>
          <w:color w:val="auto"/>
        </w:rPr>
        <w:t xml:space="preserve"> for service during a Compensation Year as the Chairperson of a committee of the Board (collectively, the “</w:t>
      </w:r>
      <w:r>
        <w:rPr>
          <w:rFonts w:ascii="Times New Roman" w:cs="Times New Roman" w:eastAsia="Times New Roman" w:hAnsi="Times New Roman"/>
          <w:sz w:val="20"/>
          <w:szCs w:val="20"/>
          <w:u w:val="single" w:color="auto"/>
          <w:color w:val="auto"/>
        </w:rPr>
        <w:t>Chair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Retainers</w:t>
      </w:r>
      <w:r>
        <w:rPr>
          <w:rFonts w:ascii="Times New Roman" w:cs="Times New Roman" w:eastAsia="Times New Roman" w:hAnsi="Times New Roman"/>
          <w:sz w:val="20"/>
          <w:szCs w:val="20"/>
          <w:color w:val="auto"/>
        </w:rPr>
        <w:t>”), as set forth in the following table:</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6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Committee</w:t>
            </w:r>
          </w:p>
        </w:tc>
        <w:tc>
          <w:tcPr>
            <w:tcW w:w="30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Chair Retainer</w:t>
            </w:r>
          </w:p>
        </w:tc>
      </w:tr>
      <w:tr>
        <w:trPr>
          <w:trHeight w:val="244"/>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Audit Committee</w:t>
            </w:r>
          </w:p>
        </w:tc>
        <w:tc>
          <w:tcPr>
            <w:tcW w:w="320" w:type="dxa"/>
            <w:vAlign w:val="bottom"/>
          </w:tcPr>
          <w:p>
            <w:pPr>
              <w:spacing w:after="0"/>
              <w:rPr>
                <w:sz w:val="21"/>
                <w:szCs w:val="21"/>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$35,000</w:t>
            </w:r>
          </w:p>
        </w:tc>
      </w:tr>
      <w:tr>
        <w:trPr>
          <w:trHeight w:val="257"/>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Compensation and Culture Committee</w:t>
            </w:r>
          </w:p>
        </w:tc>
        <w:tc>
          <w:tcPr>
            <w:tcW w:w="3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$25,000</w:t>
            </w:r>
          </w:p>
        </w:tc>
      </w:tr>
      <w:tr>
        <w:trPr>
          <w:trHeight w:val="198"/>
        </w:trPr>
        <w:tc>
          <w:tcPr>
            <w:tcW w:w="45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20"/>
                <w:szCs w:val="20"/>
                <w:color w:val="auto"/>
              </w:rPr>
              <w:t>Nominating   and   Corporate   Governance</w:t>
            </w:r>
          </w:p>
        </w:tc>
        <w:tc>
          <w:tcPr>
            <w:tcW w:w="3040" w:type="dxa"/>
            <w:vAlign w:val="bottom"/>
          </w:tcPr>
          <w:p>
            <w:pPr>
              <w:ind w:left="20"/>
              <w:spacing w:after="0" w:line="198" w:lineRule="exact"/>
              <w:rPr>
                <w:sz w:val="20"/>
                <w:szCs w:val="20"/>
                <w:color w:val="auto"/>
              </w:rPr>
            </w:pPr>
            <w:r>
              <w:rPr>
                <w:rFonts w:ascii="Times New Roman" w:cs="Times New Roman" w:eastAsia="Times New Roman" w:hAnsi="Times New Roman"/>
                <w:sz w:val="20"/>
                <w:szCs w:val="20"/>
                <w:color w:val="auto"/>
              </w:rPr>
              <w:t>$20,000</w:t>
            </w:r>
          </w:p>
        </w:tc>
      </w:tr>
      <w:tr>
        <w:trPr>
          <w:trHeight w:val="258"/>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Committee</w:t>
            </w:r>
          </w:p>
        </w:tc>
        <w:tc>
          <w:tcPr>
            <w:tcW w:w="3040" w:type="dxa"/>
            <w:vAlign w:val="bottom"/>
          </w:tcPr>
          <w:p>
            <w:pPr>
              <w:spacing w:after="0"/>
              <w:rPr>
                <w:sz w:val="22"/>
                <w:szCs w:val="22"/>
                <w:color w:val="auto"/>
              </w:rPr>
            </w:pPr>
          </w:p>
        </w:tc>
      </w:tr>
    </w:tbl>
    <w:p>
      <w:pPr>
        <w:spacing w:after="0" w:line="56" w:lineRule="exact"/>
        <w:rPr>
          <w:sz w:val="20"/>
          <w:szCs w:val="20"/>
          <w:color w:val="auto"/>
        </w:rPr>
      </w:pPr>
    </w:p>
    <w:p>
      <w:pPr>
        <w:ind w:left="500"/>
        <w:spacing w:after="0" w:line="283" w:lineRule="auto"/>
        <w:rPr>
          <w:sz w:val="20"/>
          <w:szCs w:val="20"/>
          <w:color w:val="auto"/>
        </w:rPr>
      </w:pPr>
      <w:r>
        <w:rPr>
          <w:rFonts w:ascii="Times New Roman" w:cs="Times New Roman" w:eastAsia="Times New Roman" w:hAnsi="Times New Roman"/>
          <w:sz w:val="20"/>
          <w:szCs w:val="20"/>
          <w:color w:val="auto"/>
        </w:rPr>
        <w:t>If the Board establishes any other committee of the Board, the Chair Retainer (if any) in respect of such other committee shall be determined upon such committee’s establishment.</w:t>
      </w:r>
    </w:p>
    <w:p>
      <w:pPr>
        <w:spacing w:after="0" w:line="146" w:lineRule="exact"/>
        <w:rPr>
          <w:sz w:val="20"/>
          <w:szCs w:val="20"/>
          <w:color w:val="auto"/>
        </w:rPr>
      </w:pPr>
    </w:p>
    <w:p>
      <w:pPr>
        <w:ind w:left="500" w:hanging="492"/>
        <w:spacing w:after="0" w:line="283" w:lineRule="auto"/>
        <w:tabs>
          <w:tab w:leader="none" w:pos="49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Committee Member Retainers</w:t>
      </w:r>
      <w:r>
        <w:rPr>
          <w:rFonts w:ascii="Times New Roman" w:cs="Times New Roman" w:eastAsia="Times New Roman" w:hAnsi="Times New Roman"/>
          <w:sz w:val="20"/>
          <w:szCs w:val="20"/>
          <w:color w:val="auto"/>
        </w:rPr>
        <w:t xml:space="preserve">. Each Non-Employee Director (other than the Chairperson of a Committee) is entitled to receive additional annual cash compensation as set forth in this </w:t>
      </w:r>
      <w:r>
        <w:rPr>
          <w:rFonts w:ascii="Times New Roman" w:cs="Times New Roman" w:eastAsia="Times New Roman" w:hAnsi="Times New Roman"/>
          <w:sz w:val="20"/>
          <w:szCs w:val="20"/>
          <w:u w:val="single" w:color="auto"/>
          <w:color w:val="auto"/>
        </w:rPr>
        <w:t>Paragraph</w:t>
      </w:r>
    </w:p>
    <w:p>
      <w:pPr>
        <w:sectPr>
          <w:pgSz w:w="11900" w:h="16838" w:orient="portrait"/>
          <w:cols w:equalWidth="0" w:num="1">
            <w:col w:w="11240"/>
          </w:cols>
          <w:pgMar w:left="320" w:top="117" w:right="339" w:bottom="1440" w:gutter="0" w:footer="0" w:header="0"/>
        </w:sectPr>
      </w:pPr>
    </w:p>
    <w:bookmarkStart w:id="88" w:name="page89"/>
    <w:bookmarkEnd w:id="88"/>
    <w:p>
      <w:pPr>
        <w:ind w:left="500"/>
        <w:spacing w:after="0" w:line="283" w:lineRule="auto"/>
        <w:rPr>
          <w:sz w:val="20"/>
          <w:szCs w:val="20"/>
          <w:color w:val="auto"/>
        </w:rPr>
      </w:pPr>
      <w:r>
        <w:rPr>
          <w:rFonts w:ascii="Times New Roman" w:cs="Times New Roman" w:eastAsia="Times New Roman" w:hAnsi="Times New Roman"/>
          <w:sz w:val="20"/>
          <w:szCs w:val="20"/>
          <w:u w:val="single" w:color="auto"/>
          <w:color w:val="auto"/>
        </w:rPr>
        <w:t>2(c)</w:t>
      </w:r>
      <w:r>
        <w:rPr>
          <w:rFonts w:ascii="Times New Roman" w:cs="Times New Roman" w:eastAsia="Times New Roman" w:hAnsi="Times New Roman"/>
          <w:sz w:val="20"/>
          <w:szCs w:val="20"/>
          <w:color w:val="auto"/>
        </w:rPr>
        <w:t xml:space="preserve"> for service during a Compensation Year as a member of a committee of the Board (collectively, the “</w:t>
      </w:r>
      <w:r>
        <w:rPr>
          <w:rFonts w:ascii="Times New Roman" w:cs="Times New Roman" w:eastAsia="Times New Roman" w:hAnsi="Times New Roman"/>
          <w:sz w:val="20"/>
          <w:szCs w:val="20"/>
          <w:u w:val="single" w:color="auto"/>
          <w:color w:val="auto"/>
        </w:rPr>
        <w:t>Member Retainers</w:t>
      </w:r>
      <w:r>
        <w:rPr>
          <w:rFonts w:ascii="Times New Roman" w:cs="Times New Roman" w:eastAsia="Times New Roman" w:hAnsi="Times New Roman"/>
          <w:sz w:val="20"/>
          <w:szCs w:val="20"/>
          <w:color w:val="auto"/>
        </w:rPr>
        <w:t>,” and together with the Chair Retainers, the “</w:t>
      </w:r>
      <w:r>
        <w:rPr>
          <w:rFonts w:ascii="Times New Roman" w:cs="Times New Roman" w:eastAsia="Times New Roman" w:hAnsi="Times New Roman"/>
          <w:sz w:val="20"/>
          <w:szCs w:val="20"/>
          <w:u w:val="single" w:color="auto"/>
          <w:color w:val="auto"/>
        </w:rPr>
        <w:t>Committee Retainers</w:t>
      </w:r>
      <w:r>
        <w:rPr>
          <w:rFonts w:ascii="Times New Roman" w:cs="Times New Roman" w:eastAsia="Times New Roman" w:hAnsi="Times New Roman"/>
          <w:sz w:val="20"/>
          <w:szCs w:val="20"/>
          <w:color w:val="auto"/>
        </w:rPr>
        <w:t>”), as set forth in the following table:</w:t>
      </w:r>
    </w:p>
    <w:p>
      <w:pPr>
        <w:spacing w:after="0" w:line="183" w:lineRule="exact"/>
        <w:rPr>
          <w:sz w:val="20"/>
          <w:szCs w:val="20"/>
          <w:color w:val="auto"/>
        </w:rPr>
      </w:pPr>
    </w:p>
    <w:tbl>
      <w:tblPr>
        <w:tblLayout w:type="fixed"/>
        <w:tblInd w:w="740" w:type="dxa"/>
        <w:tblCellMar>
          <w:top w:w="0" w:type="dxa"/>
          <w:left w:w="0" w:type="dxa"/>
          <w:bottom w:w="0" w:type="dxa"/>
          <w:right w:w="0" w:type="dxa"/>
        </w:tblCellMar>
      </w:tblPr>
      <w:tr>
        <w:trPr>
          <w:trHeight w:val="266"/>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Committee</w:t>
            </w:r>
          </w:p>
        </w:tc>
        <w:tc>
          <w:tcPr>
            <w:tcW w:w="30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Member Retainer</w:t>
            </w:r>
          </w:p>
        </w:tc>
      </w:tr>
      <w:tr>
        <w:trPr>
          <w:trHeight w:val="244"/>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Audit Committee</w:t>
            </w:r>
          </w:p>
        </w:tc>
        <w:tc>
          <w:tcPr>
            <w:tcW w:w="300" w:type="dxa"/>
            <w:vAlign w:val="bottom"/>
          </w:tcPr>
          <w:p>
            <w:pPr>
              <w:spacing w:after="0"/>
              <w:rPr>
                <w:sz w:val="21"/>
                <w:szCs w:val="21"/>
                <w:color w:val="auto"/>
              </w:rPr>
            </w:pPr>
          </w:p>
        </w:tc>
        <w:tc>
          <w:tcPr>
            <w:tcW w:w="3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$15,000</w:t>
            </w:r>
          </w:p>
        </w:tc>
      </w:tr>
      <w:tr>
        <w:trPr>
          <w:trHeight w:val="257"/>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Compensation and Culture Committee</w:t>
            </w:r>
          </w:p>
        </w:tc>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$15,000</w:t>
            </w:r>
          </w:p>
        </w:tc>
      </w:tr>
      <w:tr>
        <w:trPr>
          <w:trHeight w:val="203"/>
        </w:trPr>
        <w:tc>
          <w:tcPr>
            <w:tcW w:w="43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20"/>
                <w:szCs w:val="20"/>
                <w:color w:val="auto"/>
              </w:rPr>
              <w:t>Nominating  and  Corporate  Governance</w:t>
            </w:r>
          </w:p>
        </w:tc>
        <w:tc>
          <w:tcPr>
            <w:tcW w:w="302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$10,000</w:t>
            </w:r>
          </w:p>
        </w:tc>
      </w:tr>
      <w:tr>
        <w:trPr>
          <w:trHeight w:val="258"/>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Committee</w:t>
            </w:r>
          </w:p>
        </w:tc>
        <w:tc>
          <w:tcPr>
            <w:tcW w:w="3020" w:type="dxa"/>
            <w:vAlign w:val="bottom"/>
          </w:tcPr>
          <w:p>
            <w:pPr>
              <w:spacing w:after="0"/>
              <w:rPr>
                <w:sz w:val="22"/>
                <w:szCs w:val="22"/>
                <w:color w:val="auto"/>
              </w:rPr>
            </w:pPr>
          </w:p>
        </w:tc>
      </w:tr>
    </w:tbl>
    <w:p>
      <w:pPr>
        <w:spacing w:after="0" w:line="66" w:lineRule="exact"/>
        <w:rPr>
          <w:sz w:val="20"/>
          <w:szCs w:val="20"/>
          <w:color w:val="auto"/>
        </w:rPr>
      </w:pPr>
    </w:p>
    <w:p>
      <w:pPr>
        <w:ind w:left="500"/>
        <w:spacing w:after="0" w:line="269" w:lineRule="auto"/>
        <w:rPr>
          <w:sz w:val="20"/>
          <w:szCs w:val="20"/>
          <w:color w:val="auto"/>
        </w:rPr>
      </w:pPr>
      <w:r>
        <w:rPr>
          <w:rFonts w:ascii="Times New Roman" w:cs="Times New Roman" w:eastAsia="Times New Roman" w:hAnsi="Times New Roman"/>
          <w:sz w:val="20"/>
          <w:szCs w:val="20"/>
          <w:color w:val="auto"/>
        </w:rPr>
        <w:t>If the Board establishes any other committee of the Board, the Committee Retainer (if any) in respect of such other committee shall be determined upon such committee’s establishment.</w:t>
      </w:r>
    </w:p>
    <w:p>
      <w:pPr>
        <w:spacing w:after="0" w:line="173" w:lineRule="exact"/>
        <w:rPr>
          <w:sz w:val="20"/>
          <w:szCs w:val="20"/>
          <w:color w:val="auto"/>
        </w:rPr>
      </w:pPr>
    </w:p>
    <w:p>
      <w:pPr>
        <w:jc w:val="both"/>
        <w:ind w:left="500" w:hanging="492"/>
        <w:spacing w:after="0" w:line="253" w:lineRule="auto"/>
        <w:tabs>
          <w:tab w:leader="none" w:pos="48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Schedule; Proration of Annual Retainers &amp; Committee Retainers</w:t>
      </w:r>
      <w:r>
        <w:rPr>
          <w:rFonts w:ascii="Times New Roman" w:cs="Times New Roman" w:eastAsia="Times New Roman" w:hAnsi="Times New Roman"/>
          <w:sz w:val="20"/>
          <w:szCs w:val="20"/>
          <w:color w:val="auto"/>
        </w:rPr>
        <w:t>. Except to extent deferred under the Company’s Non-Employee Director Deferred Compensation Plan (the “</w:t>
      </w:r>
      <w:r>
        <w:rPr>
          <w:rFonts w:ascii="Times New Roman" w:cs="Times New Roman" w:eastAsia="Times New Roman" w:hAnsi="Times New Roman"/>
          <w:sz w:val="20"/>
          <w:szCs w:val="20"/>
          <w:u w:val="single" w:color="auto"/>
          <w:color w:val="auto"/>
        </w:rPr>
        <w:t>Deferred Compensation Plan</w:t>
      </w:r>
      <w:r>
        <w:rPr>
          <w:rFonts w:ascii="Times New Roman" w:cs="Times New Roman" w:eastAsia="Times New Roman" w:hAnsi="Times New Roman"/>
          <w:sz w:val="20"/>
          <w:szCs w:val="20"/>
          <w:color w:val="auto"/>
        </w:rPr>
        <w:t>”) (to the extent deferrals of Annual Retainers and Committee Retainers are permitted by the Compensation and Culture Committee of the Board), the Annual Retainer and Committee Retainer(s) for each Non-Employee Director shall be payable in equal quarterly installments in arrears (with the actual payment thereof to occur as soon as reasonably practicable following the end of the applicable calendar quarter). Payments shall be pro-rated for partial periods of service as a Non-Employee Director or on a Committee of the Board.</w:t>
      </w:r>
    </w:p>
    <w:p>
      <w:pPr>
        <w:spacing w:after="0" w:line="192"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20"/>
          <w:szCs w:val="20"/>
          <w:color w:val="auto"/>
        </w:rPr>
        <w:t>Payment of the Annual Retainer and Committee Retainers shall be made in the form of cash, provided that, in the event determined by the Board in its discretion, the Board may permit Non-Employee Directors to elect to receive payment of Annual Retainers and/or Committee Retainers in the form of Shares (either on a current or deferred basis pursuant to the Deferred Compensation Plan).</w:t>
      </w:r>
    </w:p>
    <w:p>
      <w:pPr>
        <w:spacing w:after="0" w:line="150" w:lineRule="exact"/>
        <w:rPr>
          <w:sz w:val="20"/>
          <w:szCs w:val="20"/>
          <w:color w:val="auto"/>
        </w:rPr>
      </w:pPr>
    </w:p>
    <w:p>
      <w:pPr>
        <w:ind w:left="700" w:hanging="692"/>
        <w:spacing w:after="0"/>
        <w:tabs>
          <w:tab w:leader="none" w:pos="70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ANNUAL EQUITY COMPENSATION</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On the first trading day following each annual general meeting of the Company’s stockholders after the effective date of this Policy, each individual who is then a Non-Employee Director shall be granted an award of Restricted Stock Units under the Omnibus Plan with respect to a number of Shares equal to (i) $185,000 </w:t>
      </w:r>
      <w:r>
        <w:rPr>
          <w:rFonts w:ascii="Times New Roman" w:cs="Times New Roman" w:eastAsia="Times New Roman" w:hAnsi="Times New Roman"/>
          <w:sz w:val="20"/>
          <w:szCs w:val="20"/>
          <w:i w:val="1"/>
          <w:iCs w:val="1"/>
          <w:color w:val="auto"/>
        </w:rPr>
        <w:t>divided by</w:t>
      </w:r>
      <w:r>
        <w:rPr>
          <w:rFonts w:ascii="Times New Roman" w:cs="Times New Roman" w:eastAsia="Times New Roman" w:hAnsi="Times New Roman"/>
          <w:sz w:val="20"/>
          <w:szCs w:val="20"/>
          <w:color w:val="auto"/>
        </w:rPr>
        <w:t xml:space="preserve"> (ii) the Fair Market Value of a Share as of the grant date of such Restricted Stock Units (rounded to the nearest whole number) (the “</w:t>
      </w:r>
      <w:r>
        <w:rPr>
          <w:rFonts w:ascii="Times New Roman" w:cs="Times New Roman" w:eastAsia="Times New Roman" w:hAnsi="Times New Roman"/>
          <w:sz w:val="20"/>
          <w:szCs w:val="20"/>
          <w:u w:val="single" w:color="auto"/>
          <w:color w:val="auto"/>
        </w:rPr>
        <w:t>Annual Equity Award</w:t>
      </w:r>
      <w:r>
        <w:rPr>
          <w:rFonts w:ascii="Times New Roman" w:cs="Times New Roman" w:eastAsia="Times New Roman" w:hAnsi="Times New Roman"/>
          <w:sz w:val="20"/>
          <w:szCs w:val="20"/>
          <w:color w:val="auto"/>
        </w:rPr>
        <w:t>”). Each Annual Equity Award will vest on the earlier to occur of (A) the one-year anniversary of the grant date and (B) the date of the next regularly scheduled annual general meeting of the Company’s stockholders, in each case, subject to the Non-Employee Director’s continuous service as a member of the Board through the applicable vesting date.</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Delivery of Shares underlying vested Annual Equity Awards may be deferred in accordance with, and subject to, the terms and conditions of the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89" w:name="page90"/>
    <w:bookmarkEnd w:id="89"/>
    <w:p>
      <w:pPr>
        <w:ind w:left="700" w:hanging="692"/>
        <w:spacing w:after="0"/>
        <w:tabs>
          <w:tab w:leader="none" w:pos="7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EXPENSES; OTHER BENEFITS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will reimburse each Non-Employee Director for all reasonable out-of-pocket expenses incurred by such Non-Employee Director for attending meetings of the Board of any committee thereof; provided that such Non-Employee Director timely submits to the Company appropriate documentation substantiating such expenses in accordance with the Company’s expense policy, as in effect from time to time. The Company may also provide Non-Employee Directors with other reasonable perquisites and benefits as determined by the Board from time to time.</w:t>
      </w:r>
    </w:p>
    <w:p>
      <w:pPr>
        <w:spacing w:after="0" w:line="174" w:lineRule="exact"/>
        <w:rPr>
          <w:sz w:val="20"/>
          <w:szCs w:val="20"/>
          <w:color w:val="auto"/>
        </w:rPr>
      </w:pPr>
    </w:p>
    <w:p>
      <w:pPr>
        <w:ind w:left="700" w:hanging="692"/>
        <w:spacing w:after="0"/>
        <w:tabs>
          <w:tab w:leader="none" w:pos="70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TAXES; SECTION 409A OF THE CODE</w:t>
      </w:r>
    </w:p>
    <w:p>
      <w:pPr>
        <w:spacing w:after="0" w:line="19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Company may withhold the amount of any applicable withholding taxes due in connection with the payment of any compensation or benefits under this Policy, as it may deem necessary or appropriate, in its sole discretion.</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Policy and any compensation granted hereunder is intended to comply with, or be exempt from, the provisions of Section 409A of the Internal Revenue Code of 1986, as amended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and the provisions of the Policy shall be interpreted in a manner that satisfies the requirements of Section 409A, and the Policy shall be operated accordingly. If any provision of the Policy would otherwise frustrate or conflict with this intent, the provision, term or condition shall be interpreted and deemed amended so as to avoid this conflict. If any compensation granted hereunder includes a “series of installment payments” (within the meaning of Section 1.409A-2(b)(2)(iii) of the Treasury Regulations), a Non-Employee Director’s right to such series of installment payments shall be treated as a right to a series of separate payments and not as a right to a single payment. Notwithstanding the foregoing, the tax treatment of the benefits provided under the Policy is not warranted or guaranteed, and in no event shall the Company be liable for all or any portion of any taxes, penalties, interest or other expenses that may be incurred by any Non-Employee Director on account of non-compliance with Section 409A.</w:t>
      </w:r>
    </w:p>
    <w:p>
      <w:pPr>
        <w:spacing w:after="0" w:line="172" w:lineRule="exact"/>
        <w:rPr>
          <w:sz w:val="20"/>
          <w:szCs w:val="20"/>
          <w:color w:val="auto"/>
        </w:rPr>
      </w:pPr>
    </w:p>
    <w:p>
      <w:pPr>
        <w:ind w:left="700" w:hanging="692"/>
        <w:spacing w:after="0"/>
        <w:tabs>
          <w:tab w:leader="none" w:pos="70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STOCK OWNERSHIP REQUIREMENTS</w:t>
      </w:r>
    </w:p>
    <w:p>
      <w:pPr>
        <w:spacing w:after="0" w:line="19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Each Non-Employee Director shall be required to comply with any stock ownership and/or retention requirements or policy established by the Board from time to time.</w:t>
      </w:r>
    </w:p>
    <w:p>
      <w:pPr>
        <w:ind w:left="700" w:hanging="692"/>
        <w:spacing w:after="0"/>
        <w:tabs>
          <w:tab w:leader="none" w:pos="70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 OF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-24765</wp:posOffset>
            </wp:positionV>
            <wp:extent cx="21583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2158365" cy="8255"/>
                    </a:xfrm>
                    <a:prstGeom prst="rect">
                      <a:avLst/>
                    </a:prstGeom>
                    <a:noFill/>
                  </pic:spPr>
                </pic:pic>
              </a:graphicData>
            </a:graphic>
          </wp:anchor>
        </w:drawing>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Policy shall be administered by the Board. Subject to the express terms and conditions set forth in this Policy, the Board shall have the power, from time to time, to interpret the Policy’s provisions, prescribe, amend and rescind rules and regulations for the Policy, and make all other determinations necessary or advisable for the administration of the Policy. The determination of the Board in all matters as stated above shall be conclusive.</w:t>
      </w:r>
    </w:p>
    <w:p>
      <w:pPr>
        <w:spacing w:after="0" w:line="168" w:lineRule="exact"/>
        <w:rPr>
          <w:sz w:val="20"/>
          <w:szCs w:val="20"/>
          <w:color w:val="auto"/>
        </w:rPr>
      </w:pPr>
    </w:p>
    <w:p>
      <w:pPr>
        <w:ind w:left="700" w:hanging="692"/>
        <w:spacing w:after="0"/>
        <w:tabs>
          <w:tab w:leader="none" w:pos="70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AND TERMINATION</w:t>
      </w:r>
    </w:p>
    <w:p>
      <w:pPr>
        <w:spacing w:after="0" w:line="19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The Policy may be amended or terminated by the Board at any time. No accrued right to payment as determined under </w:t>
      </w:r>
      <w:r>
        <w:rPr>
          <w:rFonts w:ascii="Times New Roman" w:cs="Times New Roman" w:eastAsia="Times New Roman" w:hAnsi="Times New Roman"/>
          <w:sz w:val="20"/>
          <w:szCs w:val="20"/>
          <w:u w:val="single" w:color="auto"/>
          <w:color w:val="auto"/>
        </w:rPr>
        <w:t>Paragraphs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shall be affected by any such termination or amendment without the written consent of the affected Non-Employee Director.</w:t>
      </w:r>
    </w:p>
    <w:p>
      <w:pPr>
        <w:spacing w:after="0" w:line="142" w:lineRule="exact"/>
        <w:rPr>
          <w:sz w:val="20"/>
          <w:szCs w:val="20"/>
          <w:color w:val="auto"/>
        </w:rPr>
      </w:pPr>
    </w:p>
    <w:p>
      <w:pPr>
        <w:ind w:left="700" w:hanging="692"/>
        <w:spacing w:after="0"/>
        <w:tabs>
          <w:tab w:leader="none" w:pos="70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w:t>
      </w:r>
    </w:p>
    <w:p>
      <w:pPr>
        <w:spacing w:after="0" w:line="19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Policy and all determinations made and actions taken pursuant to the Policy shall be governed in accordance with Pennsylvania law without regard to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10.10</w:t>
      </w:r>
    </w:p>
    <w:p>
      <w:pPr>
        <w:spacing w:after="0" w:line="17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VERSANT MEDIA GROUP, INC.</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DEFERRED COMPENSATION PLAN FOR NON-EMPLOYEE DIRECTORS</w:t>
      </w:r>
    </w:p>
    <w:p>
      <w:pPr>
        <w:spacing w:after="0" w:line="1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(Effective January 2, 2026)</w:t>
      </w:r>
    </w:p>
    <w:p>
      <w:pPr>
        <w:spacing w:after="0" w:line="252" w:lineRule="exact"/>
        <w:rPr>
          <w:sz w:val="20"/>
          <w:szCs w:val="20"/>
          <w:color w:val="auto"/>
        </w:rPr>
      </w:pPr>
    </w:p>
    <w:p>
      <w:pPr>
        <w:ind w:left="580" w:hanging="328"/>
        <w:spacing w:after="0"/>
        <w:tabs>
          <w:tab w:leader="none" w:pos="58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w:t>
      </w:r>
    </w:p>
    <w:p>
      <w:pPr>
        <w:spacing w:after="0" w:line="260" w:lineRule="exact"/>
        <w:rPr>
          <w:rFonts w:ascii="Times New Roman" w:cs="Times New Roman" w:eastAsia="Times New Roman" w:hAnsi="Times New Roman"/>
          <w:sz w:val="20"/>
          <w:szCs w:val="20"/>
          <w:b w:val="1"/>
          <w:bCs w:val="1"/>
          <w:color w:val="auto"/>
        </w:rPr>
      </w:pPr>
    </w:p>
    <w:p>
      <w:pPr>
        <w:jc w:val="both"/>
        <w:ind w:left="20" w:right="160" w:firstLine="656"/>
        <w:spacing w:after="0" w:line="253" w:lineRule="auto"/>
        <w:tabs>
          <w:tab w:leader="none" w:pos="1212"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w:t>
      </w:r>
      <w:r>
        <w:rPr>
          <w:rFonts w:ascii="Times New Roman" w:cs="Times New Roman" w:eastAsia="Times New Roman" w:hAnsi="Times New Roman"/>
          <w:sz w:val="20"/>
          <w:szCs w:val="20"/>
          <w:color w:val="auto"/>
        </w:rPr>
        <w:t>. The purpose of this Deferred Compensation Plan for Non-Employee Directors (as may be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to attract and retain the services of Non-Employee Directors of Versant Media Group, Inc., a Pennsylvania corporation (including any successor thereto by merger, consolidation, amalgamation, acquisition of all or substantially all the assets thereof, or otherwise,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by providing them with opportunities to defer the settlement of Restricted Stock Units and other compensation and to encourage them to acquire additional Shares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thereby furthering the best interests of the Company and its shareholders. Non-Employee Directors receive compensation for service on the Board and committees of the Board in accordance with the terms of the Versant Media Group Inc. Non-Employee Director Compensation Policy (as may be amended from time to time, the “</w:t>
      </w:r>
      <w:r>
        <w:rPr>
          <w:rFonts w:ascii="Times New Roman" w:cs="Times New Roman" w:eastAsia="Times New Roman" w:hAnsi="Times New Roman"/>
          <w:sz w:val="20"/>
          <w:szCs w:val="20"/>
          <w:u w:val="single" w:color="auto"/>
          <w:color w:val="auto"/>
        </w:rPr>
        <w:t>Director Compensation Policy</w:t>
      </w:r>
      <w:r>
        <w:rPr>
          <w:rFonts w:ascii="Times New Roman" w:cs="Times New Roman" w:eastAsia="Times New Roman" w:hAnsi="Times New Roman"/>
          <w:sz w:val="20"/>
          <w:szCs w:val="20"/>
          <w:color w:val="auto"/>
        </w:rPr>
        <w:t>”).</w:t>
      </w:r>
    </w:p>
    <w:p>
      <w:pPr>
        <w:spacing w:after="0" w:line="207" w:lineRule="exact"/>
        <w:rPr>
          <w:rFonts w:ascii="Times New Roman" w:cs="Times New Roman" w:eastAsia="Times New Roman" w:hAnsi="Times New Roman"/>
          <w:sz w:val="20"/>
          <w:szCs w:val="20"/>
          <w:color w:val="auto"/>
        </w:rPr>
      </w:pPr>
    </w:p>
    <w:p>
      <w:pPr>
        <w:jc w:val="both"/>
        <w:ind w:left="20" w:right="240" w:firstLine="656"/>
        <w:spacing w:after="0" w:line="258" w:lineRule="auto"/>
        <w:tabs>
          <w:tab w:leader="none" w:pos="1209"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Omnibus Incentive Plan.</w:t>
      </w:r>
      <w:r>
        <w:rPr>
          <w:rFonts w:ascii="Times New Roman" w:cs="Times New Roman" w:eastAsia="Times New Roman" w:hAnsi="Times New Roman"/>
          <w:sz w:val="20"/>
          <w:szCs w:val="20"/>
          <w:color w:val="auto"/>
        </w:rPr>
        <w:t xml:space="preserve"> The Plan does not authorize or contemplate any additional Shares beyond the Shares authorized under the Versant Media Group, Inc. Omnibus Equity Incentive Plan (as may be amended and restated from time to time, or the applicable successor plan thereto</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Omnibus Plan</w:t>
      </w:r>
      <w:r>
        <w:rPr>
          <w:rFonts w:ascii="Times New Roman" w:cs="Times New Roman" w:eastAsia="Times New Roman" w:hAnsi="Times New Roman"/>
          <w:sz w:val="20"/>
          <w:szCs w:val="20"/>
          <w:color w:val="auto"/>
        </w:rPr>
        <w:t>”). The Plan incorporates by reference herein the terms of the Omnibus Plan. Unless otherwise defined in this Plan, capitalized terms used in the Plan shall have the meanings assigned to them in the Omnibus Plan.</w:t>
      </w:r>
    </w:p>
    <w:p>
      <w:pPr>
        <w:spacing w:after="0" w:line="208" w:lineRule="exact"/>
        <w:rPr>
          <w:rFonts w:ascii="Times New Roman" w:cs="Times New Roman" w:eastAsia="Times New Roman" w:hAnsi="Times New Roman"/>
          <w:sz w:val="20"/>
          <w:szCs w:val="20"/>
          <w:color w:val="auto"/>
        </w:rPr>
      </w:pPr>
    </w:p>
    <w:p>
      <w:pPr>
        <w:ind w:left="580" w:hanging="328"/>
        <w:spacing w:after="0"/>
        <w:tabs>
          <w:tab w:leader="none" w:pos="58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ELIGIBILITY</w:t>
      </w:r>
    </w:p>
    <w:p>
      <w:pPr>
        <w:spacing w:after="0" w:line="260" w:lineRule="exact"/>
        <w:rPr>
          <w:sz w:val="20"/>
          <w:szCs w:val="20"/>
          <w:color w:val="auto"/>
        </w:rPr>
      </w:pPr>
    </w:p>
    <w:p>
      <w:pPr>
        <w:ind w:right="160" w:firstLine="304"/>
        <w:spacing w:after="0" w:line="269" w:lineRule="auto"/>
        <w:rPr>
          <w:sz w:val="20"/>
          <w:szCs w:val="20"/>
          <w:color w:val="auto"/>
        </w:rPr>
      </w:pPr>
      <w:r>
        <w:rPr>
          <w:rFonts w:ascii="Times New Roman" w:cs="Times New Roman" w:eastAsia="Times New Roman" w:hAnsi="Times New Roman"/>
          <w:sz w:val="20"/>
          <w:szCs w:val="20"/>
          <w:color w:val="auto"/>
        </w:rPr>
        <w:t>Except as otherwise determined by the Board, each Non-Employee Director is eligible to participate in the Plan. Each such Non-Employee Director who makes a deferral under the Plan is referred to herein as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ind w:left="580" w:hanging="328"/>
        <w:spacing w:after="0"/>
        <w:tabs>
          <w:tab w:leader="none" w:pos="58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p>
    <w:p>
      <w:pPr>
        <w:spacing w:after="0" w:line="260" w:lineRule="exact"/>
        <w:rPr>
          <w:rFonts w:ascii="Times New Roman" w:cs="Times New Roman" w:eastAsia="Times New Roman" w:hAnsi="Times New Roman"/>
          <w:sz w:val="20"/>
          <w:szCs w:val="20"/>
          <w:b w:val="1"/>
          <w:bCs w:val="1"/>
          <w:color w:val="auto"/>
        </w:rPr>
      </w:pPr>
    </w:p>
    <w:p>
      <w:pPr>
        <w:jc w:val="both"/>
        <w:ind w:left="20" w:right="140" w:firstLine="656"/>
        <w:spacing w:after="0" w:line="256" w:lineRule="auto"/>
        <w:tabs>
          <w:tab w:leader="none" w:pos="121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shall be administered by the Compensation and Culture Committee of the Board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which shall have the power to interpret the Plan and to adopt such rules and guidelines for implementing the terms of the Plan as it may deem appropriate. Unless otherwise expressly provided in the Plan, all designations, determinations, interpretations and other decisions under or with respect to the Plan shall be within the sole discretion of the Committee, may be made at any time, and shall be final, conclusive, and binding on all Persons, including the Company and any Affiliate, director, beneficiary or shareholder. For the avoidance of doubt, the Board may, in its sole discretion, at any time and from time to time, administer the Plan. In any such case, the Board shall have all of the authority and responsibility granted to the Committee herein.</w:t>
      </w:r>
    </w:p>
    <w:p>
      <w:pPr>
        <w:spacing w:after="0" w:line="213" w:lineRule="exact"/>
        <w:rPr>
          <w:rFonts w:ascii="Times New Roman" w:cs="Times New Roman" w:eastAsia="Times New Roman" w:hAnsi="Times New Roman"/>
          <w:sz w:val="20"/>
          <w:szCs w:val="20"/>
          <w:color w:val="auto"/>
        </w:rPr>
      </w:pPr>
    </w:p>
    <w:p>
      <w:pPr>
        <w:ind w:left="20" w:right="580" w:firstLine="656"/>
        <w:spacing w:after="0" w:line="283" w:lineRule="auto"/>
        <w:tabs>
          <w:tab w:leader="none" w:pos="1209"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delegate to any Person such duties and powers, both administrative and discretionary, as it deems appropriate, except for such duties that may not be delegated by law or regulation.</w:t>
      </w:r>
    </w:p>
    <w:p>
      <w:pPr>
        <w:spacing w:after="0" w:line="182" w:lineRule="exact"/>
        <w:rPr>
          <w:rFonts w:ascii="Times New Roman" w:cs="Times New Roman" w:eastAsia="Times New Roman" w:hAnsi="Times New Roman"/>
          <w:sz w:val="20"/>
          <w:szCs w:val="20"/>
          <w:color w:val="auto"/>
        </w:rPr>
      </w:pPr>
    </w:p>
    <w:p>
      <w:pPr>
        <w:ind w:left="580" w:hanging="328"/>
        <w:spacing w:after="0"/>
        <w:tabs>
          <w:tab w:leader="none" w:pos="58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DEFERRAL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400" w:top="107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10.10</w:t>
      </w:r>
    </w:p>
    <w:p>
      <w:pPr>
        <w:spacing w:after="0" w:line="32" w:lineRule="exact"/>
        <w:rPr>
          <w:sz w:val="20"/>
          <w:szCs w:val="20"/>
          <w:color w:val="auto"/>
        </w:rPr>
      </w:pPr>
    </w:p>
    <w:p>
      <w:pPr>
        <w:jc w:val="both"/>
        <w:ind w:firstLine="675"/>
        <w:spacing w:after="0" w:line="268" w:lineRule="auto"/>
        <w:tabs>
          <w:tab w:leader="none" w:pos="121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Deferral Elections</w:t>
      </w:r>
      <w:r>
        <w:rPr>
          <w:rFonts w:ascii="Times New Roman" w:cs="Times New Roman" w:eastAsia="Times New Roman" w:hAnsi="Times New Roman"/>
          <w:sz w:val="19"/>
          <w:szCs w:val="19"/>
          <w:color w:val="auto"/>
        </w:rPr>
        <w:t>. Each Participant may elect to defer settlement of all or, solely to the extent determined by the Committee, a portion of, any (i) Shares issuable pursuant to any Restricted Stock Units granted to such Participant under the Omnibus Plan in respect of such Participant’s service on the Board (a “</w:t>
      </w:r>
      <w:r>
        <w:rPr>
          <w:rFonts w:ascii="Times New Roman" w:cs="Times New Roman" w:eastAsia="Times New Roman" w:hAnsi="Times New Roman"/>
          <w:sz w:val="19"/>
          <w:szCs w:val="19"/>
          <w:u w:val="single" w:color="auto"/>
          <w:color w:val="auto"/>
        </w:rPr>
        <w:t>Deferred Restricted Stock Units</w:t>
      </w:r>
      <w:r>
        <w:rPr>
          <w:rFonts w:ascii="Times New Roman" w:cs="Times New Roman" w:eastAsia="Times New Roman" w:hAnsi="Times New Roman"/>
          <w:sz w:val="19"/>
          <w:szCs w:val="19"/>
          <w:color w:val="auto"/>
        </w:rPr>
        <w:t>”) and (ii) solely to the extent permitted by the Committee pursuant to an Election Form, Annual Retainers and/or Committee Retainers (as defined in the Director Compensation Policy) granted to such Participant under the Director Compensation Policy (a “</w:t>
      </w:r>
      <w:r>
        <w:rPr>
          <w:rFonts w:ascii="Times New Roman" w:cs="Times New Roman" w:eastAsia="Times New Roman" w:hAnsi="Times New Roman"/>
          <w:sz w:val="19"/>
          <w:szCs w:val="19"/>
          <w:u w:val="single" w:color="auto"/>
          <w:color w:val="auto"/>
        </w:rPr>
        <w:t>Deferred Retainer</w:t>
      </w:r>
      <w:r>
        <w:rPr>
          <w:rFonts w:ascii="Times New Roman" w:cs="Times New Roman" w:eastAsia="Times New Roman" w:hAnsi="Times New Roman"/>
          <w:sz w:val="19"/>
          <w:szCs w:val="19"/>
          <w:color w:val="auto"/>
        </w:rPr>
        <w:t>”). The date on which any such Shares were scheduled to be issued to such Participant, and/or the date on which any such cash retainer was scheduled to be to paid to such Participant, in each case had such Participant not deferred receipt of such Shares and/or retainer, is referred to herein as the “</w:t>
      </w:r>
      <w:r>
        <w:rPr>
          <w:rFonts w:ascii="Times New Roman" w:cs="Times New Roman" w:eastAsia="Times New Roman" w:hAnsi="Times New Roman"/>
          <w:sz w:val="19"/>
          <w:szCs w:val="19"/>
          <w:u w:val="single" w:color="auto"/>
          <w:color w:val="auto"/>
        </w:rPr>
        <w:t>Scheduled Payment Date</w:t>
      </w:r>
      <w:r>
        <w:rPr>
          <w:rFonts w:ascii="Times New Roman" w:cs="Times New Roman" w:eastAsia="Times New Roman" w:hAnsi="Times New Roman"/>
          <w:sz w:val="19"/>
          <w:szCs w:val="19"/>
          <w:color w:val="auto"/>
        </w:rPr>
        <w:t>.”</w:t>
      </w:r>
    </w:p>
    <w:p>
      <w:pPr>
        <w:spacing w:after="0" w:line="193" w:lineRule="exact"/>
        <w:rPr>
          <w:rFonts w:ascii="Times New Roman" w:cs="Times New Roman" w:eastAsia="Times New Roman" w:hAnsi="Times New Roman"/>
          <w:sz w:val="19"/>
          <w:szCs w:val="19"/>
          <w:color w:val="auto"/>
        </w:rPr>
      </w:pPr>
    </w:p>
    <w:p>
      <w:pPr>
        <w:jc w:val="both"/>
        <w:ind w:firstLine="675"/>
        <w:spacing w:after="0" w:line="258" w:lineRule="auto"/>
        <w:tabs>
          <w:tab w:leader="none" w:pos="1207"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Election Forms</w:t>
      </w:r>
      <w:r>
        <w:rPr>
          <w:rFonts w:ascii="Times New Roman" w:cs="Times New Roman" w:eastAsia="Times New Roman" w:hAnsi="Times New Roman"/>
          <w:sz w:val="20"/>
          <w:szCs w:val="20"/>
          <w:color w:val="auto"/>
        </w:rPr>
        <w:t>. A Participant’s deferral election shall be made in the form of a document (an “</w:t>
      </w:r>
      <w:r>
        <w:rPr>
          <w:rFonts w:ascii="Times New Roman" w:cs="Times New Roman" w:eastAsia="Times New Roman" w:hAnsi="Times New Roman"/>
          <w:sz w:val="20"/>
          <w:szCs w:val="20"/>
          <w:u w:val="single" w:color="auto"/>
          <w:color w:val="auto"/>
        </w:rPr>
        <w:t>Election Form</w:t>
      </w:r>
      <w:r>
        <w:rPr>
          <w:rFonts w:ascii="Times New Roman" w:cs="Times New Roman" w:eastAsia="Times New Roman" w:hAnsi="Times New Roman"/>
          <w:sz w:val="20"/>
          <w:szCs w:val="20"/>
          <w:color w:val="auto"/>
        </w:rPr>
        <w:t xml:space="preserve">”) established for such purpose by the Committee that is executed by such Participant and filed with the Secretary of the Company. Each Election Form will remain in effect until superseded or revoked pursuant to </w:t>
      </w:r>
      <w:r>
        <w:rPr>
          <w:rFonts w:ascii="Times New Roman" w:cs="Times New Roman" w:eastAsia="Times New Roman" w:hAnsi="Times New Roman"/>
          <w:sz w:val="20"/>
          <w:szCs w:val="20"/>
          <w:u w:val="single" w:color="auto"/>
          <w:color w:val="auto"/>
        </w:rPr>
        <w:t>Section 4(d)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4(e)</w:t>
      </w:r>
      <w:r>
        <w:rPr>
          <w:rFonts w:ascii="Times New Roman" w:cs="Times New Roman" w:eastAsia="Times New Roman" w:hAnsi="Times New Roman"/>
          <w:sz w:val="20"/>
          <w:szCs w:val="20"/>
          <w:color w:val="auto"/>
        </w:rPr>
        <w:t>. The Election Form will require such Participant to specify:</w:t>
      </w:r>
    </w:p>
    <w:p>
      <w:pPr>
        <w:spacing w:after="0" w:line="212" w:lineRule="exact"/>
        <w:rPr>
          <w:rFonts w:ascii="Times New Roman" w:cs="Times New Roman" w:eastAsia="Times New Roman" w:hAnsi="Times New Roman"/>
          <w:sz w:val="20"/>
          <w:szCs w:val="20"/>
          <w:color w:val="auto"/>
        </w:rPr>
      </w:pPr>
    </w:p>
    <w:p>
      <w:pPr>
        <w:ind w:left="660" w:firstLine="641"/>
        <w:spacing w:after="0" w:line="283" w:lineRule="auto"/>
        <w:tabs>
          <w:tab w:leader="none" w:pos="1873"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of any Shares issuable upon settlement of any Restricted Stock Units and/or the portion of the retainer that will be deferred;</w:t>
      </w:r>
    </w:p>
    <w:p>
      <w:pPr>
        <w:spacing w:after="0" w:line="186"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874"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Deferred Retainer (to the extent deferrals of cash retainers are permitted by the Committee), whether distribution will be made to such Participant in cash or, solely to the extent permitted by the Committee in such Election Form, in the form of Shares; and</w:t>
      </w:r>
    </w:p>
    <w:p>
      <w:pPr>
        <w:jc w:val="both"/>
        <w:ind w:left="660" w:firstLine="645"/>
        <w:spacing w:after="0" w:line="259" w:lineRule="auto"/>
        <w:tabs>
          <w:tab w:leader="none" w:pos="1875" w:val="left"/>
        </w:tabs>
        <w:numPr>
          <w:ilvl w:val="2"/>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Scheduled Payment Date on which the deferred cash or Shares will be distributed to such Participant, which may, as determined by the Committee in an Election Form, be (x) a specified date, (y) upon the Participant’s Termination of Service, or</w:t>
      </w:r>
    </w:p>
    <w:p>
      <w:pPr>
        <w:ind w:left="920" w:hanging="263"/>
        <w:spacing w:after="0"/>
        <w:tabs>
          <w:tab w:leader="none" w:pos="9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 specified date following a Participant’s Termination of Service.</w:t>
      </w:r>
    </w:p>
    <w:p>
      <w:pPr>
        <w:spacing w:after="0" w:line="240" w:lineRule="exact"/>
        <w:rPr>
          <w:rFonts w:ascii="Times New Roman" w:cs="Times New Roman" w:eastAsia="Times New Roman" w:hAnsi="Times New Roman"/>
          <w:sz w:val="20"/>
          <w:szCs w:val="20"/>
          <w:color w:val="auto"/>
        </w:rPr>
      </w:pPr>
    </w:p>
    <w:p>
      <w:pPr>
        <w:ind w:left="1320" w:hanging="645"/>
        <w:spacing w:after="0"/>
        <w:tabs>
          <w:tab w:leader="none" w:pos="132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Timing of Elections</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left="660" w:firstLine="641"/>
        <w:spacing w:after="0" w:line="268" w:lineRule="auto"/>
        <w:tabs>
          <w:tab w:leader="none" w:pos="1873"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4(c)(ii)</w:t>
      </w:r>
      <w:r>
        <w:rPr>
          <w:rFonts w:ascii="Times New Roman" w:cs="Times New Roman" w:eastAsia="Times New Roman" w:hAnsi="Times New Roman"/>
          <w:sz w:val="20"/>
          <w:szCs w:val="20"/>
          <w:color w:val="auto"/>
        </w:rPr>
        <w:t>, an Election Form filed by a Participant shall apply to any Restricted Stock Unit or cash retainer that is granted to a Participant for any period of service that commences following the year in which such Election Form is filed; and</w:t>
      </w:r>
    </w:p>
    <w:p>
      <w:pPr>
        <w:spacing w:after="0" w:line="201" w:lineRule="exact"/>
        <w:rPr>
          <w:rFonts w:ascii="Times New Roman" w:cs="Times New Roman" w:eastAsia="Times New Roman" w:hAnsi="Times New Roman"/>
          <w:sz w:val="20"/>
          <w:szCs w:val="20"/>
          <w:color w:val="auto"/>
        </w:rPr>
      </w:pPr>
    </w:p>
    <w:p>
      <w:pPr>
        <w:jc w:val="both"/>
        <w:ind w:left="660" w:firstLine="641"/>
        <w:spacing w:after="0" w:line="253" w:lineRule="auto"/>
        <w:tabs>
          <w:tab w:leader="none" w:pos="1874"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4(c)(i)</w:t>
      </w:r>
      <w:r>
        <w:rPr>
          <w:rFonts w:ascii="Times New Roman" w:cs="Times New Roman" w:eastAsia="Times New Roman" w:hAnsi="Times New Roman"/>
          <w:sz w:val="20"/>
          <w:szCs w:val="20"/>
          <w:color w:val="auto"/>
        </w:rPr>
        <w:t xml:space="preserve">, a Participant who first becomes eligible to participate in the Plan (including any other plan that is required to be treated as a single plan with the Plan under Section 409A of the Code) may file an Election Form during the first thirty (30) days of such eligibility;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Election Form shall apply to any Restricted Stock Unit or retainer that is granted to such Participant or relates to services performed following the date on which such Participant executes such Election Form.</w:t>
      </w:r>
    </w:p>
    <w:p>
      <w:pPr>
        <w:spacing w:after="0" w:line="218" w:lineRule="exact"/>
        <w:rPr>
          <w:rFonts w:ascii="Times New Roman" w:cs="Times New Roman" w:eastAsia="Times New Roman" w:hAnsi="Times New Roman"/>
          <w:sz w:val="20"/>
          <w:szCs w:val="20"/>
          <w:color w:val="auto"/>
        </w:rPr>
      </w:pPr>
    </w:p>
    <w:p>
      <w:pPr>
        <w:jc w:val="both"/>
        <w:ind w:left="20" w:right="200" w:firstLine="656"/>
        <w:spacing w:after="0" w:line="288" w:lineRule="auto"/>
        <w:tabs>
          <w:tab w:leader="none" w:pos="1209"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Subsequent Elections</w:t>
      </w:r>
      <w:r>
        <w:rPr>
          <w:rFonts w:ascii="Times New Roman" w:cs="Times New Roman" w:eastAsia="Times New Roman" w:hAnsi="Times New Roman"/>
          <w:sz w:val="19"/>
          <w:szCs w:val="19"/>
          <w:color w:val="auto"/>
        </w:rPr>
        <w:t>. A Participant who has an Election Form on file with the Company may file with the Secretary of the Company a subsequent Election Form at any time. Such Election Form shall apply to any Restricted Stock Unit or retainer that is granted to such Participant for any period of service that commences following the year in which such subsequent Election Form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400" w:top="107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10.10</w:t>
      </w:r>
    </w:p>
    <w:p>
      <w:pPr>
        <w:spacing w:after="0" w:line="32" w:lineRule="exact"/>
        <w:rPr>
          <w:sz w:val="20"/>
          <w:szCs w:val="20"/>
          <w:color w:val="auto"/>
        </w:rPr>
      </w:pPr>
    </w:p>
    <w:p>
      <w:pPr>
        <w:jc w:val="both"/>
        <w:ind w:left="20" w:right="120" w:firstLine="656"/>
        <w:spacing w:after="0" w:line="258" w:lineRule="auto"/>
        <w:tabs>
          <w:tab w:leader="none" w:pos="1212"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Revoking Elections</w:t>
      </w:r>
      <w:r>
        <w:rPr>
          <w:rFonts w:ascii="Times New Roman" w:cs="Times New Roman" w:eastAsia="Times New Roman" w:hAnsi="Times New Roman"/>
          <w:sz w:val="20"/>
          <w:szCs w:val="20"/>
          <w:color w:val="auto"/>
        </w:rPr>
        <w:t>. A Participant may revoke an Election Form at any time by providing written notice to the Secretary of the Company in a form to be provided to the Non-Employee Director. Such revocation shall apply to any Restricted Stock Unit that is granted to such Non-Employee Director for any period of service that commences following the year in which the written notice revoking the original election is filed.</w:t>
      </w:r>
    </w:p>
    <w:p>
      <w:pPr>
        <w:spacing w:after="0" w:line="210" w:lineRule="exact"/>
        <w:rPr>
          <w:rFonts w:ascii="Times New Roman" w:cs="Times New Roman" w:eastAsia="Times New Roman" w:hAnsi="Times New Roman"/>
          <w:sz w:val="20"/>
          <w:szCs w:val="20"/>
          <w:color w:val="auto"/>
        </w:rPr>
      </w:pPr>
    </w:p>
    <w:p>
      <w:pPr>
        <w:jc w:val="both"/>
        <w:ind w:left="20" w:right="300" w:firstLine="656"/>
        <w:spacing w:after="0" w:line="258" w:lineRule="auto"/>
        <w:tabs>
          <w:tab w:leader="none" w:pos="1203"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Redeferrals</w:t>
      </w:r>
      <w:r>
        <w:rPr>
          <w:rFonts w:ascii="Times New Roman" w:cs="Times New Roman" w:eastAsia="Times New Roman" w:hAnsi="Times New Roman"/>
          <w:sz w:val="20"/>
          <w:szCs w:val="20"/>
          <w:color w:val="auto"/>
        </w:rPr>
        <w:t>. Not less than twelve (12) months prior to the date on which Shares in respect of Deferred Restricted Stock Units or Deferred Retainer are scheduled to be distributed with respect to any Participant, such Participant may elect to redefer such Deferred Restricted Stock Units to a date that is not less than five (5) years after the scheduled distribution date. Such redeferral election shall be made in an Election Form approved by the Committee and filed with the Secretary of the Company.</w:t>
      </w:r>
    </w:p>
    <w:p>
      <w:pPr>
        <w:spacing w:after="0" w:line="212" w:lineRule="exact"/>
        <w:rPr>
          <w:rFonts w:ascii="Times New Roman" w:cs="Times New Roman" w:eastAsia="Times New Roman" w:hAnsi="Times New Roman"/>
          <w:sz w:val="20"/>
          <w:szCs w:val="20"/>
          <w:color w:val="auto"/>
        </w:rPr>
      </w:pPr>
    </w:p>
    <w:p>
      <w:pPr>
        <w:jc w:val="both"/>
        <w:ind w:left="20" w:right="360" w:firstLine="656"/>
        <w:spacing w:after="0" w:line="261" w:lineRule="auto"/>
        <w:tabs>
          <w:tab w:leader="none" w:pos="1209"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Subject to the vesting of the Restricted Stock Units or retainer subject to deferral pursuant to any Election Form, each award of Deferred Restricted Stock Units and each Deferred Retainer shall be fully vested and non-forfeitable at all times from the applicable Scheduled Payment Date.</w:t>
      </w:r>
    </w:p>
    <w:p>
      <w:pPr>
        <w:spacing w:after="0" w:line="204" w:lineRule="exact"/>
        <w:rPr>
          <w:rFonts w:ascii="Times New Roman" w:cs="Times New Roman" w:eastAsia="Times New Roman" w:hAnsi="Times New Roman"/>
          <w:sz w:val="20"/>
          <w:szCs w:val="20"/>
          <w:color w:val="auto"/>
        </w:rPr>
      </w:pPr>
    </w:p>
    <w:p>
      <w:pPr>
        <w:ind w:left="580" w:hanging="328"/>
        <w:spacing w:after="0"/>
        <w:tabs>
          <w:tab w:leader="none" w:pos="58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DISTRIBUTIONS</w:t>
      </w:r>
    </w:p>
    <w:p>
      <w:pPr>
        <w:spacing w:after="0" w:line="273" w:lineRule="exact"/>
        <w:rPr>
          <w:rFonts w:ascii="Times New Roman" w:cs="Times New Roman" w:eastAsia="Times New Roman" w:hAnsi="Times New Roman"/>
          <w:sz w:val="20"/>
          <w:szCs w:val="20"/>
          <w:b w:val="1"/>
          <w:bCs w:val="1"/>
          <w:color w:val="auto"/>
        </w:rPr>
      </w:pPr>
    </w:p>
    <w:p>
      <w:pPr>
        <w:ind w:left="20" w:right="140" w:firstLine="656"/>
        <w:spacing w:after="0" w:line="269" w:lineRule="auto"/>
        <w:tabs>
          <w:tab w:leader="none" w:pos="1212"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Regular Distribution Date</w:t>
      </w:r>
      <w:r>
        <w:rPr>
          <w:rFonts w:ascii="Times New Roman" w:cs="Times New Roman" w:eastAsia="Times New Roman" w:hAnsi="Times New Roman"/>
          <w:sz w:val="20"/>
          <w:szCs w:val="20"/>
          <w:color w:val="auto"/>
        </w:rPr>
        <w:t xml:space="preserve">. Subject to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Shares in respect of a Participant’s Deferred Restricted Stock Units shall be made to such Participant in single lump sum at the time specified in the applicable Election Form.</w:t>
      </w:r>
    </w:p>
    <w:p>
      <w:pPr>
        <w:spacing w:after="0" w:line="199" w:lineRule="exact"/>
        <w:rPr>
          <w:rFonts w:ascii="Times New Roman" w:cs="Times New Roman" w:eastAsia="Times New Roman" w:hAnsi="Times New Roman"/>
          <w:sz w:val="20"/>
          <w:szCs w:val="20"/>
          <w:color w:val="auto"/>
        </w:rPr>
      </w:pPr>
    </w:p>
    <w:p>
      <w:pPr>
        <w:jc w:val="both"/>
        <w:ind w:left="20" w:right="360" w:firstLine="656"/>
        <w:spacing w:after="0" w:line="261" w:lineRule="auto"/>
        <w:tabs>
          <w:tab w:leader="none" w:pos="120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Service; Disability; Change in Control</w:t>
      </w:r>
      <w:r>
        <w:rPr>
          <w:rFonts w:ascii="Times New Roman" w:cs="Times New Roman" w:eastAsia="Times New Roman" w:hAnsi="Times New Roman"/>
          <w:sz w:val="20"/>
          <w:szCs w:val="20"/>
          <w:color w:val="auto"/>
        </w:rPr>
        <w:t>. Notwithstanding anything to the contrary in any applicable Election Form, all of a Participant’s Deferred Restricted Stock Units and Deferred Retainers shall be distributed to such Participant upon a Participant’s Termination of Service or Disability or Change in Control, in each case, subject to Section 409A of the Code.</w:t>
      </w:r>
    </w:p>
    <w:p>
      <w:pPr>
        <w:spacing w:after="0" w:line="208" w:lineRule="exact"/>
        <w:rPr>
          <w:rFonts w:ascii="Times New Roman" w:cs="Times New Roman" w:eastAsia="Times New Roman" w:hAnsi="Times New Roman"/>
          <w:sz w:val="20"/>
          <w:szCs w:val="20"/>
          <w:color w:val="auto"/>
        </w:rPr>
      </w:pPr>
    </w:p>
    <w:p>
      <w:pPr>
        <w:jc w:val="both"/>
        <w:ind w:left="20" w:right="100" w:firstLine="656"/>
        <w:spacing w:after="0" w:line="251" w:lineRule="auto"/>
        <w:tabs>
          <w:tab w:leader="none" w:pos="1212"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Unforeseeable Emergency</w:t>
      </w:r>
      <w:r>
        <w:rPr>
          <w:rFonts w:ascii="Times New Roman" w:cs="Times New Roman" w:eastAsia="Times New Roman" w:hAnsi="Times New Roman"/>
          <w:sz w:val="20"/>
          <w:szCs w:val="20"/>
          <w:color w:val="auto"/>
        </w:rPr>
        <w:t>. The Committee, in its sole discretion, may accelerate the distribution of a Participant’s Deferred Restricted Stock Units and Deferred Retainers if such Participant experiences an unforeseeable emergency (as defined under Treas. Reg. Section 1.409A-3(i)(3)), provided that such distribution complies with Section 409A of the Code. To request such a distribution, a Participant must file an application with the Committee and furnish such supporting documentation as the Committee may require. Such application shall specify the basis for the distribution and the amount to be distributed. If such request is approved by the Committee, distribution shall be made in a lump sum payment as soon as administratively practicable, but not more than thirty (30) days, following such approval.</w:t>
      </w:r>
    </w:p>
    <w:p>
      <w:pPr>
        <w:spacing w:after="0" w:line="219" w:lineRule="exact"/>
        <w:rPr>
          <w:rFonts w:ascii="Times New Roman" w:cs="Times New Roman" w:eastAsia="Times New Roman" w:hAnsi="Times New Roman"/>
          <w:sz w:val="20"/>
          <w:szCs w:val="20"/>
          <w:color w:val="auto"/>
        </w:rPr>
      </w:pPr>
    </w:p>
    <w:p>
      <w:pPr>
        <w:jc w:val="both"/>
        <w:ind w:left="20" w:right="120" w:firstLine="656"/>
        <w:spacing w:after="0" w:line="257" w:lineRule="auto"/>
        <w:tabs>
          <w:tab w:leader="none" w:pos="120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Specified Employees</w:t>
      </w:r>
      <w:r>
        <w:rPr>
          <w:rFonts w:ascii="Times New Roman" w:cs="Times New Roman" w:eastAsia="Times New Roman" w:hAnsi="Times New Roman"/>
          <w:sz w:val="20"/>
          <w:szCs w:val="20"/>
          <w:color w:val="auto"/>
        </w:rPr>
        <w:t>. If the Committee considers a Participant to be one of the Company’s “specified employees” under Section 409A of the Code at the time of such Participant’s termination of service on the Board, any distribution that otherwise would be made to such Participant with respect to a Deferred Restricted Stock Unit or Deferred Retainer as a result of such termination of service shall not be made until the date that is six (6) months after such termination of service, except to the extent that earlier distribution would not result in such Participant’s incurring interest or additional tax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400" w:top="107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10.10</w:t>
      </w:r>
    </w:p>
    <w:p>
      <w:pPr>
        <w:spacing w:after="0" w:line="32" w:lineRule="exact"/>
        <w:rPr>
          <w:sz w:val="20"/>
          <w:szCs w:val="20"/>
          <w:color w:val="auto"/>
        </w:rPr>
      </w:pPr>
    </w:p>
    <w:p>
      <w:pPr>
        <w:ind w:left="20" w:right="120" w:firstLine="656"/>
        <w:spacing w:after="0" w:line="281" w:lineRule="auto"/>
        <w:tabs>
          <w:tab w:leader="none" w:pos="1212"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of Distribution</w:t>
      </w:r>
      <w:r>
        <w:rPr>
          <w:rFonts w:ascii="Times New Roman" w:cs="Times New Roman" w:eastAsia="Times New Roman" w:hAnsi="Times New Roman"/>
          <w:sz w:val="20"/>
          <w:szCs w:val="20"/>
          <w:color w:val="auto"/>
        </w:rPr>
        <w:t>. Each Deferred Restricted Stock Unit shall be distributed in Shares. Each Deferred Retainer shall be distributed in cash or Shares, as specified on the applicable Election Form.</w:t>
      </w:r>
    </w:p>
    <w:p>
      <w:pPr>
        <w:spacing w:after="0" w:line="184" w:lineRule="exact"/>
        <w:rPr>
          <w:rFonts w:ascii="Times New Roman" w:cs="Times New Roman" w:eastAsia="Times New Roman" w:hAnsi="Times New Roman"/>
          <w:sz w:val="20"/>
          <w:szCs w:val="20"/>
          <w:color w:val="auto"/>
        </w:rPr>
      </w:pPr>
    </w:p>
    <w:p>
      <w:pPr>
        <w:ind w:left="580" w:hanging="328"/>
        <w:spacing w:after="0"/>
        <w:tabs>
          <w:tab w:leader="none" w:pos="58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AMOUNT OF DISTRIBUTION</w:t>
      </w:r>
    </w:p>
    <w:p>
      <w:pPr>
        <w:spacing w:after="0" w:line="260" w:lineRule="exact"/>
        <w:rPr>
          <w:rFonts w:ascii="Times New Roman" w:cs="Times New Roman" w:eastAsia="Times New Roman" w:hAnsi="Times New Roman"/>
          <w:sz w:val="20"/>
          <w:szCs w:val="20"/>
          <w:b w:val="1"/>
          <w:bCs w:val="1"/>
          <w:color w:val="auto"/>
        </w:rPr>
      </w:pPr>
    </w:p>
    <w:p>
      <w:pPr>
        <w:ind w:left="1220" w:hanging="541"/>
        <w:spacing w:after="0"/>
        <w:tabs>
          <w:tab w:leader="none" w:pos="12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Account</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left="660" w:right="120" w:firstLine="726"/>
        <w:spacing w:after="0" w:line="253" w:lineRule="auto"/>
        <w:tabs>
          <w:tab w:leader="none" w:pos="1873"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Each Deferred Restricted Stock Unit (and, to the extent applicable, each Deferred Retainer that is elected to be distributed in Shares) shall be allocated to a separate bookkeeping account (a “</w:t>
      </w:r>
      <w:r>
        <w:rPr>
          <w:rFonts w:ascii="Times New Roman" w:cs="Times New Roman" w:eastAsia="Times New Roman" w:hAnsi="Times New Roman"/>
          <w:sz w:val="20"/>
          <w:szCs w:val="20"/>
          <w:u w:val="single" w:color="auto"/>
          <w:color w:val="auto"/>
        </w:rPr>
        <w:t>Share Account</w:t>
      </w:r>
      <w:r>
        <w:rPr>
          <w:rFonts w:ascii="Times New Roman" w:cs="Times New Roman" w:eastAsia="Times New Roman" w:hAnsi="Times New Roman"/>
          <w:sz w:val="20"/>
          <w:szCs w:val="20"/>
          <w:color w:val="auto"/>
        </w:rPr>
        <w:t>”) established and maintained by the Company to record the number of Shares to which such Deferred Restricted Stock Unit or Deferred Retainer relates. In the case of a Deferred Restricted Stock Unit, the Share Account shall reflect the number of Shares deferred. In the case of a Deferred Retainer elected to be distributed in Shares, the Share Account shall reflect a number of Shares determined by dividing the applicable amount of the retainer by the Fair Market Value of a Share on the Scheduled Payment Date, with the value of any fractional Shares paid to the Participant in cash on the Scheduled Payment Date.</w:t>
      </w:r>
    </w:p>
    <w:p>
      <w:pPr>
        <w:spacing w:after="0" w:line="206" w:lineRule="exact"/>
        <w:rPr>
          <w:rFonts w:ascii="Times New Roman" w:cs="Times New Roman" w:eastAsia="Times New Roman" w:hAnsi="Times New Roman"/>
          <w:sz w:val="20"/>
          <w:szCs w:val="20"/>
          <w:color w:val="auto"/>
        </w:rPr>
      </w:pPr>
    </w:p>
    <w:p>
      <w:pPr>
        <w:jc w:val="both"/>
        <w:ind w:left="660" w:right="120" w:firstLine="726"/>
        <w:spacing w:after="0" w:line="257" w:lineRule="auto"/>
        <w:tabs>
          <w:tab w:leader="none" w:pos="187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Until the distribution date applicable to a Participant’s Deferred Restricted Stock Unit (or Deferred Retainer that is elected to be distributed in Shares, if applicable) that is elected to be distributed in Shares, if the Company pays a regular or ordinary cash dividend on its Shares, such Participant’s Share Account shall be credited with a number of Shares determined by dividing the amount of the cash dividend by the Fair Market Value of a Share on the dividend payment date, with the value of any fractional shares paid to the Participant in cash on the dividend payment date.</w:t>
      </w:r>
    </w:p>
    <w:p>
      <w:pPr>
        <w:spacing w:after="0" w:line="195" w:lineRule="exact"/>
        <w:rPr>
          <w:rFonts w:ascii="Times New Roman" w:cs="Times New Roman" w:eastAsia="Times New Roman" w:hAnsi="Times New Roman"/>
          <w:sz w:val="20"/>
          <w:szCs w:val="20"/>
          <w:color w:val="auto"/>
        </w:rPr>
      </w:pPr>
    </w:p>
    <w:p>
      <w:pPr>
        <w:jc w:val="both"/>
        <w:ind w:left="660" w:right="120" w:firstLine="726"/>
        <w:spacing w:after="0" w:line="252" w:lineRule="auto"/>
        <w:tabs>
          <w:tab w:leader="none" w:pos="1875"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to Share Accounts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the event of any dividend or other distribution (other than an ordinary dividend or distribution) (whether in the form of cash, Shares or other securities), sale or other distribution of substantially all of the assets of the Company, recapitalization, stock split, reverse stock split, reorganization, merger, consolidation, separation, rights offering, split-up, spin-off, combination, repurchase or exchange of Shares or other securities of the Company, issuance of warrants or other rights to purchase Shares or other securities of the Company, issuance of Shares pursuant to the anti-dilution provisions of securities of the Company, or other similar corporate transaction, change in the Company’s corporate structure or event affecting the Shares, or of changes in applicable laws, regulations or accounting principles any merger, reorganization, recapitalization, consolidation, any stock dividend, split, spin-off, split-up, split-off, distribution of cash, securities or other property by the Company, each Share Account shall be automatically adjusted to prevent dilution or enlargement of the benefits or potential benefits intended to be awarded under the Omnibus Plan.</w:t>
      </w:r>
    </w:p>
    <w:p>
      <w:pPr>
        <w:spacing w:after="0" w:line="208" w:lineRule="exact"/>
        <w:rPr>
          <w:rFonts w:ascii="Times New Roman" w:cs="Times New Roman" w:eastAsia="Times New Roman" w:hAnsi="Times New Roman"/>
          <w:sz w:val="20"/>
          <w:szCs w:val="20"/>
          <w:color w:val="auto"/>
        </w:rPr>
      </w:pPr>
    </w:p>
    <w:p>
      <w:pPr>
        <w:jc w:val="both"/>
        <w:ind w:left="660" w:right="120" w:firstLine="726"/>
        <w:spacing w:after="0" w:line="276" w:lineRule="auto"/>
        <w:tabs>
          <w:tab w:leader="none" w:pos="1864" w:val="left"/>
        </w:tabs>
        <w:numPr>
          <w:ilvl w:val="2"/>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Share Account Distribution</w:t>
      </w:r>
      <w:r>
        <w:rPr>
          <w:rFonts w:ascii="Times New Roman" w:cs="Times New Roman" w:eastAsia="Times New Roman" w:hAnsi="Times New Roman"/>
          <w:sz w:val="19"/>
          <w:szCs w:val="19"/>
          <w:color w:val="auto"/>
        </w:rPr>
        <w:t>. On the distribution date applicable to a Participant’s Deferred Stock Unit or Deferred Retainer that is elected to be distributed in Shares, such Participant shall receive that number of Shares equal to the number of Shares credited to the applicable Share Account as of such distribution date (which, for the sake of clarity, shall include any Shares credited to the Share Account as a result of the reinvestment of dividend equivalents in accordance with Section 6(a)(ii)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400" w:top="107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10.10</w:t>
      </w:r>
    </w:p>
    <w:p>
      <w:pPr>
        <w:spacing w:after="0" w:line="32" w:lineRule="exact"/>
        <w:rPr>
          <w:sz w:val="20"/>
          <w:szCs w:val="20"/>
          <w:color w:val="auto"/>
        </w:rPr>
      </w:pPr>
    </w:p>
    <w:p>
      <w:pPr>
        <w:ind w:left="1320" w:hanging="644"/>
        <w:spacing w:after="0"/>
        <w:tabs>
          <w:tab w:leader="none" w:pos="132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Account</w:t>
      </w:r>
      <w:r>
        <w:rPr>
          <w:rFonts w:ascii="Times New Roman" w:cs="Times New Roman" w:eastAsia="Times New Roman" w:hAnsi="Times New Roman"/>
          <w:sz w:val="20"/>
          <w:szCs w:val="20"/>
          <w:color w:val="auto"/>
        </w:rPr>
        <w:t>.</w:t>
      </w:r>
    </w:p>
    <w:p>
      <w:pPr>
        <w:spacing w:after="0" w:line="254" w:lineRule="exact"/>
        <w:rPr>
          <w:rFonts w:ascii="Times New Roman" w:cs="Times New Roman" w:eastAsia="Times New Roman" w:hAnsi="Times New Roman"/>
          <w:sz w:val="20"/>
          <w:szCs w:val="20"/>
          <w:color w:val="auto"/>
        </w:rPr>
      </w:pPr>
    </w:p>
    <w:p>
      <w:pPr>
        <w:jc w:val="both"/>
        <w:ind w:left="660" w:right="120" w:firstLine="726"/>
        <w:spacing w:after="0" w:line="253" w:lineRule="auto"/>
        <w:tabs>
          <w:tab w:leader="none" w:pos="1873"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 Deferred Retainer that is elected to be paid in cash shall be allocated to a separate bookkeeping account (a “</w:t>
      </w:r>
      <w:r>
        <w:rPr>
          <w:rFonts w:ascii="Times New Roman" w:cs="Times New Roman" w:eastAsia="Times New Roman" w:hAnsi="Times New Roman"/>
          <w:sz w:val="20"/>
          <w:szCs w:val="20"/>
          <w:u w:val="single" w:color="auto"/>
          <w:color w:val="auto"/>
        </w:rPr>
        <w:t>Cash Account</w:t>
      </w:r>
      <w:r>
        <w:rPr>
          <w:rFonts w:ascii="Times New Roman" w:cs="Times New Roman" w:eastAsia="Times New Roman" w:hAnsi="Times New Roman"/>
          <w:sz w:val="20"/>
          <w:szCs w:val="20"/>
          <w:color w:val="auto"/>
        </w:rPr>
        <w:t>”) established and maintained by the Company to record the value of such Deferred Retainer. Such Cash Account shall be deemed to have realized applicable investment earnings or losses based on the performance of the investment reference or references selected by such Participant from among the investment references made available under the Plan by the Company from time to time (if any). Such deemed investment earnings or losses shall be credited or debited to such Cash Account as of the end of each calendar quarter.</w:t>
      </w:r>
    </w:p>
    <w:p>
      <w:pPr>
        <w:spacing w:after="0" w:line="205" w:lineRule="exact"/>
        <w:rPr>
          <w:rFonts w:ascii="Times New Roman" w:cs="Times New Roman" w:eastAsia="Times New Roman" w:hAnsi="Times New Roman"/>
          <w:sz w:val="20"/>
          <w:szCs w:val="20"/>
          <w:color w:val="auto"/>
        </w:rPr>
      </w:pPr>
    </w:p>
    <w:p>
      <w:pPr>
        <w:ind w:left="660" w:right="120" w:firstLine="726"/>
        <w:spacing w:after="0" w:line="310" w:lineRule="auto"/>
        <w:tabs>
          <w:tab w:leader="none" w:pos="1874" w:val="left"/>
        </w:tabs>
        <w:numPr>
          <w:ilvl w:val="2"/>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Account Distribution</w:t>
      </w:r>
      <w:r>
        <w:rPr>
          <w:rFonts w:ascii="Times New Roman" w:cs="Times New Roman" w:eastAsia="Times New Roman" w:hAnsi="Times New Roman"/>
          <w:sz w:val="19"/>
          <w:szCs w:val="19"/>
          <w:color w:val="auto"/>
        </w:rPr>
        <w:t>. On the distribution date applicable to a Participant’s Deferred Retainer, such Participant shall receive an amount in cash (without interest) equal to the value of such Participant’s Cash Account as of the distribution date.</w:t>
      </w:r>
    </w:p>
    <w:p>
      <w:pPr>
        <w:spacing w:after="0" w:line="160" w:lineRule="exact"/>
        <w:rPr>
          <w:rFonts w:ascii="Times New Roman" w:cs="Times New Roman" w:eastAsia="Times New Roman" w:hAnsi="Times New Roman"/>
          <w:sz w:val="19"/>
          <w:szCs w:val="19"/>
          <w:color w:val="auto"/>
        </w:rPr>
      </w:pPr>
    </w:p>
    <w:p>
      <w:pPr>
        <w:ind w:left="580" w:hanging="328"/>
        <w:spacing w:after="0"/>
        <w:tabs>
          <w:tab w:leader="none" w:pos="58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 PROVISIONS APPLICABLE TO DEFERALS</w:t>
      </w:r>
    </w:p>
    <w:p>
      <w:pPr>
        <w:spacing w:after="0" w:line="260" w:lineRule="exact"/>
        <w:rPr>
          <w:rFonts w:ascii="Times New Roman" w:cs="Times New Roman" w:eastAsia="Times New Roman" w:hAnsi="Times New Roman"/>
          <w:sz w:val="20"/>
          <w:szCs w:val="20"/>
          <w:b w:val="1"/>
          <w:bCs w:val="1"/>
          <w:color w:val="auto"/>
        </w:rPr>
      </w:pPr>
    </w:p>
    <w:p>
      <w:pPr>
        <w:jc w:val="both"/>
        <w:ind w:left="20" w:right="240" w:firstLine="656"/>
        <w:spacing w:after="0" w:line="252" w:lineRule="auto"/>
        <w:tabs>
          <w:tab w:leader="none" w:pos="1212"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 xml:space="preserve">. Except as provided by the Committee, no Deferred Restricted Stock Unit or Deferred Retainer (and no right under any Deferred Restricted Stock Unit or Deferred Retainer), shall be assignable, alienable, saleable or transferable by a Participant other than by will or by the laws of descent and distribution;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so determined by the Committee, Participant may, in the manner established by the Committee, designate a beneficiary or beneficiaries to exercise the rights of the Participant with respect to a Deferred Restricted Stock Unit or Deferred Retainer on the death of the Participant. Each Deferred Restricted Stock Unit and Deferred Retainer, and each right thereunder, shall be exercisable, during the Participant’s lifetime, only by the Participant or, if permissible under applicable law, by the Participant’s guardian or legal representative. No Deferred Restricted Stock Unit or Deferred Retainer, and no right under thereunder, may be pledged, alienated, attached or otherwise encumbered, and any purported pledge, alienation, attachment or encumbrance thereof shall be void and unenforceable against the Company or any Affiliate.</w:t>
      </w:r>
    </w:p>
    <w:p>
      <w:pPr>
        <w:spacing w:after="0" w:line="216" w:lineRule="exact"/>
        <w:rPr>
          <w:rFonts w:ascii="Times New Roman" w:cs="Times New Roman" w:eastAsia="Times New Roman" w:hAnsi="Times New Roman"/>
          <w:sz w:val="20"/>
          <w:szCs w:val="20"/>
          <w:color w:val="auto"/>
        </w:rPr>
      </w:pPr>
    </w:p>
    <w:p>
      <w:pPr>
        <w:jc w:val="both"/>
        <w:ind w:left="20" w:right="180" w:firstLine="656"/>
        <w:spacing w:after="0" w:line="253" w:lineRule="auto"/>
        <w:tabs>
          <w:tab w:leader="none" w:pos="1209"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Securities Law</w:t>
      </w:r>
      <w:r>
        <w:rPr>
          <w:rFonts w:ascii="Times New Roman" w:cs="Times New Roman" w:eastAsia="Times New Roman" w:hAnsi="Times New Roman"/>
          <w:sz w:val="20"/>
          <w:szCs w:val="20"/>
          <w:color w:val="auto"/>
        </w:rPr>
        <w:t>. Following distribution of Shares, a Participant will be the beneficial owner of the net Shares issued to such Participant, and will be entitled to all rights of ownership, including voting rights and the right to receive cash or stock dividends or other distributions paid on the Shares. The Company may, if it determines it is appropriate, affix any legend to the stock certificates representing Shares issued in accordance with the Plan (and any stock certificates that may subsequently be issued in substitution for the original certificates). The Company may advise the transfer agent to place a stop order against such Shares if it determines that such an order is necessary or advisable.</w:t>
      </w:r>
    </w:p>
    <w:p>
      <w:pPr>
        <w:spacing w:after="0" w:line="215" w:lineRule="exact"/>
        <w:rPr>
          <w:rFonts w:ascii="Times New Roman" w:cs="Times New Roman" w:eastAsia="Times New Roman" w:hAnsi="Times New Roman"/>
          <w:sz w:val="20"/>
          <w:szCs w:val="20"/>
          <w:color w:val="auto"/>
        </w:rPr>
      </w:pPr>
    </w:p>
    <w:p>
      <w:pPr>
        <w:ind w:left="580" w:hanging="328"/>
        <w:spacing w:after="0"/>
        <w:tabs>
          <w:tab w:leader="none" w:pos="58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AMENDMENTS AND TERMINATION</w:t>
      </w:r>
    </w:p>
    <w:p>
      <w:pPr>
        <w:spacing w:after="0" w:line="260" w:lineRule="exact"/>
        <w:rPr>
          <w:rFonts w:ascii="Times New Roman" w:cs="Times New Roman" w:eastAsia="Times New Roman" w:hAnsi="Times New Roman"/>
          <w:sz w:val="20"/>
          <w:szCs w:val="20"/>
          <w:b w:val="1"/>
          <w:bCs w:val="1"/>
          <w:color w:val="auto"/>
        </w:rPr>
      </w:pPr>
    </w:p>
    <w:p>
      <w:pPr>
        <w:jc w:val="both"/>
        <w:ind w:left="20" w:right="120" w:firstLine="656"/>
        <w:spacing w:after="0" w:line="253" w:lineRule="auto"/>
        <w:tabs>
          <w:tab w:leader="none" w:pos="1212"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Suspension or Discontinuation of the Plan</w:t>
      </w:r>
      <w:r>
        <w:rPr>
          <w:rFonts w:ascii="Times New Roman" w:cs="Times New Roman" w:eastAsia="Times New Roman" w:hAnsi="Times New Roman"/>
          <w:sz w:val="20"/>
          <w:szCs w:val="20"/>
          <w:color w:val="auto"/>
        </w:rPr>
        <w:t xml:space="preserve">. The Committee, in its sole discretion, may amend, suspend or discontinue the Plan or any deferral at any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amendment, suspension or discontinuance shall reduce the accrued benefit of any Participant except to the extent necessary to comply with any provision of federal, state or other applicable law. The Committee further has the right, without a Participant’s consent, to amend or modify the terms of the Plan and such Participant’s deferral to the extent that the Committee deems it necessary to avoid adverse or unintended tax consequences to such Participant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400" w:top="107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10.10</w:t>
      </w:r>
    </w:p>
    <w:p>
      <w:pPr>
        <w:spacing w:after="0" w:line="32" w:lineRule="exact"/>
        <w:rPr>
          <w:sz w:val="20"/>
          <w:szCs w:val="20"/>
          <w:color w:val="auto"/>
        </w:rPr>
      </w:pPr>
    </w:p>
    <w:p>
      <w:pPr>
        <w:ind w:left="20" w:right="100" w:firstLine="656"/>
        <w:spacing w:after="0" w:line="281" w:lineRule="auto"/>
        <w:tabs>
          <w:tab w:leader="none" w:pos="1209"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the Plan</w:t>
      </w:r>
      <w:r>
        <w:rPr>
          <w:rFonts w:ascii="Times New Roman" w:cs="Times New Roman" w:eastAsia="Times New Roman" w:hAnsi="Times New Roman"/>
          <w:sz w:val="20"/>
          <w:szCs w:val="20"/>
          <w:color w:val="auto"/>
        </w:rPr>
        <w:t>. The Board, in its sole discretion, may terminate the Plan at any time, as long as such termination complies with then applicable tax and other requirements, including Section 409A of the Code.</w:t>
      </w:r>
    </w:p>
    <w:p>
      <w:pPr>
        <w:spacing w:after="0" w:line="242" w:lineRule="exact"/>
        <w:rPr>
          <w:rFonts w:ascii="Times New Roman" w:cs="Times New Roman" w:eastAsia="Times New Roman" w:hAnsi="Times New Roman"/>
          <w:sz w:val="20"/>
          <w:szCs w:val="20"/>
          <w:color w:val="auto"/>
        </w:rPr>
      </w:pPr>
    </w:p>
    <w:p>
      <w:pPr>
        <w:ind w:left="20" w:right="640" w:firstLine="656"/>
        <w:spacing w:after="0" w:line="269" w:lineRule="auto"/>
        <w:tabs>
          <w:tab w:leader="none" w:pos="121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Deferrals</w:t>
      </w:r>
      <w:r>
        <w:rPr>
          <w:rFonts w:ascii="Times New Roman" w:cs="Times New Roman" w:eastAsia="Times New Roman" w:hAnsi="Times New Roman"/>
          <w:sz w:val="20"/>
          <w:szCs w:val="20"/>
          <w:color w:val="auto"/>
        </w:rPr>
        <w:t>. Such other changes to deferrals shall be permitted and honored under the Plan to the extent authorized by the Committee and consistent with Section 409A of the Code.</w:t>
      </w:r>
    </w:p>
    <w:p>
      <w:pPr>
        <w:spacing w:after="0" w:line="195" w:lineRule="exact"/>
        <w:rPr>
          <w:rFonts w:ascii="Times New Roman" w:cs="Times New Roman" w:eastAsia="Times New Roman" w:hAnsi="Times New Roman"/>
          <w:sz w:val="20"/>
          <w:szCs w:val="20"/>
          <w:color w:val="auto"/>
        </w:rPr>
      </w:pPr>
    </w:p>
    <w:p>
      <w:pPr>
        <w:ind w:left="580" w:hanging="328"/>
        <w:spacing w:after="0"/>
        <w:tabs>
          <w:tab w:leader="none" w:pos="58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p>
    <w:p>
      <w:pPr>
        <w:spacing w:after="0" w:line="273" w:lineRule="exact"/>
        <w:rPr>
          <w:rFonts w:ascii="Times New Roman" w:cs="Times New Roman" w:eastAsia="Times New Roman" w:hAnsi="Times New Roman"/>
          <w:sz w:val="20"/>
          <w:szCs w:val="20"/>
          <w:b w:val="1"/>
          <w:bCs w:val="1"/>
          <w:color w:val="auto"/>
        </w:rPr>
      </w:pPr>
    </w:p>
    <w:p>
      <w:pPr>
        <w:jc w:val="both"/>
        <w:ind w:left="20" w:right="120" w:firstLine="656"/>
        <w:spacing w:after="0" w:line="261" w:lineRule="auto"/>
        <w:tabs>
          <w:tab w:leader="none" w:pos="121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Participation</w:t>
      </w:r>
      <w:r>
        <w:rPr>
          <w:rFonts w:ascii="Times New Roman" w:cs="Times New Roman" w:eastAsia="Times New Roman" w:hAnsi="Times New Roman"/>
          <w:sz w:val="20"/>
          <w:szCs w:val="20"/>
          <w:color w:val="auto"/>
        </w:rPr>
        <w:t>. No Non-Employee Director or other Person shall have any claim to be entitled to make a deferral under the Plan, and there is no obligation for uniformity of treatment of Non-Employee Directors or beneficiaries under the Plan. The terms and conditions of deferrals under the Plan need not be the same with respect to each Non-Employee Director.</w:t>
      </w:r>
    </w:p>
    <w:p>
      <w:pPr>
        <w:spacing w:after="0" w:line="194" w:lineRule="exact"/>
        <w:rPr>
          <w:rFonts w:ascii="Times New Roman" w:cs="Times New Roman" w:eastAsia="Times New Roman" w:hAnsi="Times New Roman"/>
          <w:sz w:val="20"/>
          <w:szCs w:val="20"/>
          <w:color w:val="auto"/>
        </w:rPr>
      </w:pPr>
    </w:p>
    <w:p>
      <w:pPr>
        <w:jc w:val="both"/>
        <w:ind w:left="20" w:right="540" w:firstLine="656"/>
        <w:spacing w:after="0" w:line="257" w:lineRule="auto"/>
        <w:tabs>
          <w:tab w:leader="none" w:pos="120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To the extent required by applicable law, the Company or any Affiliate shall be authorized to withhold from any Deferred Restricted Stock Unit, Deferred Retainer or distribution under the Plan the amount (in cash, notional shares, Shares or other securities) of taxes required or permitted to be withheld (up to the maximum statutory tax rate in the relevant jurisdiction) in respect of such Deferred Restricted Stock Unit, Deferred Retainer or distribution under the Plan and to take such other action as may be necessary or appropriate in the opinion of the Company or Affiliate to satisfy withholding taxes.</w:t>
      </w:r>
    </w:p>
    <w:p>
      <w:pPr>
        <w:spacing w:after="0" w:line="213" w:lineRule="exact"/>
        <w:rPr>
          <w:rFonts w:ascii="Times New Roman" w:cs="Times New Roman" w:eastAsia="Times New Roman" w:hAnsi="Times New Roman"/>
          <w:sz w:val="20"/>
          <w:szCs w:val="20"/>
          <w:color w:val="auto"/>
        </w:rPr>
      </w:pPr>
    </w:p>
    <w:p>
      <w:pPr>
        <w:jc w:val="both"/>
        <w:ind w:left="20" w:right="180" w:firstLine="656"/>
        <w:spacing w:after="0" w:line="261" w:lineRule="auto"/>
        <w:tabs>
          <w:tab w:leader="none" w:pos="121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Limit on Other Compensation Arrangements</w:t>
      </w:r>
      <w:r>
        <w:rPr>
          <w:rFonts w:ascii="Times New Roman" w:cs="Times New Roman" w:eastAsia="Times New Roman" w:hAnsi="Times New Roman"/>
          <w:sz w:val="20"/>
          <w:szCs w:val="20"/>
          <w:color w:val="auto"/>
        </w:rPr>
        <w:t>. Nothing contained in the Plan shall prevent the Company or any Affiliate from adopting or continuing in effect other or additional compensation arrangements, and such arrangements may be either generally applicable or applicable only in specific cases.</w:t>
      </w:r>
    </w:p>
    <w:p>
      <w:pPr>
        <w:spacing w:after="0" w:line="194" w:lineRule="exact"/>
        <w:rPr>
          <w:rFonts w:ascii="Times New Roman" w:cs="Times New Roman" w:eastAsia="Times New Roman" w:hAnsi="Times New Roman"/>
          <w:sz w:val="20"/>
          <w:szCs w:val="20"/>
          <w:color w:val="auto"/>
        </w:rPr>
      </w:pPr>
    </w:p>
    <w:p>
      <w:pPr>
        <w:jc w:val="both"/>
        <w:ind w:left="20" w:right="180" w:firstLine="656"/>
        <w:spacing w:after="0" w:line="257" w:lineRule="auto"/>
        <w:tabs>
          <w:tab w:leader="none" w:pos="120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The opportunity to make a deferral under the Plan shall not be construed as giving a Non-Employee Director the right to be retained in the service of the Board or the Company. A Participant’s deferral under the Plan is not intended to confer any rights on such Participant except as set forth in the Plan. The Company expressly reserves the right at any time to replace or not to renominate a Non-Employee Director without any liability for any claim against the Company for any payment or distribution except to the extent provided for in the Plan.</w:t>
      </w:r>
    </w:p>
    <w:p>
      <w:pPr>
        <w:spacing w:after="0" w:line="213" w:lineRule="exact"/>
        <w:rPr>
          <w:rFonts w:ascii="Times New Roman" w:cs="Times New Roman" w:eastAsia="Times New Roman" w:hAnsi="Times New Roman"/>
          <w:sz w:val="20"/>
          <w:szCs w:val="20"/>
          <w:color w:val="auto"/>
        </w:rPr>
      </w:pPr>
    </w:p>
    <w:p>
      <w:pPr>
        <w:jc w:val="both"/>
        <w:ind w:left="20" w:right="320" w:firstLine="656"/>
        <w:spacing w:after="0" w:line="254" w:lineRule="auto"/>
        <w:tabs>
          <w:tab w:leader="none" w:pos="121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upon Issuance of Shares</w:t>
      </w:r>
      <w:r>
        <w:rPr>
          <w:rFonts w:ascii="Times New Roman" w:cs="Times New Roman" w:eastAsia="Times New Roman" w:hAnsi="Times New Roman"/>
          <w:sz w:val="20"/>
          <w:szCs w:val="20"/>
          <w:color w:val="auto"/>
        </w:rPr>
        <w:t>. Shares shall not be issued pursuant to the Plan unless the issuance and delivery of such shares pursuant hereto shall comply with all relevant provisions of law, including, without limitation, the Securities Act of 1933, as amended, the Securities Exchange Act of 1934, as amended, the rules and regulations promulgated thereunder, and the requirements of any stock exchange upon which the Shares may then be listed.</w:t>
      </w:r>
    </w:p>
    <w:p>
      <w:pPr>
        <w:spacing w:after="0" w:line="214" w:lineRule="exact"/>
        <w:rPr>
          <w:rFonts w:ascii="Times New Roman" w:cs="Times New Roman" w:eastAsia="Times New Roman" w:hAnsi="Times New Roman"/>
          <w:sz w:val="20"/>
          <w:szCs w:val="20"/>
          <w:color w:val="auto"/>
        </w:rPr>
      </w:pPr>
    </w:p>
    <w:p>
      <w:pPr>
        <w:ind w:left="20" w:right="400" w:firstLine="656"/>
        <w:spacing w:after="0" w:line="283" w:lineRule="auto"/>
        <w:tabs>
          <w:tab w:leader="none" w:pos="120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A Non-Employee Director will have no rights as a shareholder unless and until Shares are issued hereunder and such Non-Employee Director becomes the holder of record of such Shares.</w:t>
      </w:r>
    </w:p>
    <w:p>
      <w:pPr>
        <w:spacing w:after="0" w:line="173" w:lineRule="exact"/>
        <w:rPr>
          <w:rFonts w:ascii="Times New Roman" w:cs="Times New Roman" w:eastAsia="Times New Roman" w:hAnsi="Times New Roman"/>
          <w:sz w:val="20"/>
          <w:szCs w:val="20"/>
          <w:color w:val="auto"/>
        </w:rPr>
      </w:pPr>
    </w:p>
    <w:p>
      <w:pPr>
        <w:jc w:val="both"/>
        <w:ind w:left="20" w:right="220" w:firstLine="656"/>
        <w:spacing w:after="0" w:line="268" w:lineRule="auto"/>
        <w:tabs>
          <w:tab w:leader="none" w:pos="120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validity, construction and effect of the Plan and any rules and regulations relating to the Plan shall be determined in accordance with the laws of the State of Pennsylvania and applicable federal law without regard to conflict of law principles.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400" w:top="107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10.10</w:t>
      </w:r>
    </w:p>
    <w:p>
      <w:pPr>
        <w:spacing w:after="0" w:line="274" w:lineRule="exact"/>
        <w:rPr>
          <w:sz w:val="20"/>
          <w:szCs w:val="20"/>
          <w:color w:val="auto"/>
        </w:rPr>
      </w:pPr>
    </w:p>
    <w:p>
      <w:pPr>
        <w:jc w:val="both"/>
        <w:ind w:left="20" w:right="140" w:firstLine="656"/>
        <w:spacing w:after="0" w:line="253" w:lineRule="auto"/>
        <w:tabs>
          <w:tab w:leader="none" w:pos="120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the Plan or any Election Form is or becomes or is deemed to be invalid, illegal or unenforceable in any jurisdiction, or as to any Person, or would disqualify the Plan or any deferral under any law deemed applicable by the Committee, such provision shall be construed or deemed amended to conform to applicable laws, or if it cannot be so construed or deemed amended without, in the determination of the Committee, materially altering the intent of the Plan or such deferral, such provision shall be stricken as to such jurisdiction, Person or deferral, and the remainder of the Plan and such Election Form shall remain in full force and effect.</w:t>
      </w:r>
    </w:p>
    <w:p>
      <w:pPr>
        <w:spacing w:after="0" w:line="219" w:lineRule="exact"/>
        <w:rPr>
          <w:rFonts w:ascii="Times New Roman" w:cs="Times New Roman" w:eastAsia="Times New Roman" w:hAnsi="Times New Roman"/>
          <w:sz w:val="20"/>
          <w:szCs w:val="20"/>
          <w:color w:val="auto"/>
        </w:rPr>
      </w:pPr>
    </w:p>
    <w:p>
      <w:pPr>
        <w:jc w:val="both"/>
        <w:ind w:left="20" w:right="100" w:firstLine="656"/>
        <w:spacing w:after="0" w:line="251" w:lineRule="auto"/>
        <w:tabs>
          <w:tab w:leader="none" w:pos="120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Unfunded Status of the Plan</w:t>
      </w:r>
      <w:r>
        <w:rPr>
          <w:rFonts w:ascii="Times New Roman" w:cs="Times New Roman" w:eastAsia="Times New Roman" w:hAnsi="Times New Roman"/>
          <w:sz w:val="20"/>
          <w:szCs w:val="20"/>
          <w:color w:val="auto"/>
        </w:rPr>
        <w:t>. The Plan is unfunded. The Plan, together with the applicable Election Form, shall represent at all times an unfunded and unsecured contractual obligation of the Company. Each Non-Employee Director and beneficiary will be an unsecured creditor of the Company with respect to all obligations owed to them under the Plan. No Non-Employee Director or beneficiary will have any interest in any fund or in any specific asset of the Company of any kind, nor shall any Non-Employee Director or beneficiary or any other Person have any right to receive any payment or distribution under the Plan except as, and to the extent, expressly provided in the Plan and the applicable Election Form. Any reserve or other asset that the Company may establish or acquire to assure itself of the funds to provide payments required under the Plan shall not serve in any way as security to any Non-Employee Director or beneficiary for the Company’s performance under the Plan and shall at all times be subject to the claims of creditors.</w:t>
      </w:r>
    </w:p>
    <w:p>
      <w:pPr>
        <w:spacing w:after="0" w:line="222" w:lineRule="exact"/>
        <w:rPr>
          <w:rFonts w:ascii="Times New Roman" w:cs="Times New Roman" w:eastAsia="Times New Roman" w:hAnsi="Times New Roman"/>
          <w:sz w:val="20"/>
          <w:szCs w:val="20"/>
          <w:color w:val="auto"/>
        </w:rPr>
      </w:pPr>
    </w:p>
    <w:p>
      <w:pPr>
        <w:jc w:val="both"/>
        <w:ind w:left="20" w:right="160" w:firstLine="656"/>
        <w:spacing w:after="0" w:line="261" w:lineRule="auto"/>
        <w:tabs>
          <w:tab w:leader="none" w:pos="120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221" w:lineRule="exact"/>
        <w:rPr>
          <w:rFonts w:ascii="Times New Roman" w:cs="Times New Roman" w:eastAsia="Times New Roman" w:hAnsi="Times New Roman"/>
          <w:sz w:val="20"/>
          <w:szCs w:val="20"/>
          <w:color w:val="auto"/>
        </w:rPr>
      </w:pPr>
    </w:p>
    <w:p>
      <w:pPr>
        <w:ind w:left="1220" w:hanging="544"/>
        <w:spacing w:after="0"/>
        <w:tabs>
          <w:tab w:leader="none" w:pos="12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Plan shall be effective as of January 2, 2026.</w:t>
      </w:r>
    </w:p>
    <w:p>
      <w:pPr>
        <w:spacing w:after="0" w:line="242" w:lineRule="exact"/>
        <w:rPr>
          <w:rFonts w:ascii="Times New Roman" w:cs="Times New Roman" w:eastAsia="Times New Roman" w:hAnsi="Times New Roman"/>
          <w:sz w:val="20"/>
          <w:szCs w:val="20"/>
          <w:color w:val="auto"/>
        </w:rPr>
      </w:pPr>
    </w:p>
    <w:p>
      <w:pPr>
        <w:jc w:val="both"/>
        <w:ind w:left="20" w:right="160" w:firstLine="656"/>
        <w:spacing w:after="0" w:line="257" w:lineRule="auto"/>
        <w:tabs>
          <w:tab w:leader="none" w:pos="120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 The terms and conditions of the Plan are intended to comply (and shall be interpreted in accordance) with Section 409A of the Code. If any provision of the Plan or any term or condition of any Election Form would otherwise frustrate or conflict with this intent, the provision, term or condition will be interpreted and deemed amended so as to avoid this conflict. For purposes of this Plan, “termination of service” (or terms of similar import) shall mean a “separation from service,” as defined in Section 409A of the Code.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400" w:top="1071"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VERSANT MEDIA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RESTRICTED STOCK UNIT AWARD</w:t>
      </w:r>
    </w:p>
    <w:p>
      <w:pPr>
        <w:spacing w:after="0" w:line="200" w:lineRule="exact"/>
        <w:rPr>
          <w:sz w:val="20"/>
          <w:szCs w:val="20"/>
          <w:color w:val="auto"/>
        </w:rPr>
      </w:pPr>
    </w:p>
    <w:p>
      <w:pPr>
        <w:ind w:right="620" w:firstLine="1296"/>
        <w:spacing w:after="0" w:line="283" w:lineRule="auto"/>
        <w:rPr>
          <w:sz w:val="20"/>
          <w:szCs w:val="20"/>
          <w:color w:val="auto"/>
        </w:rPr>
      </w:pPr>
      <w:r>
        <w:rPr>
          <w:rFonts w:ascii="Times New Roman" w:cs="Times New Roman" w:eastAsia="Times New Roman" w:hAnsi="Times New Roman"/>
          <w:sz w:val="20"/>
          <w:szCs w:val="20"/>
          <w:color w:val="auto"/>
        </w:rPr>
        <w:t>This Non-Employee Director Restricted Stock Unit Award Agreement dated as of the Date of Grant (together with all schedules hereto,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by and between Versant Media Group,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Grantee.</w:t>
      </w:r>
    </w:p>
    <w:p>
      <w:pPr>
        <w:spacing w:after="0" w:line="133" w:lineRule="exact"/>
        <w:rPr>
          <w:sz w:val="20"/>
          <w:szCs w:val="20"/>
          <w:color w:val="auto"/>
        </w:rPr>
      </w:pPr>
    </w:p>
    <w:p>
      <w:pPr>
        <w:ind w:right="800" w:firstLine="1304"/>
        <w:spacing w:after="0"/>
        <w:tabs>
          <w:tab w:leader="none" w:pos="199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terms have the meanings ascribed to them below. Capitalized terms used in this Agreement but not defined herein have the meanings given to them in the Plan.</w:t>
      </w:r>
    </w:p>
    <w:p>
      <w:pPr>
        <w:spacing w:after="0" w:line="174"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means the award of Restricted Stock Units granted pursuant to this Agreement.</w:t>
      </w:r>
    </w:p>
    <w:p>
      <w:pPr>
        <w:spacing w:after="0" w:line="179" w:lineRule="exact"/>
        <w:rPr>
          <w:rFonts w:ascii="Times New Roman" w:cs="Times New Roman" w:eastAsia="Times New Roman" w:hAnsi="Times New Roman"/>
          <w:sz w:val="22"/>
          <w:szCs w:val="22"/>
          <w:color w:val="auto"/>
        </w:rPr>
      </w:pPr>
    </w:p>
    <w:p>
      <w:pPr>
        <w:ind w:left="2640" w:hanging="688"/>
        <w:spacing w:after="0"/>
        <w:tabs>
          <w:tab w:leader="none" w:pos="26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150" w:lineRule="exact"/>
        <w:rPr>
          <w:rFonts w:ascii="Times New Roman" w:cs="Times New Roman" w:eastAsia="Times New Roman" w:hAnsi="Times New Roman"/>
          <w:sz w:val="22"/>
          <w:szCs w:val="22"/>
          <w:color w:val="auto"/>
        </w:rPr>
      </w:pPr>
    </w:p>
    <w:p>
      <w:pPr>
        <w:ind w:left="2640" w:hanging="688"/>
        <w:spacing w:after="0"/>
        <w:tabs>
          <w:tab w:leader="none" w:pos="26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means the grant date identified on the attached Long-Term Incentive Awards Summary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Schedule.</w:t>
      </w:r>
    </w:p>
    <w:p>
      <w:pPr>
        <w:spacing w:after="0" w:line="166" w:lineRule="exact"/>
        <w:rPr>
          <w:rFonts w:ascii="Times New Roman" w:cs="Times New Roman" w:eastAsia="Times New Roman" w:hAnsi="Times New Roman"/>
          <w:sz w:val="22"/>
          <w:szCs w:val="22"/>
          <w:color w:val="auto"/>
        </w:rPr>
      </w:pPr>
    </w:p>
    <w:p>
      <w:pPr>
        <w:ind w:right="660" w:firstLine="1952"/>
        <w:spacing w:after="0" w:line="229" w:lineRule="auto"/>
        <w:tabs>
          <w:tab w:leader="none" w:pos="263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 NQDC Plan</w:t>
      </w:r>
      <w:r>
        <w:rPr>
          <w:rFonts w:ascii="Times New Roman" w:cs="Times New Roman" w:eastAsia="Times New Roman" w:hAnsi="Times New Roman"/>
          <w:sz w:val="20"/>
          <w:szCs w:val="20"/>
          <w:color w:val="auto"/>
        </w:rPr>
        <w:t>” means the Versant Media Group, Inc. Deferred Compensation Plan for Non-Employee Directors (as amended from time to time and including any successor plan thereto).</w:t>
      </w:r>
    </w:p>
    <w:p>
      <w:pPr>
        <w:spacing w:after="0" w:line="173" w:lineRule="exact"/>
        <w:rPr>
          <w:rFonts w:ascii="Times New Roman" w:cs="Times New Roman" w:eastAsia="Times New Roman" w:hAnsi="Times New Roman"/>
          <w:sz w:val="22"/>
          <w:szCs w:val="22"/>
          <w:color w:val="auto"/>
        </w:rPr>
      </w:pPr>
    </w:p>
    <w:p>
      <w:pPr>
        <w:ind w:right="260" w:firstLine="1952"/>
        <w:spacing w:after="0" w:line="229" w:lineRule="auto"/>
        <w:tabs>
          <w:tab w:leader="none" w:pos="263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means the individual to whom this Award has been granted as identified on the attached Long-Term Incentive Awards Summary Schedule.</w:t>
      </w:r>
    </w:p>
    <w:p>
      <w:pPr>
        <w:spacing w:after="0" w:line="173" w:lineRule="exact"/>
        <w:rPr>
          <w:rFonts w:ascii="Times New Roman" w:cs="Times New Roman" w:eastAsia="Times New Roman" w:hAnsi="Times New Roman"/>
          <w:sz w:val="22"/>
          <w:szCs w:val="22"/>
          <w:color w:val="auto"/>
        </w:rPr>
      </w:pPr>
    </w:p>
    <w:p>
      <w:pPr>
        <w:ind w:right="280" w:firstLine="1952"/>
        <w:spacing w:after="0" w:line="229" w:lineRule="auto"/>
        <w:tabs>
          <w:tab w:leader="none" w:pos="264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Long-Term Incentive Awards Summary Schedule</w:t>
      </w:r>
      <w:r>
        <w:rPr>
          <w:rFonts w:ascii="Times New Roman" w:cs="Times New Roman" w:eastAsia="Times New Roman" w:hAnsi="Times New Roman"/>
          <w:sz w:val="20"/>
          <w:szCs w:val="20"/>
          <w:color w:val="auto"/>
        </w:rPr>
        <w:t>” means the schedule attached hereto, which sets forth specific information relating to the grant and vesting of this Award (including the Service Condition applicable to this Award).</w:t>
      </w:r>
    </w:p>
    <w:p>
      <w:pPr>
        <w:spacing w:after="0" w:line="160" w:lineRule="exact"/>
        <w:rPr>
          <w:rFonts w:ascii="Times New Roman" w:cs="Times New Roman" w:eastAsia="Times New Roman" w:hAnsi="Times New Roman"/>
          <w:sz w:val="22"/>
          <w:szCs w:val="22"/>
          <w:color w:val="auto"/>
        </w:rPr>
      </w:pPr>
    </w:p>
    <w:p>
      <w:pPr>
        <w:ind w:right="40" w:firstLine="1952"/>
        <w:spacing w:after="0" w:line="229" w:lineRule="auto"/>
        <w:tabs>
          <w:tab w:leader="none" w:pos="263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the Versant Media Group, Inc. Omnibus Equity Incentive Plan (as amended from time to time and including any successor plan thereto), which is incorporated herein by reference.</w:t>
      </w:r>
    </w:p>
    <w:p>
      <w:pPr>
        <w:spacing w:after="0" w:line="173" w:lineRule="exact"/>
        <w:rPr>
          <w:rFonts w:ascii="Times New Roman" w:cs="Times New Roman" w:eastAsia="Times New Roman" w:hAnsi="Times New Roman"/>
          <w:sz w:val="22"/>
          <w:szCs w:val="22"/>
          <w:color w:val="auto"/>
        </w:rPr>
      </w:pPr>
    </w:p>
    <w:p>
      <w:pPr>
        <w:ind w:right="140" w:firstLine="1952"/>
        <w:spacing w:after="0" w:line="229" w:lineRule="auto"/>
        <w:tabs>
          <w:tab w:leader="none" w:pos="263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means, with respect to each Restricted Stock Unit, the period beginning on the Vesting Commencement Date and ending on the Vesting Date.</w:t>
      </w:r>
    </w:p>
    <w:p>
      <w:pPr>
        <w:spacing w:after="0" w:line="173" w:lineRule="exact"/>
        <w:rPr>
          <w:rFonts w:ascii="Times New Roman" w:cs="Times New Roman" w:eastAsia="Times New Roman" w:hAnsi="Times New Roman"/>
          <w:sz w:val="22"/>
          <w:szCs w:val="22"/>
          <w:color w:val="auto"/>
        </w:rPr>
      </w:pPr>
    </w:p>
    <w:p>
      <w:pPr>
        <w:ind w:right="80" w:firstLine="1952"/>
        <w:spacing w:after="0" w:line="229" w:lineRule="auto"/>
        <w:tabs>
          <w:tab w:leader="none" w:pos="2629"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means the Restricted Stock Units subject to Service Conditions granted to Grantee pursuant to this Agreement, as set forth in the Long-Term Incentive Awards Summary Schedule attached hereto.</w:t>
      </w:r>
    </w:p>
    <w:p>
      <w:pPr>
        <w:spacing w:after="0" w:line="160" w:lineRule="exact"/>
        <w:rPr>
          <w:rFonts w:ascii="Times New Roman" w:cs="Times New Roman" w:eastAsia="Times New Roman" w:hAnsi="Times New Roman"/>
          <w:sz w:val="22"/>
          <w:szCs w:val="22"/>
          <w:color w:val="auto"/>
        </w:rPr>
      </w:pPr>
    </w:p>
    <w:p>
      <w:pPr>
        <w:ind w:left="2640" w:hanging="688"/>
        <w:spacing w:after="0"/>
        <w:tabs>
          <w:tab w:leader="none" w:pos="26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16b-3</w:t>
      </w:r>
      <w:r>
        <w:rPr>
          <w:rFonts w:ascii="Times New Roman" w:cs="Times New Roman" w:eastAsia="Times New Roman" w:hAnsi="Times New Roman"/>
          <w:sz w:val="20"/>
          <w:szCs w:val="20"/>
          <w:color w:val="auto"/>
        </w:rPr>
        <w:t>” means Rule 16b-3 promulgated under the 1934 Act, as in effect from time to time.</w:t>
      </w:r>
    </w:p>
    <w:p>
      <w:pPr>
        <w:spacing w:after="0" w:line="150" w:lineRule="exact"/>
        <w:rPr>
          <w:rFonts w:ascii="Times New Roman" w:cs="Times New Roman" w:eastAsia="Times New Roman" w:hAnsi="Times New Roman"/>
          <w:sz w:val="22"/>
          <w:szCs w:val="22"/>
          <w:color w:val="auto"/>
        </w:rPr>
      </w:pPr>
    </w:p>
    <w:p>
      <w:pPr>
        <w:ind w:left="2640" w:hanging="688"/>
        <w:spacing w:after="0"/>
        <w:tabs>
          <w:tab w:leader="none" w:pos="26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Condition</w:t>
      </w:r>
      <w:r>
        <w:rPr>
          <w:rFonts w:ascii="Times New Roman" w:cs="Times New Roman" w:eastAsia="Times New Roman" w:hAnsi="Times New Roman"/>
          <w:sz w:val="20"/>
          <w:szCs w:val="20"/>
          <w:color w:val="auto"/>
        </w:rPr>
        <w:t>” has the meaning set forth on the attached Long-Term Incentive Awards Summary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Schedule.</w:t>
      </w:r>
    </w:p>
    <w:p>
      <w:pPr>
        <w:spacing w:after="0" w:line="180" w:lineRule="exact"/>
        <w:rPr>
          <w:rFonts w:ascii="Times New Roman" w:cs="Times New Roman" w:eastAsia="Times New Roman" w:hAnsi="Times New Roman"/>
          <w:sz w:val="22"/>
          <w:szCs w:val="22"/>
          <w:color w:val="auto"/>
        </w:rPr>
      </w:pPr>
    </w:p>
    <w:p>
      <w:pPr>
        <w:ind w:left="2640" w:hanging="688"/>
        <w:spacing w:after="0"/>
        <w:tabs>
          <w:tab w:leader="none" w:pos="26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mean shares of the Company’s Class A Common Stock, par value $0.01 per share.</w:t>
      </w:r>
    </w:p>
    <w:p>
      <w:pPr>
        <w:spacing w:after="0" w:line="150" w:lineRule="exact"/>
        <w:rPr>
          <w:rFonts w:ascii="Times New Roman" w:cs="Times New Roman" w:eastAsia="Times New Roman" w:hAnsi="Times New Roman"/>
          <w:sz w:val="22"/>
          <w:szCs w:val="22"/>
          <w:color w:val="auto"/>
        </w:rPr>
      </w:pPr>
    </w:p>
    <w:p>
      <w:pPr>
        <w:ind w:left="2640" w:hanging="688"/>
        <w:spacing w:after="0"/>
        <w:tabs>
          <w:tab w:leader="none" w:pos="26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Vesting Commencement Date</w:t>
      </w:r>
      <w:r>
        <w:rPr>
          <w:rFonts w:ascii="Times New Roman" w:cs="Times New Roman" w:eastAsia="Times New Roman" w:hAnsi="Times New Roman"/>
          <w:sz w:val="20"/>
          <w:szCs w:val="20"/>
          <w:color w:val="auto"/>
        </w:rPr>
        <w:t>” has the meaning set forth on the attached Long-Term Incentive Awards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Summary Schedule.</w:t>
      </w:r>
    </w:p>
    <w:p>
      <w:pPr>
        <w:sectPr>
          <w:pgSz w:w="11900" w:h="16838" w:orient="portrait"/>
          <w:cols w:equalWidth="0" w:num="1">
            <w:col w:w="11240"/>
          </w:cols>
          <w:pgMar w:left="320" w:top="120" w:right="339" w:bottom="1440" w:gutter="0" w:footer="0" w:header="0"/>
        </w:sectPr>
      </w:pPr>
    </w:p>
    <w:bookmarkStart w:id="98" w:name="page99"/>
    <w:bookmarkEnd w:id="98"/>
    <w:p>
      <w:pPr>
        <w:jc w:val="both"/>
        <w:ind w:right="180" w:firstLine="1952"/>
        <w:spacing w:after="0"/>
        <w:tabs>
          <w:tab w:leader="none" w:pos="2637"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Vesting Date</w:t>
      </w:r>
      <w:r>
        <w:rPr>
          <w:rFonts w:ascii="Times New Roman" w:cs="Times New Roman" w:eastAsia="Times New Roman" w:hAnsi="Times New Roman"/>
          <w:sz w:val="19"/>
          <w:szCs w:val="19"/>
          <w:color w:val="auto"/>
        </w:rPr>
        <w:t>” means the date(s) on which the Service Condition applicable to any Restricted Stock Units is satisfied (or deemed satisfied) pursuant to the terms of this Agreement (including the Long-Term Incentive Awards Summary Schedule).</w:t>
      </w:r>
    </w:p>
    <w:p>
      <w:pPr>
        <w:spacing w:after="0" w:line="174" w:lineRule="exact"/>
        <w:rPr>
          <w:rFonts w:ascii="Times New Roman" w:cs="Times New Roman" w:eastAsia="Times New Roman" w:hAnsi="Times New Roman"/>
          <w:sz w:val="21"/>
          <w:szCs w:val="21"/>
          <w:color w:val="auto"/>
        </w:rPr>
      </w:pPr>
    </w:p>
    <w:p>
      <w:pPr>
        <w:ind w:left="2640" w:hanging="688"/>
        <w:spacing w:after="0"/>
        <w:tabs>
          <w:tab w:leader="none" w:pos="26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1934 Act</w:t>
      </w:r>
      <w:r>
        <w:rPr>
          <w:rFonts w:ascii="Times New Roman" w:cs="Times New Roman" w:eastAsia="Times New Roman" w:hAnsi="Times New Roman"/>
          <w:sz w:val="20"/>
          <w:szCs w:val="20"/>
          <w:color w:val="auto"/>
        </w:rPr>
        <w:t>” means the Securities Exchange Act of 1934, as amended.</w:t>
      </w:r>
    </w:p>
    <w:p>
      <w:pPr>
        <w:spacing w:after="0" w:line="165"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Restricted Stock Units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right="20" w:firstLine="1952"/>
        <w:spacing w:after="0" w:line="234" w:lineRule="auto"/>
        <w:tabs>
          <w:tab w:leader="none" w:pos="2638"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Company hereby grants to Grantee the Restricted Stock Units. Each Restricted Stock Unit represents the right to receive one Share, subject to the terms and conditions set forth in this Agreement (including the Long-Term Incentive Awards Summary Schedule, which is incorporated by reference herein) and in the Plan, including the satisfaction of the applicable Service Condition.</w:t>
      </w:r>
    </w:p>
    <w:p>
      <w:pPr>
        <w:spacing w:after="0" w:line="147" w:lineRule="exact"/>
        <w:rPr>
          <w:rFonts w:ascii="Times New Roman" w:cs="Times New Roman" w:eastAsia="Times New Roman" w:hAnsi="Times New Roman"/>
          <w:sz w:val="21"/>
          <w:szCs w:val="21"/>
          <w:color w:val="auto"/>
        </w:rPr>
      </w:pPr>
    </w:p>
    <w:p>
      <w:pPr>
        <w:ind w:left="2640" w:hanging="688"/>
        <w:spacing w:after="0"/>
        <w:tabs>
          <w:tab w:leader="none" w:pos="26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Subject to Section 409A of the Code (together with the regulations and guidance promulgated thereunder,</w:t>
      </w:r>
    </w:p>
    <w:p>
      <w:pPr>
        <w:ind w:right="180"/>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to the extent applicable, the Company reserves the right to replace the Restricted Stock Units, to the extent not yet vested, with other compensation of comparable value, terms and conditions if, before the Vesting Date, the Company determines that in connection</w:t>
      </w:r>
    </w:p>
    <w:p>
      <w:pPr>
        <w:ind w:right="160"/>
        <w:spacing w:after="0" w:line="228" w:lineRule="auto"/>
        <w:rPr>
          <w:sz w:val="20"/>
          <w:szCs w:val="20"/>
          <w:color w:val="auto"/>
        </w:rPr>
      </w:pPr>
      <w:r>
        <w:rPr>
          <w:rFonts w:ascii="Times New Roman" w:cs="Times New Roman" w:eastAsia="Times New Roman" w:hAnsi="Times New Roman"/>
          <w:sz w:val="20"/>
          <w:szCs w:val="20"/>
          <w:color w:val="auto"/>
        </w:rPr>
        <w:t>with Grantee’s transfer to a location different from Grantee’s principal place of business on the Date of Grant, local regulatory requirements render Grantee’s continued holding of the unvested Restricted Stock Units impracticable.</w:t>
      </w:r>
    </w:p>
    <w:p>
      <w:pPr>
        <w:spacing w:after="0" w:line="149" w:lineRule="exact"/>
        <w:rPr>
          <w:sz w:val="20"/>
          <w:szCs w:val="20"/>
          <w:color w:val="auto"/>
        </w:rPr>
      </w:pPr>
    </w:p>
    <w:p>
      <w:pPr>
        <w:ind w:left="2000" w:hanging="696"/>
        <w:spacing w:after="0"/>
        <w:tabs>
          <w:tab w:leader="none" w:pos="20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firstLine="1952"/>
        <w:spacing w:after="0" w:line="216" w:lineRule="auto"/>
        <w:tabs>
          <w:tab w:leader="none" w:pos="263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Restricted Stock Units are granted with dividend equivalent rights. If the Company declares a cash dividend on the Shares, an amount equivalent to such dividend will be credited to an unfunded bookkeeping account on the dividend payment date with respect to each Restricted Stock Unit that is outstanding and unvested as of the record date of such dividend (the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Equivalent Amount</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2"/>
          <w:szCs w:val="22"/>
          <w:color w:val="auto"/>
        </w:rPr>
      </w:pPr>
    </w:p>
    <w:p>
      <w:pPr>
        <w:ind w:firstLine="1952"/>
        <w:spacing w:after="0" w:line="215" w:lineRule="auto"/>
        <w:tabs>
          <w:tab w:leader="none" w:pos="263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Dividend Equivalent Amount will be credited as cash, without interest, and, unless otherwise determined by the Committee, will not be converted to Shares. Subject to the Director NQDC Plan, the Dividend Equivalent Amount will be payable in cash, but subject to and only upon the applicable Vesting Date(s) of the underlying Restricted Stock Units as determined in accordance with Paragraph 4, and will be cancelled and forfeited if the underlying Restricted Stock Units are cancelled or forfeited (including as a result of failing to satisfy the applicable Service Condition), determined in accordance with Paragraph 5.</w:t>
      </w:r>
    </w:p>
    <w:p>
      <w:pPr>
        <w:spacing w:after="0" w:line="164"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Restricted Stock Units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right="40" w:firstLine="1952"/>
        <w:spacing w:after="0" w:line="215" w:lineRule="auto"/>
        <w:tabs>
          <w:tab w:leader="none" w:pos="263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Subject to the terms and conditions set forth in this Agreement and in the Plan, the Restricted Stock Units shall vest in accordance with the terms and conditions set forth on the attached Long-Term Incentive Awards Summary Schedule;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on the applicable Vesting Date, Grantee is serving, and has from the Date of Grant continuously served, as a Non-Employee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 during the Restricted Period. Subject to Grantee’s deferral election pursuant to the Director NQDC Plan, as of the applicable Vesting Date, Grantee shall be entitled to the delivery of Shares with respect to the applicable Restricted Stock Units.</w:t>
      </w:r>
    </w:p>
    <w:p>
      <w:pPr>
        <w:spacing w:after="0" w:line="177" w:lineRule="exact"/>
        <w:rPr>
          <w:rFonts w:ascii="Times New Roman" w:cs="Times New Roman" w:eastAsia="Times New Roman" w:hAnsi="Times New Roman"/>
          <w:sz w:val="22"/>
          <w:szCs w:val="22"/>
          <w:color w:val="auto"/>
        </w:rPr>
      </w:pPr>
    </w:p>
    <w:p>
      <w:pPr>
        <w:ind w:right="380" w:firstLine="1952"/>
        <w:spacing w:after="0" w:line="229" w:lineRule="auto"/>
        <w:tabs>
          <w:tab w:leader="none" w:pos="263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Notwithstanding Paragraph 4(a), the Service Condition applicable to the Restricted Stock Units shall be deemed fully satisfied upon Grantee’s Termination of Service due to Grantee’s death or Disability.</w:t>
      </w:r>
    </w:p>
    <w:p>
      <w:pPr>
        <w:spacing w:after="0" w:line="146"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of Restricted Stock Units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99" w:name="page100"/>
    <w:bookmarkEnd w:id="99"/>
    <w:p>
      <w:pPr>
        <w:ind w:left="-1120" w:right="160" w:firstLine="1952"/>
        <w:spacing w:after="0" w:line="216" w:lineRule="auto"/>
        <w:tabs>
          <w:tab w:leader="none" w:pos="151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Subject to the terms and conditions set forth in this Agreement and in the Plan, in the event of Grantee’s Termination of Service during the Restricted Period, except as otherwise specifically set forth in Paragraph 4 or as otherwise determined by the Board, Grantee shall forfeit the Restricted Stock Units effective as of such Termination of Service. Upon a forfeiture of the Restricted Stock Units as provided in this Paragraph 5, the Restricted Stock Units shall be deemed automatically canceled.</w:t>
      </w:r>
    </w:p>
    <w:p>
      <w:pPr>
        <w:spacing w:after="0" w:line="177" w:lineRule="exact"/>
        <w:rPr>
          <w:rFonts w:ascii="Times New Roman" w:cs="Times New Roman" w:eastAsia="Times New Roman" w:hAnsi="Times New Roman"/>
          <w:sz w:val="22"/>
          <w:szCs w:val="22"/>
          <w:color w:val="auto"/>
        </w:rPr>
      </w:pPr>
    </w:p>
    <w:p>
      <w:pPr>
        <w:ind w:left="-1120" w:right="60" w:firstLine="1952"/>
        <w:spacing w:after="0" w:line="229" w:lineRule="auto"/>
        <w:tabs>
          <w:tab w:leader="none" w:pos="1517"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provisions of Paragraph 5(a) shall not apply to Shares issued in respect of the Restricted Stock Units as to which a Vesting Date has occurred.</w:t>
      </w:r>
    </w:p>
    <w:p>
      <w:pPr>
        <w:spacing w:after="0" w:line="160" w:lineRule="exact"/>
        <w:rPr>
          <w:rFonts w:ascii="Times New Roman" w:cs="Times New Roman" w:eastAsia="Times New Roman" w:hAnsi="Times New Roman"/>
          <w:sz w:val="22"/>
          <w:szCs w:val="22"/>
          <w:color w:val="auto"/>
        </w:rPr>
      </w:pPr>
    </w:p>
    <w:p>
      <w:pPr>
        <w:ind w:left="-1120" w:right="320" w:firstLine="1304"/>
        <w:spacing w:after="0" w:line="226" w:lineRule="auto"/>
        <w:tabs>
          <w:tab w:leader="none" w:pos="87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anything to the contrary in this Agreement or the Plan, the Restricted Stock Units shall fully vest upon a Change in Control, subject to the Non-Employee Director’s continued service as a Non-Employee Director through the date of such Change in Control.</w:t>
      </w:r>
    </w:p>
    <w:p>
      <w:pPr>
        <w:spacing w:after="0" w:line="160" w:lineRule="exact"/>
        <w:rPr>
          <w:rFonts w:ascii="Times New Roman" w:cs="Times New Roman" w:eastAsia="Times New Roman" w:hAnsi="Times New Roman"/>
          <w:sz w:val="20"/>
          <w:szCs w:val="20"/>
          <w:color w:val="auto"/>
        </w:rPr>
      </w:pPr>
    </w:p>
    <w:p>
      <w:pPr>
        <w:ind w:left="-1120" w:firstLine="1304"/>
        <w:spacing w:after="0" w:line="216" w:lineRule="auto"/>
        <w:tabs>
          <w:tab w:leader="none" w:pos="87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Award</w:t>
      </w:r>
      <w:r>
        <w:rPr>
          <w:rFonts w:ascii="Times New Roman" w:cs="Times New Roman" w:eastAsia="Times New Roman" w:hAnsi="Times New Roman"/>
          <w:sz w:val="20"/>
          <w:szCs w:val="20"/>
          <w:color w:val="auto"/>
        </w:rPr>
        <w:t>. Except as otherwise provided by the Committee, unless and until Grantee has become the holder of record of the Shares issuable hereunder, the Award and any Restricted Stock Units hereunder may not be transferred or assigned by Grantee other than by will or the laws of descent and distribution or be exercised during his or her life other than by Grantee or for his benefit by his attorney-in-fact or guardian. Any attempt at assignment, transfer, pledge or disposition of any Restricted Stock Units contrary to the provisions hereof or the levy of any execution, attachment or similar process upon the Restricted Stock Units shall be null and void and without effect.</w:t>
      </w:r>
    </w:p>
    <w:p>
      <w:pPr>
        <w:spacing w:after="0" w:line="162" w:lineRule="exact"/>
        <w:rPr>
          <w:rFonts w:ascii="Times New Roman" w:cs="Times New Roman" w:eastAsia="Times New Roman" w:hAnsi="Times New Roman"/>
          <w:sz w:val="20"/>
          <w:szCs w:val="20"/>
          <w:color w:val="auto"/>
        </w:rPr>
      </w:pPr>
    </w:p>
    <w:p>
      <w:pPr>
        <w:ind w:left="-1120" w:right="60" w:firstLine="1304"/>
        <w:spacing w:after="0" w:line="237" w:lineRule="auto"/>
        <w:tabs>
          <w:tab w:leader="none" w:pos="873"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to the Company under this Agreement shall be made in care of the Committee at the Company’s main office in Eaglewood Cliffs, New Jersey. The address for Grantee to which notice, demands and other communications to be given or delivered under or by reason of the provisions hereof shall be Grantee’s address as reflected in the Company’s personnel records.</w:t>
      </w:r>
    </w:p>
    <w:p>
      <w:pPr>
        <w:spacing w:after="0" w:line="162" w:lineRule="exact"/>
        <w:rPr>
          <w:rFonts w:ascii="Times New Roman" w:cs="Times New Roman" w:eastAsia="Times New Roman" w:hAnsi="Times New Roman"/>
          <w:sz w:val="19"/>
          <w:szCs w:val="19"/>
          <w:color w:val="auto"/>
        </w:rPr>
      </w:pPr>
    </w:p>
    <w:p>
      <w:pPr>
        <w:jc w:val="both"/>
        <w:ind w:left="-1120" w:right="160" w:firstLine="1304"/>
        <w:spacing w:after="0" w:line="226" w:lineRule="auto"/>
        <w:tabs>
          <w:tab w:leader="none" w:pos="87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The Committee may from time to time impose any conditions on the Shares issuable with respect to Restricted Stock Units as it deems necessary or advisable to ensure that the Plan and this Award satisfy the conditions of Rule 16b-3, and that Shares are issued and resold in compliance with the Securities Act of 1933, as amended.</w:t>
      </w:r>
    </w:p>
    <w:p>
      <w:pPr>
        <w:spacing w:after="0" w:line="146" w:lineRule="exact"/>
        <w:rPr>
          <w:rFonts w:ascii="Times New Roman" w:cs="Times New Roman" w:eastAsia="Times New Roman" w:hAnsi="Times New Roman"/>
          <w:sz w:val="20"/>
          <w:szCs w:val="20"/>
          <w:color w:val="auto"/>
        </w:rPr>
      </w:pPr>
    </w:p>
    <w:p>
      <w:pPr>
        <w:ind w:left="-1120" w:right="40" w:firstLine="1304"/>
        <w:spacing w:after="0" w:line="212" w:lineRule="auto"/>
        <w:tabs>
          <w:tab w:leader="none" w:pos="86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Shares</w:t>
      </w:r>
      <w:r>
        <w:rPr>
          <w:rFonts w:ascii="Times New Roman" w:cs="Times New Roman" w:eastAsia="Times New Roman" w:hAnsi="Times New Roman"/>
          <w:sz w:val="20"/>
          <w:szCs w:val="20"/>
          <w:color w:val="auto"/>
        </w:rPr>
        <w:t xml:space="preserve">. Unless the delivery of the Dividend Equivalent Amount (if any) and the Restricted Stock Units have been deferred in accordance with the Director NQDC Plan, within ten (10) business days of a Vesting Date, the Company shall, without payment from Grantee, satisfy its obligations to (a) pay the Dividend Equivalent Amount (if any) and (b) deliver Shares underlying the applicable Restricted Stock Units by arranging for the recording of Grantee’s ownership of Shares issuable under the Plan on a book entry recordkeeping system maintained on behalf of the Company, without any legend or restrictions, except for such restrictions as may be imposed by the Committee, in its sole judgment, under Paragraph 9;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Dividend Equivalent Amount (if any) will not be paid and/or Shares will not be delivered to Grantee until appropriate arrangements have been made with the Company for the satisfaction of the Tax Obligations (as defined below)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w:t>
      </w:r>
    </w:p>
    <w:p>
      <w:pPr>
        <w:spacing w:after="0" w:line="169" w:lineRule="exact"/>
        <w:rPr>
          <w:rFonts w:ascii="Times New Roman" w:cs="Times New Roman" w:eastAsia="Times New Roman" w:hAnsi="Times New Roman"/>
          <w:sz w:val="20"/>
          <w:szCs w:val="20"/>
          <w:color w:val="auto"/>
        </w:rPr>
      </w:pPr>
    </w:p>
    <w:p>
      <w:pPr>
        <w:ind w:left="-1120" w:firstLine="1304"/>
        <w:spacing w:after="0" w:line="226" w:lineRule="auto"/>
        <w:tabs>
          <w:tab w:leader="none" w:pos="85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Prior to Settlement</w:t>
      </w:r>
      <w:r>
        <w:rPr>
          <w:rFonts w:ascii="Times New Roman" w:cs="Times New Roman" w:eastAsia="Times New Roman" w:hAnsi="Times New Roman"/>
          <w:sz w:val="20"/>
          <w:szCs w:val="20"/>
          <w:color w:val="auto"/>
        </w:rPr>
        <w:t>. Grantee shall not have any right as a shareholder with respect to any Shares subject to his or her Restricted Stock Unit until the Restricted Stock Unit shall have been settled in accordance with the terms of the Plan and this Agreement, and the Company shall have delivered the Shares.</w:t>
      </w:r>
    </w:p>
    <w:p>
      <w:pPr>
        <w:spacing w:after="0" w:line="160" w:lineRule="exact"/>
        <w:rPr>
          <w:rFonts w:ascii="Times New Roman" w:cs="Times New Roman" w:eastAsia="Times New Roman" w:hAnsi="Times New Roman"/>
          <w:sz w:val="20"/>
          <w:szCs w:val="20"/>
          <w:color w:val="auto"/>
        </w:rPr>
      </w:pPr>
    </w:p>
    <w:p>
      <w:pPr>
        <w:jc w:val="both"/>
        <w:ind w:left="-1120" w:firstLine="1304"/>
        <w:spacing w:after="0" w:line="226" w:lineRule="auto"/>
        <w:tabs>
          <w:tab w:leader="none" w:pos="86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Grantee understands and agrees that this Award and all payments with respect thereto are intended to comply with and/or be exempt from Section 409A. This Agreement shall be interpreted in a manner that is consistent with such intent and the Award shall be operated accordingly. If any provision of the Plan or any term or condition of this Award would otherwise frustrate</w:t>
      </w:r>
    </w:p>
    <w:p>
      <w:pPr>
        <w:sectPr>
          <w:pgSz w:w="11900" w:h="16838" w:orient="portrait"/>
          <w:cols w:equalWidth="0" w:num="1">
            <w:col w:w="10100"/>
          </w:cols>
          <w:pgMar w:left="1440" w:top="1413"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color w:val="auto"/>
        </w:rPr>
        <w:t>or conflict with this intent, the provision, term or condition shall be interpreted and deemed amended so as to avoid this conflict.</w:t>
      </w:r>
    </w:p>
    <w:p>
      <w:pPr>
        <w:ind w:right="120"/>
        <w:spacing w:after="0" w:line="215" w:lineRule="auto"/>
        <w:rPr>
          <w:sz w:val="20"/>
          <w:szCs w:val="20"/>
          <w:color w:val="auto"/>
        </w:rPr>
      </w:pPr>
      <w:r>
        <w:rPr>
          <w:rFonts w:ascii="Times New Roman" w:cs="Times New Roman" w:eastAsia="Times New Roman" w:hAnsi="Times New Roman"/>
          <w:sz w:val="19"/>
          <w:szCs w:val="19"/>
          <w:color w:val="auto"/>
        </w:rPr>
        <w:t>Notwithstanding anything in the Plan or this Agreement to the contrary, if the Committee considers Grantee to be a “specified employee” under Section 409A at the time of Grantee’s “separation from service” (as defined in Section 409A), and any amount hereunder is “deferred</w:t>
      </w:r>
    </w:p>
    <w:p>
      <w:pPr>
        <w:spacing w:after="0" w:line="222" w:lineRule="auto"/>
        <w:rPr>
          <w:sz w:val="20"/>
          <w:szCs w:val="20"/>
          <w:color w:val="auto"/>
        </w:rPr>
      </w:pPr>
      <w:r>
        <w:rPr>
          <w:rFonts w:ascii="Times New Roman" w:cs="Times New Roman" w:eastAsia="Times New Roman" w:hAnsi="Times New Roman"/>
          <w:sz w:val="19"/>
          <w:szCs w:val="19"/>
          <w:color w:val="auto"/>
        </w:rPr>
        <w:t>compensation” subject to Section 409A, any distribution of such amount that otherwise would be made to Grantee with respect to the Award</w:t>
      </w:r>
    </w:p>
    <w:p>
      <w:pPr>
        <w:spacing w:after="0" w:line="215" w:lineRule="auto"/>
        <w:rPr>
          <w:sz w:val="20"/>
          <w:szCs w:val="20"/>
          <w:color w:val="auto"/>
        </w:rPr>
      </w:pPr>
      <w:r>
        <w:rPr>
          <w:rFonts w:ascii="Times New Roman" w:cs="Times New Roman" w:eastAsia="Times New Roman" w:hAnsi="Times New Roman"/>
          <w:sz w:val="19"/>
          <w:szCs w:val="19"/>
          <w:color w:val="auto"/>
        </w:rPr>
        <w:t>as a result of such “separation from service” shall not be made until the date that is six months after such “separation from service,” except to the extent that earlier distribution would not result in Grantee incurring interest or additional tax under Section 409A. If the Award includes a</w:t>
      </w:r>
    </w:p>
    <w:p>
      <w:pPr>
        <w:spacing w:after="0" w:line="211" w:lineRule="auto"/>
        <w:rPr>
          <w:sz w:val="20"/>
          <w:szCs w:val="20"/>
          <w:color w:val="auto"/>
        </w:rPr>
      </w:pPr>
      <w:r>
        <w:rPr>
          <w:rFonts w:ascii="Times New Roman" w:cs="Times New Roman" w:eastAsia="Times New Roman" w:hAnsi="Times New Roman"/>
          <w:sz w:val="20"/>
          <w:szCs w:val="20"/>
          <w:color w:val="auto"/>
        </w:rPr>
        <w:t>“series of installment payments” (within the meaning of Treasury Regulations § 1.409A-2(b)(2)(iii)), Grantee’s right to such series of</w:t>
      </w:r>
    </w:p>
    <w:p>
      <w:pPr>
        <w:ind w:right="240"/>
        <w:spacing w:after="0" w:line="215" w:lineRule="auto"/>
        <w:rPr>
          <w:sz w:val="20"/>
          <w:szCs w:val="20"/>
          <w:color w:val="auto"/>
        </w:rPr>
      </w:pPr>
      <w:r>
        <w:rPr>
          <w:rFonts w:ascii="Times New Roman" w:cs="Times New Roman" w:eastAsia="Times New Roman" w:hAnsi="Times New Roman"/>
          <w:sz w:val="19"/>
          <w:szCs w:val="19"/>
          <w:color w:val="auto"/>
        </w:rPr>
        <w:t>installment payments shall be treated as a right to a series of separate payments and not as a right to a single payment, and if the Award includes “dividend equivalents” (within the meaning of Treasury Regulations § 1.409A-3(e)), Grantee’s right to such dividend equivalents</w:t>
      </w:r>
    </w:p>
    <w:p>
      <w:pPr>
        <w:spacing w:after="0" w:line="222" w:lineRule="auto"/>
        <w:rPr>
          <w:sz w:val="20"/>
          <w:szCs w:val="20"/>
          <w:color w:val="auto"/>
        </w:rPr>
      </w:pPr>
      <w:r>
        <w:rPr>
          <w:rFonts w:ascii="Times New Roman" w:cs="Times New Roman" w:eastAsia="Times New Roman" w:hAnsi="Times New Roman"/>
          <w:sz w:val="19"/>
          <w:szCs w:val="19"/>
          <w:color w:val="auto"/>
        </w:rPr>
        <w:t>shall be treated separately from the right to other amounts under the Award. Notwithstanding the foregoing, the tax treatment of the benefits</w:t>
      </w:r>
    </w:p>
    <w:p>
      <w:pPr>
        <w:ind w:right="100"/>
        <w:spacing w:after="0" w:line="233" w:lineRule="auto"/>
        <w:rPr>
          <w:sz w:val="20"/>
          <w:szCs w:val="20"/>
          <w:color w:val="auto"/>
        </w:rPr>
      </w:pPr>
      <w:r>
        <w:rPr>
          <w:rFonts w:ascii="Times New Roman" w:cs="Times New Roman" w:eastAsia="Times New Roman" w:hAnsi="Times New Roman"/>
          <w:sz w:val="19"/>
          <w:szCs w:val="19"/>
          <w:color w:val="auto"/>
        </w:rPr>
        <w:t>provided under the Plan or this Agreement is not warranted or guaranteed, and in no event shall the Company be liable for all or any portion of any taxes, penalties, interest or other expenses that may be incurred by Grantee on account of non-compliance with Section 409A.</w:t>
      </w:r>
    </w:p>
    <w:p>
      <w:pPr>
        <w:spacing w:after="0" w:line="161" w:lineRule="exact"/>
        <w:rPr>
          <w:sz w:val="20"/>
          <w:szCs w:val="20"/>
          <w:color w:val="auto"/>
        </w:rPr>
      </w:pPr>
    </w:p>
    <w:p>
      <w:pPr>
        <w:ind w:right="20" w:firstLine="1304"/>
        <w:spacing w:after="0" w:line="211" w:lineRule="auto"/>
        <w:tabs>
          <w:tab w:leader="none" w:pos="19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and Withholding</w:t>
      </w:r>
      <w:r>
        <w:rPr>
          <w:rFonts w:ascii="Times New Roman" w:cs="Times New Roman" w:eastAsia="Times New Roman" w:hAnsi="Times New Roman"/>
          <w:sz w:val="20"/>
          <w:szCs w:val="20"/>
          <w:color w:val="auto"/>
        </w:rPr>
        <w:t>. Grantee shall be solely responsible for any applicable taxes (including, without limitation, income and excise taxes) and penalties, and any interest that accrues thereon, that Grantee incurs in connection with the receipt, vesting or settlement of any Restricted Stock Units granted hereunder (the “</w:t>
      </w:r>
      <w:r>
        <w:rPr>
          <w:rFonts w:ascii="Times New Roman" w:cs="Times New Roman" w:eastAsia="Times New Roman" w:hAnsi="Times New Roman"/>
          <w:sz w:val="20"/>
          <w:szCs w:val="20"/>
          <w:u w:val="single" w:color="auto"/>
          <w:color w:val="auto"/>
        </w:rPr>
        <w:t>Tax Obligations</w:t>
      </w:r>
      <w:r>
        <w:rPr>
          <w:rFonts w:ascii="Times New Roman" w:cs="Times New Roman" w:eastAsia="Times New Roman" w:hAnsi="Times New Roman"/>
          <w:sz w:val="20"/>
          <w:szCs w:val="20"/>
          <w:color w:val="auto"/>
        </w:rPr>
        <w:t>”). Pursuant to rules and procedures that the Company establishes, Grantee’s Tax Obligations may be satisfied, in the Committee’s full and sole discretion, (a) by having the Company withhold Shares, (b) by having Grantee tender Shares to the Company, (c) by having the Company withhold cash if the Company or the Employer provides for a cash withholding option or (d) pursuant to a broker-assisted “sell-to-cover” program adopted by the Company in connection with the Plan, in each case, in an amount sufficient to satisfy the Tax Obligations. Shares withheld or tendered will be valued using the Fair Market Value of the Shares on the date the Restricted Stock Units are settled, as determined by the Committee. Any withholding or tendering of Shares shall comply with the requirements of Financial Accounting Standards Board, Accounting Standards Codification, Topic 718, and any withholding satisfied through a net-settlement of the Restricted Stock Units shall be limited to the maximum statutory withholding requirements. Grantee acknowledges that, if he or she is subject to Tax Obligations in more than one jurisdiction, the Company may be required to withhold or account for taxes in more than one jurisdiction.</w:t>
      </w:r>
    </w:p>
    <w:p>
      <w:pPr>
        <w:spacing w:after="0" w:line="165" w:lineRule="exact"/>
        <w:rPr>
          <w:rFonts w:ascii="Times New Roman" w:cs="Times New Roman" w:eastAsia="Times New Roman" w:hAnsi="Times New Roman"/>
          <w:sz w:val="20"/>
          <w:szCs w:val="20"/>
          <w:color w:val="auto"/>
        </w:rPr>
      </w:pPr>
    </w:p>
    <w:p>
      <w:pPr>
        <w:ind w:right="700" w:firstLine="1304"/>
        <w:spacing w:after="0" w:line="233" w:lineRule="auto"/>
        <w:tabs>
          <w:tab w:leader="none" w:pos="19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Not to Affect Employment</w:t>
      </w:r>
      <w:r>
        <w:rPr>
          <w:rFonts w:ascii="Times New Roman" w:cs="Times New Roman" w:eastAsia="Times New Roman" w:hAnsi="Times New Roman"/>
          <w:sz w:val="20"/>
          <w:szCs w:val="20"/>
          <w:color w:val="auto"/>
        </w:rPr>
        <w:t>. The Award granted hereunder shall not confer upon Grantee any right to continue in the service of the Company or any Subsidiary Company or Affiliate of the Company.</w:t>
      </w:r>
    </w:p>
    <w:p>
      <w:pPr>
        <w:spacing w:after="0" w:line="160" w:lineRule="exact"/>
        <w:rPr>
          <w:rFonts w:ascii="Times New Roman" w:cs="Times New Roman" w:eastAsia="Times New Roman" w:hAnsi="Times New Roman"/>
          <w:sz w:val="20"/>
          <w:szCs w:val="20"/>
          <w:color w:val="auto"/>
        </w:rPr>
      </w:pPr>
    </w:p>
    <w:p>
      <w:pPr>
        <w:ind w:right="60" w:firstLine="1304"/>
        <w:spacing w:after="0" w:line="222" w:lineRule="auto"/>
        <w:tabs>
          <w:tab w:leader="none" w:pos="19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Grantee’s participation in the Plan or acquisition or sale of the underlying Shares. Grantee is hereby advised to consult with his or her own personal tax, legal and financial advisors regarding his or her participation in the Plan before taking any action related to the Plan or the Restricted Stock Units.</w:t>
      </w:r>
    </w:p>
    <w:p>
      <w:pPr>
        <w:spacing w:after="0" w:line="161" w:lineRule="exact"/>
        <w:rPr>
          <w:rFonts w:ascii="Times New Roman" w:cs="Times New Roman" w:eastAsia="Times New Roman" w:hAnsi="Times New Roman"/>
          <w:sz w:val="20"/>
          <w:szCs w:val="20"/>
          <w:color w:val="auto"/>
        </w:rPr>
      </w:pPr>
    </w:p>
    <w:p>
      <w:pPr>
        <w:ind w:right="180" w:firstLine="1304"/>
        <w:spacing w:after="0" w:line="233" w:lineRule="auto"/>
        <w:tabs>
          <w:tab w:leader="none" w:pos="19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validity, performance, construction and effect of this Award shall be governed by the laws of the Commonwealth of Pennsylvania, without giving effect to principles of conflicts of law.</w:t>
      </w:r>
    </w:p>
    <w:p>
      <w:pPr>
        <w:spacing w:after="0" w:line="160" w:lineRule="exact"/>
        <w:rPr>
          <w:rFonts w:ascii="Times New Roman" w:cs="Times New Roman" w:eastAsia="Times New Roman" w:hAnsi="Times New Roman"/>
          <w:sz w:val="20"/>
          <w:szCs w:val="20"/>
          <w:color w:val="auto"/>
        </w:rPr>
      </w:pPr>
    </w:p>
    <w:p>
      <w:pPr>
        <w:ind w:right="580" w:firstLine="1304"/>
        <w:spacing w:after="0"/>
        <w:tabs>
          <w:tab w:leader="none" w:pos="19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Protection</w:t>
      </w:r>
      <w:r>
        <w:rPr>
          <w:rFonts w:ascii="Times New Roman" w:cs="Times New Roman" w:eastAsia="Times New Roman" w:hAnsi="Times New Roman"/>
          <w:sz w:val="20"/>
          <w:szCs w:val="20"/>
          <w:color w:val="auto"/>
        </w:rPr>
        <w:t>. Grantee acknowledges that their personal data will be processed in accordance with the data privacy policy, notice and/or agreement that is applicable to them in connection with their service.</w:t>
      </w:r>
    </w:p>
    <w:p>
      <w:pPr>
        <w:spacing w:after="0" w:line="147"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w:t>
      </w:r>
      <w:r>
        <w:rPr>
          <w:rFonts w:ascii="Times New Roman" w:cs="Times New Roman" w:eastAsia="Times New Roman" w:hAnsi="Times New Roman"/>
          <w:sz w:val="20"/>
          <w:szCs w:val="20"/>
          <w:color w:val="auto"/>
        </w:rPr>
        <w:t>. [Reserved].</w:t>
      </w:r>
    </w:p>
    <w:p>
      <w:pPr>
        <w:spacing w:after="0" w:line="188" w:lineRule="exact"/>
        <w:rPr>
          <w:rFonts w:ascii="Times New Roman" w:cs="Times New Roman" w:eastAsia="Times New Roman" w:hAnsi="Times New Roman"/>
          <w:sz w:val="20"/>
          <w:szCs w:val="20"/>
          <w:color w:val="auto"/>
        </w:rPr>
      </w:pPr>
    </w:p>
    <w:p>
      <w:pPr>
        <w:ind w:right="160" w:firstLine="1304"/>
        <w:spacing w:after="0" w:line="226" w:lineRule="auto"/>
        <w:tabs>
          <w:tab w:leader="none" w:pos="19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Plan Control</w:t>
      </w:r>
      <w:r>
        <w:rPr>
          <w:rFonts w:ascii="Times New Roman" w:cs="Times New Roman" w:eastAsia="Times New Roman" w:hAnsi="Times New Roman"/>
          <w:sz w:val="20"/>
          <w:szCs w:val="20"/>
          <w:color w:val="auto"/>
        </w:rPr>
        <w:t>. This Agreement is subject to all the terms, conditions and provisions of the Plan, including the amendment provisions thereof, and to such rules, regulations and interpretations relating to the Plan as may be adopted by the Committee and as may be in effect from time to time. The terms of the Plan are incorporated herein by reference. Except as expressly</w:t>
      </w:r>
    </w:p>
    <w:p>
      <w:pPr>
        <w:sectPr>
          <w:pgSz w:w="11900" w:h="16838" w:orient="portrait"/>
          <w:cols w:equalWidth="0" w:num="1">
            <w:col w:w="11200"/>
          </w:cols>
          <w:pgMar w:left="320" w:top="1394" w:right="379" w:bottom="1440" w:gutter="0" w:footer="0" w:header="0"/>
        </w:sectPr>
      </w:pPr>
    </w:p>
    <w:bookmarkStart w:id="101" w:name="page102"/>
    <w:bookmarkEnd w:id="101"/>
    <w:p>
      <w:pPr>
        <w:ind w:right="20"/>
        <w:spacing w:after="0"/>
        <w:rPr>
          <w:sz w:val="20"/>
          <w:szCs w:val="20"/>
          <w:color w:val="auto"/>
        </w:rPr>
      </w:pPr>
      <w:r>
        <w:rPr>
          <w:rFonts w:ascii="Times New Roman" w:cs="Times New Roman" w:eastAsia="Times New Roman" w:hAnsi="Times New Roman"/>
          <w:sz w:val="20"/>
          <w:szCs w:val="20"/>
          <w:color w:val="auto"/>
        </w:rPr>
        <w:t>set forth in this Agreement, if and to the extent that this Agreement conflicts with the Plan, the Plan shall control, and this Agreement shall be deemed to be modified accordingly.</w:t>
      </w:r>
    </w:p>
    <w:p>
      <w:pPr>
        <w:spacing w:after="0" w:line="148" w:lineRule="exact"/>
        <w:rPr>
          <w:sz w:val="20"/>
          <w:szCs w:val="20"/>
          <w:color w:val="auto"/>
        </w:rPr>
      </w:pPr>
    </w:p>
    <w:p>
      <w:pPr>
        <w:ind w:right="100" w:firstLine="1304"/>
        <w:spacing w:after="0" w:line="222" w:lineRule="auto"/>
        <w:tabs>
          <w:tab w:leader="none" w:pos="19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Plan and any other agreements, schedules, exhibits and other 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w:t>
      </w:r>
    </w:p>
    <w:p>
      <w:pPr>
        <w:spacing w:after="0" w:line="161" w:lineRule="exact"/>
        <w:rPr>
          <w:rFonts w:ascii="Times New Roman" w:cs="Times New Roman" w:eastAsia="Times New Roman" w:hAnsi="Times New Roman"/>
          <w:sz w:val="20"/>
          <w:szCs w:val="20"/>
          <w:color w:val="auto"/>
        </w:rPr>
      </w:pPr>
    </w:p>
    <w:p>
      <w:pPr>
        <w:ind w:right="40" w:firstLine="1304"/>
        <w:spacing w:after="0" w:line="220" w:lineRule="auto"/>
        <w:tabs>
          <w:tab w:leader="none" w:pos="19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is or becomes or is deemed to be invalid, illegal or unenforceable in any jurisdiction, or would disqualify the Plan or this Agreement under any law deemed applicable by the Committee, such provision shall be construed or deemed amended to conform to applicable laws, or if it cannot be so construed or deemed amended without, in the determination of the Committee, materially altering the intent of this Agreement, such provision shall be stricken as to such jurisdiction, and the remainder of this Agreement shall remain in full force and effect.</w:t>
      </w:r>
    </w:p>
    <w:p>
      <w:pPr>
        <w:spacing w:after="0" w:line="147" w:lineRule="exact"/>
        <w:rPr>
          <w:rFonts w:ascii="Times New Roman" w:cs="Times New Roman" w:eastAsia="Times New Roman" w:hAnsi="Times New Roman"/>
          <w:sz w:val="20"/>
          <w:szCs w:val="20"/>
          <w:color w:val="auto"/>
        </w:rPr>
      </w:pPr>
    </w:p>
    <w:p>
      <w:pPr>
        <w:ind w:firstLine="1304"/>
        <w:spacing w:after="0" w:line="222" w:lineRule="auto"/>
        <w:tabs>
          <w:tab w:leader="none" w:pos="19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No Third-Party Beneficiaries</w:t>
      </w:r>
      <w:r>
        <w:rPr>
          <w:rFonts w:ascii="Times New Roman" w:cs="Times New Roman" w:eastAsia="Times New Roman" w:hAnsi="Times New Roman"/>
          <w:sz w:val="20"/>
          <w:szCs w:val="20"/>
          <w:color w:val="auto"/>
        </w:rPr>
        <w:t>. This Agreement shall inure to the benefit of and be binding upon the Company and Grantee and their respective heirs, successors, legal representatives and permitted assigns. Nothing in this Agreement, express or implied, is intended to confer on any Person other than the Company and Grantee, and their respective heirs, successors, legal representatives and permitted assigns, any rights, remedies, obligations or liabilities under or by reason of this Agreement.</w:t>
      </w:r>
    </w:p>
    <w:p>
      <w:pPr>
        <w:spacing w:after="0" w:line="161" w:lineRule="exact"/>
        <w:rPr>
          <w:rFonts w:ascii="Times New Roman" w:cs="Times New Roman" w:eastAsia="Times New Roman" w:hAnsi="Times New Roman"/>
          <w:sz w:val="20"/>
          <w:szCs w:val="20"/>
          <w:color w:val="auto"/>
        </w:rPr>
      </w:pPr>
    </w:p>
    <w:p>
      <w:pPr>
        <w:ind w:right="100" w:firstLine="1304"/>
        <w:spacing w:after="0" w:line="217" w:lineRule="auto"/>
        <w:tabs>
          <w:tab w:leader="none" w:pos="19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 and Grantee Undertaking</w:t>
      </w:r>
      <w:r>
        <w:rPr>
          <w:rFonts w:ascii="Times New Roman" w:cs="Times New Roman" w:eastAsia="Times New Roman" w:hAnsi="Times New Roman"/>
          <w:sz w:val="20"/>
          <w:szCs w:val="20"/>
          <w:color w:val="auto"/>
        </w:rPr>
        <w:t>. The Company reserves the right to impose other requirements on Grantee’s participation in the Plan, on the Award and on any Shares to be issued upon settlement of the Award, to the extent the Company determines it is necessary or advisable for legal or administrative reasons. Grantee agrees to take whatever additional action and execute whatever additional documents the Company may deem necessary or advisable to accomplish the foregoing or to carry out or give effect to any of the obligations or restrictions imposed on either Grantee or the Award pursuant to this Agreement.</w:t>
      </w:r>
    </w:p>
    <w:p>
      <w:pPr>
        <w:spacing w:after="0" w:line="202" w:lineRule="exact"/>
        <w:rPr>
          <w:rFonts w:ascii="Times New Roman" w:cs="Times New Roman" w:eastAsia="Times New Roman" w:hAnsi="Times New Roman"/>
          <w:sz w:val="20"/>
          <w:szCs w:val="20"/>
          <w:color w:val="auto"/>
        </w:rPr>
      </w:pPr>
    </w:p>
    <w:p>
      <w:pPr>
        <w:ind w:right="60" w:firstLine="1304"/>
        <w:spacing w:after="0" w:line="248" w:lineRule="auto"/>
        <w:tabs>
          <w:tab w:leader="none" w:pos="199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References herein to rights and obligations of Grantee shall apply, where appropriate, to Grantee’s legal representative or estate without regard to whether specific reference to such legal representative or estate is contained in a particular provision of this Agreement.</w:t>
      </w:r>
    </w:p>
    <w:p>
      <w:pPr>
        <w:sectPr>
          <w:pgSz w:w="11900" w:h="16838" w:orient="portrait"/>
          <w:cols w:equalWidth="0" w:num="1">
            <w:col w:w="11240"/>
          </w:cols>
          <w:pgMar w:left="320" w:top="139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9"/>
          <w:szCs w:val="19"/>
          <w:color w:val="auto"/>
        </w:rPr>
        <w:t>IN WITNESS WHEREOF, the Company has granted this Award on the Date of Grant.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VERSANT MEDIA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w:t>
      </w:r>
    </w:p>
    <w:p>
      <w:pPr>
        <w:sectPr>
          <w:pgSz w:w="11900" w:h="16838" w:orient="portrait"/>
          <w:cols w:equalWidth="0" w:num="1">
            <w:col w:w="9479"/>
          </w:cols>
          <w:pgMar w:left="980" w:top="1413" w:right="1440" w:bottom="1440" w:gutter="0" w:footer="0" w:header="0"/>
        </w:sectPr>
      </w:pPr>
    </w:p>
    <w:bookmarkStart w:id="103" w:name="page104"/>
    <w:bookmarkEnd w:id="10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LONG-TERM INCENTIVE AWARDS SUMMARY SCHEDULE</w:t>
      </w:r>
    </w:p>
    <w:p>
      <w:pPr>
        <w:spacing w:after="0" w:line="2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This Long-Term Incentive Awards Summary Schedule (this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provides certain information related to the Restricted Stock Units you were granted by Versant Media Group, Inc. on the Date of Grant (as described below). </w:t>
      </w:r>
      <w:r>
        <w:rPr>
          <w:rFonts w:ascii="Times New Roman" w:cs="Times New Roman" w:eastAsia="Times New Roman" w:hAnsi="Times New Roman"/>
          <w:sz w:val="20"/>
          <w:szCs w:val="20"/>
          <w:b w:val="1"/>
          <w:bCs w:val="1"/>
          <w:color w:val="auto"/>
        </w:rPr>
        <w:t>This Schedule is intended to be, and shall at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times be interpreted as, a part of your Versant Media Group, Inc. Restricted Stock Unit Award document.</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27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Grantee:</w:t>
            </w:r>
          </w:p>
        </w:tc>
        <w:tc>
          <w:tcPr>
            <w:tcW w:w="854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Date of Grant:</w:t>
            </w:r>
          </w:p>
        </w:tc>
        <w:tc>
          <w:tcPr>
            <w:tcW w:w="85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Common Stock:</w:t>
            </w:r>
          </w:p>
        </w:tc>
        <w:tc>
          <w:tcPr>
            <w:tcW w:w="85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Versant Media Group, Inc. Class A Common Stock</w:t>
            </w:r>
          </w:p>
        </w:tc>
        <w:tc>
          <w:tcPr>
            <w:tcW w:w="0" w:type="dxa"/>
            <w:vAlign w:val="bottom"/>
          </w:tcPr>
          <w:p>
            <w:pPr>
              <w:spacing w:after="0"/>
              <w:rPr>
                <w:sz w:val="1"/>
                <w:szCs w:val="1"/>
                <w:color w:val="auto"/>
              </w:rPr>
            </w:pPr>
          </w:p>
        </w:tc>
      </w:tr>
      <w:tr>
        <w:trPr>
          <w:trHeight w:val="214"/>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72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Number of Restricted Stock</w:t>
            </w:r>
          </w:p>
        </w:tc>
        <w:tc>
          <w:tcPr>
            <w:tcW w:w="854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0"/>
        </w:trPr>
        <w:tc>
          <w:tcPr>
            <w:tcW w:w="2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Units Granted:</w:t>
            </w:r>
          </w:p>
        </w:tc>
        <w:tc>
          <w:tcPr>
            <w:tcW w:w="854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vMerge w:val="continue"/>
          </w:tcPr>
          <w:p>
            <w:pPr>
              <w:spacing w:after="0"/>
              <w:rPr>
                <w:sz w:val="9"/>
                <w:szCs w:val="9"/>
                <w:color w:val="auto"/>
              </w:rPr>
            </w:pPr>
          </w:p>
        </w:tc>
        <w:tc>
          <w:tcPr>
            <w:tcW w:w="29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Vesting Commencement Date:</w:t>
            </w:r>
          </w:p>
        </w:tc>
        <w:tc>
          <w:tcPr>
            <w:tcW w:w="85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2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Except as otherwise provided in Paragraph 4 or Paragraph 6 of the Restricted Stock Unit Award</w:t>
            </w:r>
          </w:p>
        </w:tc>
        <w:tc>
          <w:tcPr>
            <w:tcW w:w="0" w:type="dxa"/>
            <w:vAlign w:val="bottom"/>
          </w:tcPr>
          <w:p>
            <w:pPr>
              <w:spacing w:after="0"/>
              <w:rPr>
                <w:sz w:val="1"/>
                <w:szCs w:val="1"/>
                <w:color w:val="auto"/>
              </w:rPr>
            </w:pPr>
          </w:p>
        </w:tc>
      </w:tr>
      <w:tr>
        <w:trPr>
          <w:trHeight w:val="212"/>
        </w:trPr>
        <w:tc>
          <w:tcPr>
            <w:tcW w:w="2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Service Condition:</w:t>
            </w:r>
          </w:p>
        </w:tc>
        <w:tc>
          <w:tcPr>
            <w:tcW w:w="8540" w:type="dxa"/>
            <w:vAlign w:val="bottom"/>
            <w:tcBorders>
              <w:right w:val="single" w:sz="8" w:color="auto"/>
            </w:tcBorders>
            <w:gridSpan w:val="3"/>
          </w:tcPr>
          <w:p>
            <w:pPr>
              <w:ind w:left="20"/>
              <w:spacing w:after="0" w:line="212" w:lineRule="exact"/>
              <w:rPr>
                <w:sz w:val="20"/>
                <w:szCs w:val="20"/>
                <w:color w:val="auto"/>
              </w:rPr>
            </w:pPr>
            <w:r>
              <w:rPr>
                <w:rFonts w:ascii="Times New Roman" w:cs="Times New Roman" w:eastAsia="Times New Roman" w:hAnsi="Times New Roman"/>
                <w:sz w:val="20"/>
                <w:szCs w:val="20"/>
                <w:color w:val="auto"/>
              </w:rPr>
              <w:t>Agreement, Grantee will satisfy the “Service Condition” applicable to the Restricted Stock Units on the</w:t>
            </w: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vMerge w:val="continu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720" w:type="dxa"/>
            <w:vAlign w:val="bottom"/>
            <w:tcBorders>
              <w:left w:val="single" w:sz="8" w:color="auto"/>
              <w:right w:val="single" w:sz="8" w:color="auto"/>
            </w:tcBorders>
            <w:vMerge w:val="continue"/>
          </w:tcPr>
          <w:p>
            <w:pPr>
              <w:spacing w:after="0"/>
              <w:rPr>
                <w:sz w:val="20"/>
                <w:szCs w:val="20"/>
                <w:color w:val="auto"/>
              </w:rPr>
            </w:pPr>
          </w:p>
        </w:tc>
        <w:tc>
          <w:tcPr>
            <w:tcW w:w="85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earlier to occur of (i) the one-year anniversary of the Date of Grant and (ii) the date of the next regularly</w:t>
            </w:r>
          </w:p>
        </w:tc>
        <w:tc>
          <w:tcPr>
            <w:tcW w:w="0" w:type="dxa"/>
            <w:vAlign w:val="bottom"/>
          </w:tcPr>
          <w:p>
            <w:pPr>
              <w:spacing w:after="0"/>
              <w:rPr>
                <w:sz w:val="1"/>
                <w:szCs w:val="1"/>
                <w:color w:val="auto"/>
              </w:rPr>
            </w:pPr>
          </w:p>
        </w:tc>
      </w:tr>
      <w:tr>
        <w:trPr>
          <w:trHeight w:val="243"/>
        </w:trPr>
        <w:tc>
          <w:tcPr>
            <w:tcW w:w="2720" w:type="dxa"/>
            <w:vAlign w:val="bottom"/>
            <w:tcBorders>
              <w:left w:val="single" w:sz="8" w:color="auto"/>
              <w:right w:val="single" w:sz="8" w:color="auto"/>
            </w:tcBorders>
          </w:tcPr>
          <w:p>
            <w:pPr>
              <w:spacing w:after="0"/>
              <w:rPr>
                <w:sz w:val="21"/>
                <w:szCs w:val="21"/>
                <w:color w:val="auto"/>
              </w:rPr>
            </w:pPr>
          </w:p>
        </w:tc>
        <w:tc>
          <w:tcPr>
            <w:tcW w:w="85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scheduled annual general meeting of the Company’s shareholders following the Date of Grant, subject to</w:t>
            </w:r>
          </w:p>
        </w:tc>
        <w:tc>
          <w:tcPr>
            <w:tcW w:w="0" w:type="dxa"/>
            <w:vAlign w:val="bottom"/>
          </w:tcPr>
          <w:p>
            <w:pPr>
              <w:spacing w:after="0"/>
              <w:rPr>
                <w:sz w:val="1"/>
                <w:szCs w:val="1"/>
                <w:color w:val="auto"/>
              </w:rPr>
            </w:pPr>
          </w:p>
        </w:tc>
      </w:tr>
      <w:tr>
        <w:trPr>
          <w:trHeight w:val="258"/>
        </w:trPr>
        <w:tc>
          <w:tcPr>
            <w:tcW w:w="2720" w:type="dxa"/>
            <w:vAlign w:val="bottom"/>
            <w:tcBorders>
              <w:left w:val="single" w:sz="8" w:color="auto"/>
              <w:right w:val="single" w:sz="8" w:color="auto"/>
            </w:tcBorders>
          </w:tcPr>
          <w:p>
            <w:pPr>
              <w:spacing w:after="0"/>
              <w:rPr>
                <w:sz w:val="22"/>
                <w:szCs w:val="22"/>
                <w:color w:val="auto"/>
              </w:rPr>
            </w:pPr>
          </w:p>
        </w:tc>
        <w:tc>
          <w:tcPr>
            <w:tcW w:w="85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Grantee’s continued service as a Non-Employee Director through the applicable vesting date.</w:t>
            </w: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09"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VERSANT MEDIA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UNITS (FOUNDERS AWARD)</w:t>
      </w:r>
    </w:p>
    <w:p>
      <w:pPr>
        <w:spacing w:after="0" w:line="200"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This Performance Stock Unit Award Agreement dated as of the Date of Grant (together with all schedules hereto,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by and between Versant Media Group,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Grantee.</w:t>
      </w:r>
    </w:p>
    <w:p>
      <w:pPr>
        <w:spacing w:after="0" w:line="133" w:lineRule="exact"/>
        <w:rPr>
          <w:sz w:val="20"/>
          <w:szCs w:val="20"/>
          <w:color w:val="auto"/>
        </w:rPr>
      </w:pPr>
    </w:p>
    <w:p>
      <w:pPr>
        <w:ind w:right="800" w:firstLine="1304"/>
        <w:spacing w:after="0"/>
        <w:tabs>
          <w:tab w:leader="none" w:pos="199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terms have the meanings ascribed to them below. Capitalized terms used in this Agreement but not defined herein have the meanings given to them in the Plan.</w:t>
      </w:r>
    </w:p>
    <w:p>
      <w:pPr>
        <w:spacing w:after="0" w:line="161"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means the award of Performance Stock Units granted pursuant to this Agreement.</w:t>
      </w:r>
    </w:p>
    <w:p>
      <w:pPr>
        <w:spacing w:after="0" w:line="175" w:lineRule="exact"/>
        <w:rPr>
          <w:rFonts w:ascii="Times New Roman" w:cs="Times New Roman" w:eastAsia="Times New Roman" w:hAnsi="Times New Roman"/>
          <w:sz w:val="20"/>
          <w:szCs w:val="20"/>
          <w:color w:val="auto"/>
        </w:rPr>
      </w:pPr>
    </w:p>
    <w:p>
      <w:pPr>
        <w:ind w:right="120" w:firstLine="1952"/>
        <w:spacing w:after="0" w:line="230" w:lineRule="auto"/>
        <w:tabs>
          <w:tab w:leader="none" w:pos="2629"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has the meaning set forth in Grantee’s employment agreement with the Company, or, if no such agreement exists or such employment agreement has expired or otherwise been terminated prior to such time, then “Cause” has the meaning set forth in the Plan.</w:t>
      </w:r>
    </w:p>
    <w:p>
      <w:pPr>
        <w:spacing w:after="0" w:line="148"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183"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means the grant date identified on the attached Long-Term Incentive Awards Summary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w:t>
      </w:r>
    </w:p>
    <w:p>
      <w:pPr>
        <w:spacing w:after="0" w:line="153"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Earned PSUs</w:t>
      </w:r>
      <w:r>
        <w:rPr>
          <w:rFonts w:ascii="Times New Roman" w:cs="Times New Roman" w:eastAsia="Times New Roman" w:hAnsi="Times New Roman"/>
          <w:sz w:val="19"/>
          <w:szCs w:val="19"/>
          <w:color w:val="auto"/>
        </w:rPr>
        <w:t>” has the meaning set forth in the attached Long-Term Incentive Awards Summary Schedule.</w:t>
      </w:r>
    </w:p>
    <w:p>
      <w:pPr>
        <w:spacing w:after="0" w:line="200" w:lineRule="exact"/>
        <w:rPr>
          <w:rFonts w:ascii="Times New Roman" w:cs="Times New Roman" w:eastAsia="Times New Roman" w:hAnsi="Times New Roman"/>
          <w:sz w:val="19"/>
          <w:szCs w:val="19"/>
          <w:color w:val="auto"/>
        </w:rPr>
      </w:pPr>
    </w:p>
    <w:p>
      <w:pPr>
        <w:ind w:right="260" w:firstLine="1952"/>
        <w:spacing w:after="0"/>
        <w:tabs>
          <w:tab w:leader="none" w:pos="2637"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means the Company, a Participating Company, or any of their respective Affiliates for which Grantee is performing services on the applicable Vesting Date.</w:t>
      </w:r>
    </w:p>
    <w:p>
      <w:pPr>
        <w:spacing w:after="0" w:line="147" w:lineRule="exact"/>
        <w:rPr>
          <w:rFonts w:ascii="Times New Roman" w:cs="Times New Roman" w:eastAsia="Times New Roman" w:hAnsi="Times New Roman"/>
          <w:sz w:val="20"/>
          <w:szCs w:val="20"/>
          <w:color w:val="auto"/>
        </w:rPr>
      </w:pPr>
    </w:p>
    <w:p>
      <w:pPr>
        <w:ind w:right="40" w:firstLine="1952"/>
        <w:spacing w:after="0" w:line="213" w:lineRule="auto"/>
        <w:tabs>
          <w:tab w:leader="none" w:pos="2629"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xml:space="preserve">” has the meaning set forth in Grantee’s employment agreement with the Company, or, if no such agreement exists or such employment agreement has expired or otherwise been terminated prior to such time, then “Good Reason” shall mean the occurrence of any of the following without the prior consent of Grantee (i) an involuntary change in Grantee’s title to one that conveys materially less responsibility or (ii) an involuntary change of Grantee’s primary work location by more than thirty (30) miles;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Grantee has provided the Company with reasonably detailed written notice of such alleged Good Reason event within ninety</w:t>
      </w:r>
    </w:p>
    <w:p>
      <w:pPr>
        <w:ind w:right="280" w:firstLine="8"/>
        <w:spacing w:after="0" w:line="221" w:lineRule="auto"/>
        <w:tabs>
          <w:tab w:leader="none" w:pos="37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the occurrence thereof and the Company has failed to remedy such event within the sixty (60)-day period following receipt of such notice.</w:t>
      </w:r>
    </w:p>
    <w:p>
      <w:pPr>
        <w:spacing w:after="0" w:line="161" w:lineRule="exact"/>
        <w:rPr>
          <w:rFonts w:ascii="Times New Roman" w:cs="Times New Roman" w:eastAsia="Times New Roman" w:hAnsi="Times New Roman"/>
          <w:sz w:val="20"/>
          <w:szCs w:val="20"/>
          <w:color w:val="auto"/>
        </w:rPr>
      </w:pPr>
    </w:p>
    <w:p>
      <w:pPr>
        <w:ind w:right="260" w:firstLine="1952"/>
        <w:spacing w:after="0"/>
        <w:tabs>
          <w:tab w:leader="none" w:pos="2629"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means the individual to whom this Award has been granted as identified on the attached Long-Term Incentive Awards Summary Schedule.</w:t>
      </w:r>
    </w:p>
    <w:p>
      <w:pPr>
        <w:spacing w:after="0" w:line="147" w:lineRule="exact"/>
        <w:rPr>
          <w:rFonts w:ascii="Times New Roman" w:cs="Times New Roman" w:eastAsia="Times New Roman" w:hAnsi="Times New Roman"/>
          <w:sz w:val="20"/>
          <w:szCs w:val="20"/>
          <w:color w:val="auto"/>
        </w:rPr>
      </w:pPr>
    </w:p>
    <w:p>
      <w:pPr>
        <w:ind w:right="300" w:firstLine="1952"/>
        <w:spacing w:after="0"/>
        <w:tabs>
          <w:tab w:leader="none" w:pos="2639"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Long-Term Incentive Awards Summary Schedule</w:t>
      </w:r>
      <w:r>
        <w:rPr>
          <w:rFonts w:ascii="Times New Roman" w:cs="Times New Roman" w:eastAsia="Times New Roman" w:hAnsi="Times New Roman"/>
          <w:sz w:val="20"/>
          <w:szCs w:val="20"/>
          <w:color w:val="auto"/>
        </w:rPr>
        <w:t>” means the schedule attached hereto, which sets forth specific information relating to the grant and vesting of this Award (including the Service Condition applicable to this Award).</w:t>
      </w:r>
    </w:p>
    <w:p>
      <w:pPr>
        <w:spacing w:after="0" w:line="147" w:lineRule="exact"/>
        <w:rPr>
          <w:rFonts w:ascii="Times New Roman" w:cs="Times New Roman" w:eastAsia="Times New Roman" w:hAnsi="Times New Roman"/>
          <w:sz w:val="20"/>
          <w:szCs w:val="20"/>
          <w:color w:val="auto"/>
        </w:rPr>
      </w:pPr>
    </w:p>
    <w:p>
      <w:pPr>
        <w:ind w:right="40" w:firstLine="1952"/>
        <w:spacing w:after="0"/>
        <w:tabs>
          <w:tab w:leader="none" w:pos="2639"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the Versant Media Group, Inc. Omnibus Equity Incentive Plan (as amended from time to time and including any successor plan thereto), which is incorporated herein by reference.</w:t>
      </w:r>
    </w:p>
    <w:p>
      <w:pPr>
        <w:spacing w:after="0" w:line="153"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Condition</w:t>
      </w:r>
      <w:r>
        <w:rPr>
          <w:rFonts w:ascii="Times New Roman" w:cs="Times New Roman" w:eastAsia="Times New Roman" w:hAnsi="Times New Roman"/>
          <w:sz w:val="19"/>
          <w:szCs w:val="19"/>
          <w:color w:val="auto"/>
        </w:rPr>
        <w:t>” has the meaning set forth on the attached Long-Term Incentive Awards Summary</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Schedule.</w:t>
      </w:r>
    </w:p>
    <w:p>
      <w:pPr>
        <w:spacing w:after="0" w:line="166" w:lineRule="exact"/>
        <w:rPr>
          <w:rFonts w:ascii="Times New Roman" w:cs="Times New Roman" w:eastAsia="Times New Roman" w:hAnsi="Times New Roman"/>
          <w:sz w:val="19"/>
          <w:szCs w:val="19"/>
          <w:color w:val="auto"/>
        </w:rPr>
      </w:pPr>
    </w:p>
    <w:p>
      <w:pPr>
        <w:ind w:right="320" w:firstLine="1952"/>
        <w:spacing w:after="0"/>
        <w:tabs>
          <w:tab w:leader="none" w:pos="2639"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Stock Units</w:t>
      </w:r>
      <w:r>
        <w:rPr>
          <w:rFonts w:ascii="Times New Roman" w:cs="Times New Roman" w:eastAsia="Times New Roman" w:hAnsi="Times New Roman"/>
          <w:sz w:val="20"/>
          <w:szCs w:val="20"/>
          <w:color w:val="auto"/>
        </w:rPr>
        <w:t>” means the Performance Stock Units subject to Service Conditions granted to Grantee pursuant to this Agreement, as set forth in the Long-Term Incentive Awards Summary Schedule attached hereto.</w:t>
      </w:r>
    </w:p>
    <w:p>
      <w:pPr>
        <w:sectPr>
          <w:pgSz w:w="11900" w:h="16838" w:orient="portrait"/>
          <w:cols w:equalWidth="0" w:num="1">
            <w:col w:w="11240"/>
          </w:cols>
          <w:pgMar w:left="320" w:top="94" w:right="339" w:bottom="1440" w:gutter="0" w:footer="0" w:header="0"/>
        </w:sectPr>
      </w:pPr>
    </w:p>
    <w:bookmarkStart w:id="105" w:name="page106"/>
    <w:bookmarkEnd w:id="105"/>
    <w:p>
      <w:pPr>
        <w:ind w:right="600" w:firstLine="1952"/>
        <w:spacing w:after="0"/>
        <w:tabs>
          <w:tab w:leader="none" w:pos="263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means, with respect to each Performance Stock Unit, the period beginning on the Vesting Commencement Date and ending on the Vesting Date.</w:t>
      </w:r>
    </w:p>
    <w:p>
      <w:pPr>
        <w:spacing w:after="0" w:line="147"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16b-3</w:t>
      </w:r>
      <w:r>
        <w:rPr>
          <w:rFonts w:ascii="Times New Roman" w:cs="Times New Roman" w:eastAsia="Times New Roman" w:hAnsi="Times New Roman"/>
          <w:sz w:val="20"/>
          <w:szCs w:val="20"/>
          <w:color w:val="auto"/>
        </w:rPr>
        <w:t>” means Rule 16b-3 promulgated under the 1934 Act, as in effect from time to time.</w:t>
      </w:r>
    </w:p>
    <w:p>
      <w:pPr>
        <w:spacing w:after="0" w:line="183"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Condition</w:t>
      </w:r>
      <w:r>
        <w:rPr>
          <w:rFonts w:ascii="Times New Roman" w:cs="Times New Roman" w:eastAsia="Times New Roman" w:hAnsi="Times New Roman"/>
          <w:sz w:val="20"/>
          <w:szCs w:val="20"/>
          <w:color w:val="auto"/>
        </w:rPr>
        <w:t>” has the meaning set forth on the attached Long-Term Incentive Awards Summary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w:t>
      </w:r>
    </w:p>
    <w:p>
      <w:pPr>
        <w:spacing w:after="0" w:line="147"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Vesting Date</w:t>
      </w:r>
      <w:r>
        <w:rPr>
          <w:rFonts w:ascii="Times New Roman" w:cs="Times New Roman" w:eastAsia="Times New Roman" w:hAnsi="Times New Roman"/>
          <w:sz w:val="20"/>
          <w:szCs w:val="20"/>
          <w:color w:val="auto"/>
        </w:rPr>
        <w:t>” has the meaning set forth on the attached Long-Term Incentive Awards Summary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w:t>
      </w:r>
    </w:p>
    <w:p>
      <w:pPr>
        <w:spacing w:after="0" w:line="166"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mean shares of the Company’s Class A Common Stock, par value $0.01 per share.</w:t>
      </w:r>
    </w:p>
    <w:p>
      <w:pPr>
        <w:spacing w:after="0" w:line="169"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Vesting Commencement Date</w:t>
      </w:r>
      <w:r>
        <w:rPr>
          <w:rFonts w:ascii="Times New Roman" w:cs="Times New Roman" w:eastAsia="Times New Roman" w:hAnsi="Times New Roman"/>
          <w:sz w:val="20"/>
          <w:szCs w:val="20"/>
          <w:color w:val="auto"/>
        </w:rPr>
        <w:t>” has the meaning set forth on the attached Long-Term Incentive Awards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Summary Schedule.</w:t>
      </w:r>
    </w:p>
    <w:p>
      <w:pPr>
        <w:spacing w:after="0" w:line="166" w:lineRule="exact"/>
        <w:rPr>
          <w:rFonts w:ascii="Times New Roman" w:cs="Times New Roman" w:eastAsia="Times New Roman" w:hAnsi="Times New Roman"/>
          <w:sz w:val="20"/>
          <w:szCs w:val="20"/>
          <w:color w:val="auto"/>
        </w:rPr>
      </w:pPr>
    </w:p>
    <w:p>
      <w:pPr>
        <w:ind w:right="280" w:firstLine="1952"/>
        <w:spacing w:after="0" w:line="226" w:lineRule="auto"/>
        <w:tabs>
          <w:tab w:leader="none" w:pos="263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means the date(s) on which both of the Service Condition and the Performance Condition applicable to any Performance Stock Units is satisfied (or deemed satisfied) pursuant to the terms of this Agreement (including the Long-Term Incentive Awards Summary Schedule).</w:t>
      </w:r>
    </w:p>
    <w:p>
      <w:pPr>
        <w:spacing w:after="0" w:line="160"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1934 Act</w:t>
      </w:r>
      <w:r>
        <w:rPr>
          <w:rFonts w:ascii="Times New Roman" w:cs="Times New Roman" w:eastAsia="Times New Roman" w:hAnsi="Times New Roman"/>
          <w:sz w:val="20"/>
          <w:szCs w:val="20"/>
          <w:color w:val="auto"/>
        </w:rPr>
        <w:t>” means the Securities Exchange Act of 1934, as amended.</w:t>
      </w:r>
    </w:p>
    <w:p>
      <w:pPr>
        <w:spacing w:after="0" w:line="175" w:lineRule="exact"/>
        <w:rPr>
          <w:rFonts w:ascii="Times New Roman" w:cs="Times New Roman" w:eastAsia="Times New Roman" w:hAnsi="Times New Roman"/>
          <w:sz w:val="20"/>
          <w:szCs w:val="20"/>
          <w:color w:val="auto"/>
        </w:rPr>
      </w:pPr>
    </w:p>
    <w:p>
      <w:pPr>
        <w:ind w:right="160" w:firstLine="1304"/>
        <w:spacing w:after="0" w:line="216" w:lineRule="auto"/>
        <w:tabs>
          <w:tab w:leader="none" w:pos="199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Performance Stock Units</w:t>
      </w:r>
      <w:r>
        <w:rPr>
          <w:rFonts w:ascii="Times New Roman" w:cs="Times New Roman" w:eastAsia="Times New Roman" w:hAnsi="Times New Roman"/>
          <w:sz w:val="20"/>
          <w:szCs w:val="20"/>
          <w:color w:val="auto"/>
        </w:rPr>
        <w:t>. Subject to the terms and conditions set forth in this Agreement and in the Plan, the Company hereby grants to Grantee the Performance Stock Units, as set forth in the Long-Term Incentive Awards Summary Schedule attached hereto. Each Performance Stock Unit represents the right to receive between 0% and 200% of a Share based on achievement of the Performance Condition, as set forth in the Long-Term Incentive Awards Summary Schedule, subject to the terms and conditions set forth in this Agreement and in the Plan, including the satisfaction of the applicable Service Condition. Notwithstanding anything to the contrary in this Agreement, in no event will the Earned PSUs exceed 200% of the Target PSUs.</w:t>
      </w:r>
    </w:p>
    <w:p>
      <w:pPr>
        <w:spacing w:after="0" w:line="162"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952"/>
        <w:spacing w:after="0" w:line="222" w:lineRule="auto"/>
        <w:tabs>
          <w:tab w:leader="none" w:pos="2631"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Stock Units are granted with dividend equivalent rights. If the Company declares a cash dividend on the Shares, an amount equivalent to such dividend will be credited to an unfunded bookkeeping account on the dividend payment date with respect to each Performance Stock Unit that is outstanding and unvested as of the record date of such dividend (the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Equivalent Amount</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ind w:right="120" w:firstLine="1952"/>
        <w:spacing w:after="0" w:line="220" w:lineRule="auto"/>
        <w:tabs>
          <w:tab w:leader="none" w:pos="2629"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Dividend Equivalent Amount will be credited as cash, without interest, and, unless otherwise determined by the Committee, will not be converted to Shares. The Dividend Equivalent Amount will be payable in cash, but subject to and only upon the applicable Vesting Date(s) of the underlying Performance Stock Units as determined in accordance with Paragraph 4, and will be cancelled and forfeited if the underlying Performance Stock Units are cancelled or forfeited (including as a result of failing to satisfy the applicable Service Condition or Performance Condition), determined in accordance with Paragraph 5.</w:t>
      </w:r>
    </w:p>
    <w:p>
      <w:pPr>
        <w:spacing w:after="0" w:line="160"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Performance Stock Units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right="40" w:firstLine="1952"/>
        <w:spacing w:after="0" w:line="230" w:lineRule="auto"/>
        <w:tabs>
          <w:tab w:leader="none" w:pos="2631"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in this Agreement and in the Plan, the Performance Stock Units shall vest in accordance with the terms and conditions set forth on the attached Long-Term Incentive Awards Summary Schedule. As of the applicable Vesting Date, Grantee shall be entitled to the delivery of Shares with respect to the applicable Earned PSUs.</w:t>
      </w:r>
    </w:p>
    <w:p>
      <w:pPr>
        <w:sectPr>
          <w:pgSz w:w="11900" w:h="16838" w:orient="portrait"/>
          <w:cols w:equalWidth="0" w:num="1">
            <w:col w:w="11240"/>
          </w:cols>
          <w:pgMar w:left="320" w:top="1399" w:right="339" w:bottom="1440" w:gutter="0" w:footer="0" w:header="0"/>
        </w:sectPr>
      </w:pPr>
    </w:p>
    <w:bookmarkStart w:id="106" w:name="page107"/>
    <w:bookmarkEnd w:id="106"/>
    <w:p>
      <w:pPr>
        <w:ind w:right="140" w:firstLine="1952"/>
        <w:spacing w:after="0" w:line="222" w:lineRule="auto"/>
        <w:tabs>
          <w:tab w:leader="none" w:pos="2629"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the Plan, in the event of Grantee’s Termination of Service due to Grantee’s death, (i) the Service Condition applicable to the Performance Stock Units shall be deemed immediately satisfied and (ii) the Performance Condition shall be deemed immediately satisfied at one hundred percent (100%) of the target performance level.</w:t>
      </w:r>
    </w:p>
    <w:p>
      <w:pPr>
        <w:spacing w:after="0" w:line="161" w:lineRule="exact"/>
        <w:rPr>
          <w:rFonts w:ascii="Times New Roman" w:cs="Times New Roman" w:eastAsia="Times New Roman" w:hAnsi="Times New Roman"/>
          <w:sz w:val="20"/>
          <w:szCs w:val="20"/>
          <w:color w:val="auto"/>
        </w:rPr>
      </w:pPr>
    </w:p>
    <w:p>
      <w:pPr>
        <w:ind w:right="60" w:firstLine="1952"/>
        <w:spacing w:after="0" w:line="217" w:lineRule="auto"/>
        <w:tabs>
          <w:tab w:leader="none" w:pos="2631"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the Plan, in the event of Grantee’s Termination of Service due to Grantee’s Disability, the Performance Stock Units shall remain outstanding and remain eligible to vest, subject to achievement of the Performance Conditions, on the originally scheduled Service Vesting Date in accordance with the terms and conditions set forth on the attached Long-Term Incentive Awards Summary Schedule as if Grantee remained in continuous employment through the Service Vesting Date.</w:t>
      </w:r>
    </w:p>
    <w:p>
      <w:pPr>
        <w:spacing w:after="0" w:line="161"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of Performance Stock Units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right="240" w:firstLine="1952"/>
        <w:spacing w:after="0" w:line="217" w:lineRule="auto"/>
        <w:tabs>
          <w:tab w:leader="none" w:pos="263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in this Agreement and in the Plan, in the event of Grantee’s Termination of Service during the Restricted Period, except as otherwise specifically set forth in Paragraph 4, Grantee shall forfeit the Performance Stock Units effective as of such Termination of Service. Upon a forfeiture of the Performance Stock Units as provided in this Paragraph 5, the Performance Stock Units shall be deemed automatically canceled. The provisions of this Paragraph 5(a) shall not apply to Shares issued in respect of the Performance Stock Units as to which a Vesting Date has occurred.</w:t>
      </w:r>
    </w:p>
    <w:p>
      <w:pPr>
        <w:spacing w:after="0" w:line="161" w:lineRule="exact"/>
        <w:rPr>
          <w:rFonts w:ascii="Times New Roman" w:cs="Times New Roman" w:eastAsia="Times New Roman" w:hAnsi="Times New Roman"/>
          <w:sz w:val="20"/>
          <w:szCs w:val="20"/>
          <w:color w:val="auto"/>
        </w:rPr>
      </w:pPr>
    </w:p>
    <w:p>
      <w:pPr>
        <w:ind w:right="80" w:firstLine="1952"/>
        <w:spacing w:after="0"/>
        <w:tabs>
          <w:tab w:leader="none" w:pos="262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Performance Stock units that do not become Earned PSUs in accordance with this Agreement as of the end of the Performance Period shall be immediately forfeited and cancelled, without the payment of any consideration therefor.</w:t>
      </w:r>
    </w:p>
    <w:p>
      <w:pPr>
        <w:spacing w:after="0" w:line="142"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the foregoing and any other provisions of the Plan to the contrary, in the event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 Change in Control:</w:t>
      </w:r>
    </w:p>
    <w:p>
      <w:pPr>
        <w:spacing w:after="0" w:line="153" w:lineRule="exact"/>
        <w:rPr>
          <w:rFonts w:ascii="Times New Roman" w:cs="Times New Roman" w:eastAsia="Times New Roman" w:hAnsi="Times New Roman"/>
          <w:sz w:val="20"/>
          <w:szCs w:val="20"/>
          <w:color w:val="auto"/>
        </w:rPr>
      </w:pPr>
    </w:p>
    <w:p>
      <w:pPr>
        <w:ind w:firstLine="1952"/>
        <w:spacing w:after="0" w:line="222" w:lineRule="auto"/>
        <w:tabs>
          <w:tab w:leader="none" w:pos="263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Conditions shall be deemed achieved at the greater of (i) the target performance level (for the avoidance of doubt, the Final Performance Goal Achievement Percentage shall be deemed to be equal to 100%) and (ii) the actual level of achievement of Performance Conditions through the date of the Change in Control (for the avoidance of doubt, treating the date of the Change in Control as the last day of the Performance Period for purposes of the Long-Term Incentive Award Summary Schedule);</w:t>
      </w:r>
    </w:p>
    <w:p>
      <w:pPr>
        <w:spacing w:after="0" w:line="161" w:lineRule="exact"/>
        <w:rPr>
          <w:rFonts w:ascii="Times New Roman" w:cs="Times New Roman" w:eastAsia="Times New Roman" w:hAnsi="Times New Roman"/>
          <w:sz w:val="20"/>
          <w:szCs w:val="20"/>
          <w:color w:val="auto"/>
        </w:rPr>
      </w:pPr>
    </w:p>
    <w:p>
      <w:pPr>
        <w:ind w:right="20" w:firstLine="1952"/>
        <w:spacing w:after="0" w:line="215" w:lineRule="auto"/>
        <w:tabs>
          <w:tab w:leader="none" w:pos="262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this Award is assumed or substituted in connection with such Change in Control in accordance with Section 14 of the Plan, then in the event Grantee experiences a Termination of Service by the Company (or the acquiring entity or its Affiliates) without Cause or by Grantee for Good Reason, in each case within the three (3)-month period immediately preceding such Change in Control or the twenty-four (24) month period immediately following such Change in Control, then the Service Condition applicable to the Performance Stock Units will be deemed fully satisfied as of the date of such Termination of Service, with the level of achievement of the Performance Conditions determined in accordance with Section 6(a);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Grantee delivers to the Company, and does not revoke, a signed release of claims acceptable to the Company in the period prescribed by the Company; and</w:t>
      </w:r>
    </w:p>
    <w:p>
      <w:pPr>
        <w:spacing w:after="0" w:line="164" w:lineRule="exact"/>
        <w:rPr>
          <w:rFonts w:ascii="Times New Roman" w:cs="Times New Roman" w:eastAsia="Times New Roman" w:hAnsi="Times New Roman"/>
          <w:sz w:val="20"/>
          <w:szCs w:val="20"/>
          <w:color w:val="auto"/>
        </w:rPr>
      </w:pPr>
    </w:p>
    <w:p>
      <w:pPr>
        <w:ind w:right="180" w:firstLine="1952"/>
        <w:spacing w:after="0" w:line="226" w:lineRule="auto"/>
        <w:tabs>
          <w:tab w:leader="none" w:pos="263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this Award is not assumed or substituted in connection with such Change in Control in accordance with Section 14 of the Plan, then the Service Condition applicable to the Performance Stock Units will be deemed fully satisfied as of the date of such Change in Control, with the level of achievement of the Performance Conditions determined in accordance with Section 6(a).</w:t>
      </w:r>
    </w:p>
    <w:p>
      <w:pPr>
        <w:spacing w:after="0" w:line="160" w:lineRule="exact"/>
        <w:rPr>
          <w:rFonts w:ascii="Times New Roman" w:cs="Times New Roman" w:eastAsia="Times New Roman" w:hAnsi="Times New Roman"/>
          <w:sz w:val="20"/>
          <w:szCs w:val="20"/>
          <w:color w:val="auto"/>
        </w:rPr>
      </w:pPr>
    </w:p>
    <w:p>
      <w:pPr>
        <w:ind w:right="100" w:firstLine="1304"/>
        <w:spacing w:after="0" w:line="222" w:lineRule="auto"/>
        <w:tabs>
          <w:tab w:leader="none" w:pos="199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Award</w:t>
      </w:r>
      <w:r>
        <w:rPr>
          <w:rFonts w:ascii="Times New Roman" w:cs="Times New Roman" w:eastAsia="Times New Roman" w:hAnsi="Times New Roman"/>
          <w:sz w:val="20"/>
          <w:szCs w:val="20"/>
          <w:color w:val="auto"/>
        </w:rPr>
        <w:t>. Except as otherwise provided by the Committee, unless and until Grantee has become the holder of record of the Shares issuable hereunder, the Award and any Performance Stock Units hereunder may not be transferred or assigned by Grantee other than by will or the laws of descent and distribution or be exercised during his or her life other than by Grantee or for his benefit by his attorney-in-fact or guardian. Any attempt at assignment, transfer, pledge or disposition</w:t>
      </w:r>
    </w:p>
    <w:p>
      <w:pPr>
        <w:sectPr>
          <w:pgSz w:w="11900" w:h="16838" w:orient="portrait"/>
          <w:cols w:equalWidth="0" w:num="1">
            <w:col w:w="11240"/>
          </w:cols>
          <w:pgMar w:left="320" w:top="1399" w:right="339" w:bottom="1440" w:gutter="0" w:footer="0" w:header="0"/>
        </w:sectPr>
      </w:pPr>
    </w:p>
    <w:bookmarkStart w:id="107" w:name="page108"/>
    <w:bookmarkEnd w:id="107"/>
    <w:p>
      <w:pPr>
        <w:ind w:right="620"/>
        <w:spacing w:after="0"/>
        <w:rPr>
          <w:sz w:val="20"/>
          <w:szCs w:val="20"/>
          <w:color w:val="auto"/>
        </w:rPr>
      </w:pPr>
      <w:r>
        <w:rPr>
          <w:rFonts w:ascii="Times New Roman" w:cs="Times New Roman" w:eastAsia="Times New Roman" w:hAnsi="Times New Roman"/>
          <w:sz w:val="20"/>
          <w:szCs w:val="20"/>
          <w:color w:val="auto"/>
        </w:rPr>
        <w:t>of any Performance Stock Units contrary to the provisions hereof or the levy of any execution, attachment or similar process upon the Performance Stock Units shall be null and void and without effect.</w:t>
      </w:r>
    </w:p>
    <w:p>
      <w:pPr>
        <w:spacing w:after="0" w:line="148" w:lineRule="exact"/>
        <w:rPr>
          <w:sz w:val="20"/>
          <w:szCs w:val="20"/>
          <w:color w:val="auto"/>
        </w:rPr>
      </w:pPr>
    </w:p>
    <w:p>
      <w:pPr>
        <w:ind w:right="60" w:firstLine="1304"/>
        <w:spacing w:after="0" w:line="244" w:lineRule="auto"/>
        <w:tabs>
          <w:tab w:leader="none" w:pos="1993"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to the Company under this Agreement shall be made in care of the Committee at the Company’s main office in Eaglewood Cliffs, New Jersey. The address for Grantee to which notice, demands and other communications to be given or delivered under or by reason of the provisions hereof shall be Grantee’s address as reflected in the Employer’s personnel records.</w:t>
      </w:r>
    </w:p>
    <w:p>
      <w:pPr>
        <w:spacing w:after="0" w:line="143" w:lineRule="exact"/>
        <w:rPr>
          <w:rFonts w:ascii="Times New Roman" w:cs="Times New Roman" w:eastAsia="Times New Roman" w:hAnsi="Times New Roman"/>
          <w:sz w:val="19"/>
          <w:szCs w:val="19"/>
          <w:color w:val="auto"/>
        </w:rPr>
      </w:pPr>
    </w:p>
    <w:p>
      <w:pPr>
        <w:ind w:right="160" w:firstLine="1304"/>
        <w:spacing w:after="0" w:line="230" w:lineRule="auto"/>
        <w:tabs>
          <w:tab w:leader="none" w:pos="199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The Committee may from time to time impose any conditions on the Shares issuable with respect to Performance Stock Units as it deems necessary or advisable to ensure that the Plan and this Award satisfy the conditions of Rule 16b-3, and that Shares are issued and resold in compliance with the Securities Act of 1933, as amended.</w:t>
      </w:r>
    </w:p>
    <w:p>
      <w:pPr>
        <w:spacing w:after="0" w:line="148" w:lineRule="exact"/>
        <w:rPr>
          <w:rFonts w:ascii="Times New Roman" w:cs="Times New Roman" w:eastAsia="Times New Roman" w:hAnsi="Times New Roman"/>
          <w:sz w:val="20"/>
          <w:szCs w:val="20"/>
          <w:color w:val="auto"/>
        </w:rPr>
      </w:pPr>
    </w:p>
    <w:p>
      <w:pPr>
        <w:ind w:right="160" w:firstLine="1304"/>
        <w:spacing w:after="0" w:line="214" w:lineRule="auto"/>
        <w:tabs>
          <w:tab w:leader="none" w:pos="198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Shares</w:t>
      </w:r>
      <w:r>
        <w:rPr>
          <w:rFonts w:ascii="Times New Roman" w:cs="Times New Roman" w:eastAsia="Times New Roman" w:hAnsi="Times New Roman"/>
          <w:sz w:val="20"/>
          <w:szCs w:val="20"/>
          <w:color w:val="auto"/>
        </w:rPr>
        <w:t xml:space="preserve">. Within thirty (30) business days of a Vesting Date, the Company shall, without payment from Grantee, satisfy its obligations to (a) pay the Dividend Equivalent Amount (if any) and (b) deliver Shares underlying the applicable Earned PSUs by arranging for the recording of Grantee’s ownership of Shares issuable under the Plan on a book entry recordkeeping system maintained on behalf of the Company, without any legend or restrictions, except for such restrictions as may be imposed by the Committee, in its sole judgment, under Paragraph 9;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w:t>
      </w:r>
    </w:p>
    <w:p>
      <w:pPr>
        <w:spacing w:after="0" w:line="152" w:lineRule="exact"/>
        <w:rPr>
          <w:rFonts w:ascii="Times New Roman" w:cs="Times New Roman" w:eastAsia="Times New Roman" w:hAnsi="Times New Roman"/>
          <w:sz w:val="20"/>
          <w:szCs w:val="20"/>
          <w:color w:val="auto"/>
        </w:rPr>
      </w:pPr>
    </w:p>
    <w:p>
      <w:pPr>
        <w:ind w:firstLine="1304"/>
        <w:spacing w:after="0" w:line="226" w:lineRule="auto"/>
        <w:tabs>
          <w:tab w:leader="none" w:pos="197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Prior to Settlement</w:t>
      </w:r>
      <w:r>
        <w:rPr>
          <w:rFonts w:ascii="Times New Roman" w:cs="Times New Roman" w:eastAsia="Times New Roman" w:hAnsi="Times New Roman"/>
          <w:sz w:val="20"/>
          <w:szCs w:val="20"/>
          <w:color w:val="auto"/>
        </w:rPr>
        <w:t>. Grantee shall not have any right as a shareholder with respect to any Shares subject to his or her Performance Stock Unit until the Performance Stock Unit shall have been settled in accordance with the terms of the Plan and this Agreement, and the Company shall have delivered the Shares.</w:t>
      </w:r>
    </w:p>
    <w:p>
      <w:pPr>
        <w:spacing w:after="0" w:line="160" w:lineRule="exact"/>
        <w:rPr>
          <w:rFonts w:ascii="Times New Roman" w:cs="Times New Roman" w:eastAsia="Times New Roman" w:hAnsi="Times New Roman"/>
          <w:sz w:val="20"/>
          <w:szCs w:val="20"/>
          <w:color w:val="auto"/>
        </w:rPr>
      </w:pPr>
    </w:p>
    <w:p>
      <w:pPr>
        <w:ind w:right="20" w:firstLine="1304"/>
        <w:spacing w:after="0" w:line="210" w:lineRule="auto"/>
        <w:tabs>
          <w:tab w:leader="none" w:pos="198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Grantee understands and agrees that this Award and all payments with respect thereto are intended to comply with and/or be exempt from Section 409A of the Code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Agreement shall be interpreted in a manner that is consistent with such intent and the Award shall be operated accordingly. If any provision of the Plan or any term or condition of this Award would otherwise frustrate or conflict with this intent, the provision, term or condition shall be interpreted and deemed amended so as to avoid this conflict. Notwithstanding anything in the Plan or this Agreement to the contrary, if the Committee considers Grantee to be a “specified employee” under Section 409A at the time of Grantee’s “separation from service” (as defined in Section 409A), and any amount hereunder is “deferred compensation” subject to Section 409A, any distribution of such amount that otherwise would be made to Grantee with respect to the Award as a result of such “separation from service” shall not be made until the date that is six months after such “separation from service,” except to the extent that earlier distribution would not result in Grantee incurring interest or additional tax under Section 409A. If the Award includes a “series of installment payments” (within the meaning of Treasury Regulations § 1.409A-2(b)(2)(iii)), Grantee’s right to such series of installment payments shall be treated as a right to a series of separate payments and not as a right to a single payment, and if the Award includes “dividend equivalents” (within the meaning of Treasury Regulations § 1.409A-3(e)), Grantee’s right to such dividend equivalents shall be treated separately from the right to other amounts under the Award. Notwithstanding the foregoing, the tax treatment of the benefits provided under the Plan or this Agreement is not warranted or guaranteed, and in no event shall the Company be liable for all or any portion of any taxes, penalties, interest or other expenses that may be incurred by Grantee on account of non-compliance with Section 409A.</w:t>
      </w:r>
    </w:p>
    <w:p>
      <w:pPr>
        <w:spacing w:after="0" w:line="168" w:lineRule="exact"/>
        <w:rPr>
          <w:rFonts w:ascii="Times New Roman" w:cs="Times New Roman" w:eastAsia="Times New Roman" w:hAnsi="Times New Roman"/>
          <w:sz w:val="20"/>
          <w:szCs w:val="20"/>
          <w:color w:val="auto"/>
        </w:rPr>
      </w:pPr>
    </w:p>
    <w:p>
      <w:pPr>
        <w:ind w:right="20" w:firstLine="1304"/>
        <w:spacing w:after="0" w:line="222" w:lineRule="auto"/>
        <w:tabs>
          <w:tab w:leader="none" w:pos="198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and Withholding</w:t>
      </w:r>
      <w:r>
        <w:rPr>
          <w:rFonts w:ascii="Times New Roman" w:cs="Times New Roman" w:eastAsia="Times New Roman" w:hAnsi="Times New Roman"/>
          <w:sz w:val="20"/>
          <w:szCs w:val="20"/>
          <w:color w:val="auto"/>
        </w:rPr>
        <w:t>. Pursuant to rules and procedures that the Company or the Employer establishes, federal, state, local or foreign income or other tax or other withholding obligations arising upon settlement of the Performance Stock Units may be satisfied, in the Committee’s full and sole discretion, (a) by having the Company withhold Shares, (b) by having Grantee tender Shares to the Company, (c) by having the Company or the Employer withhold cash if the Company or the Employer</w:t>
      </w:r>
    </w:p>
    <w:p>
      <w:pPr>
        <w:sectPr>
          <w:pgSz w:w="11900" w:h="16838" w:orient="portrait"/>
          <w:cols w:equalWidth="0" w:num="1">
            <w:col w:w="11220"/>
          </w:cols>
          <w:pgMar w:left="320" w:top="1399"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color w:val="auto"/>
        </w:rPr>
        <w:t>provides for a cash withholding option or (d) pursuant to a broker-assisted “sell-to-cover” program adopted by the Company in connection</w:t>
      </w:r>
    </w:p>
    <w:p>
      <w:pPr>
        <w:ind w:right="140"/>
        <w:spacing w:after="0" w:line="215" w:lineRule="auto"/>
        <w:rPr>
          <w:sz w:val="20"/>
          <w:szCs w:val="20"/>
          <w:color w:val="auto"/>
        </w:rPr>
      </w:pPr>
      <w:r>
        <w:rPr>
          <w:rFonts w:ascii="Times New Roman" w:cs="Times New Roman" w:eastAsia="Times New Roman" w:hAnsi="Times New Roman"/>
          <w:sz w:val="19"/>
          <w:szCs w:val="19"/>
          <w:color w:val="auto"/>
        </w:rPr>
        <w:t>with the Plan, in each case, in an amount sufficient to satisfy the tax or other withholding obligations. Shares withheld or tendered will be valued using the Fair Market Value of the Shares on the date the Performance Stock Units are settled, as determined by the Committee. Any</w:t>
      </w:r>
    </w:p>
    <w:p>
      <w:pPr>
        <w:spacing w:after="0" w:line="211" w:lineRule="auto"/>
        <w:rPr>
          <w:sz w:val="20"/>
          <w:szCs w:val="20"/>
          <w:color w:val="auto"/>
        </w:rPr>
      </w:pPr>
      <w:r>
        <w:rPr>
          <w:rFonts w:ascii="Times New Roman" w:cs="Times New Roman" w:eastAsia="Times New Roman" w:hAnsi="Times New Roman"/>
          <w:sz w:val="20"/>
          <w:szCs w:val="20"/>
          <w:color w:val="auto"/>
        </w:rPr>
        <w:t>withholding or tendering of Shares shall comply with the requirements of Financial Accounting Standards Board, Accounting Standards</w:t>
      </w:r>
    </w:p>
    <w:p>
      <w:pPr>
        <w:ind w:right="240"/>
        <w:spacing w:after="0" w:line="215" w:lineRule="auto"/>
        <w:rPr>
          <w:sz w:val="20"/>
          <w:szCs w:val="20"/>
          <w:color w:val="auto"/>
        </w:rPr>
      </w:pPr>
      <w:r>
        <w:rPr>
          <w:rFonts w:ascii="Times New Roman" w:cs="Times New Roman" w:eastAsia="Times New Roman" w:hAnsi="Times New Roman"/>
          <w:sz w:val="19"/>
          <w:szCs w:val="19"/>
          <w:color w:val="auto"/>
        </w:rPr>
        <w:t>Codification, Topic 718, and any withholding satisfied through a net-settlement of the Performance Stock Units shall be limited to the maximum statutory withholding requirements. Grantee acknowledges that, if he or she is subject to taxes in more than one jurisdiction, the</w:t>
      </w:r>
    </w:p>
    <w:p>
      <w:pPr>
        <w:spacing w:after="0"/>
        <w:rPr>
          <w:sz w:val="20"/>
          <w:szCs w:val="20"/>
          <w:color w:val="auto"/>
        </w:rPr>
      </w:pPr>
      <w:r>
        <w:rPr>
          <w:rFonts w:ascii="Times New Roman" w:cs="Times New Roman" w:eastAsia="Times New Roman" w:hAnsi="Times New Roman"/>
          <w:sz w:val="20"/>
          <w:szCs w:val="20"/>
          <w:color w:val="auto"/>
        </w:rPr>
        <w:t>Company or the Employer may be required to withhold or account for taxes in more than one jurisdiction.</w:t>
      </w:r>
    </w:p>
    <w:p>
      <w:pPr>
        <w:spacing w:after="0" w:line="167" w:lineRule="exact"/>
        <w:rPr>
          <w:sz w:val="20"/>
          <w:szCs w:val="20"/>
          <w:color w:val="auto"/>
        </w:rPr>
      </w:pPr>
    </w:p>
    <w:p>
      <w:pPr>
        <w:ind w:right="740" w:firstLine="1304"/>
        <w:spacing w:after="0" w:line="233" w:lineRule="auto"/>
        <w:tabs>
          <w:tab w:leader="none" w:pos="19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Not to Affect Employment</w:t>
      </w:r>
      <w:r>
        <w:rPr>
          <w:rFonts w:ascii="Times New Roman" w:cs="Times New Roman" w:eastAsia="Times New Roman" w:hAnsi="Times New Roman"/>
          <w:sz w:val="20"/>
          <w:szCs w:val="20"/>
          <w:color w:val="auto"/>
        </w:rPr>
        <w:t>. The Award granted hereunder shall not confer upon Grantee any right to continue in the employment of the Company or any Participating Company or Affiliate of the Company.</w:t>
      </w:r>
    </w:p>
    <w:p>
      <w:pPr>
        <w:spacing w:after="0" w:line="160" w:lineRule="exact"/>
        <w:rPr>
          <w:rFonts w:ascii="Times New Roman" w:cs="Times New Roman" w:eastAsia="Times New Roman" w:hAnsi="Times New Roman"/>
          <w:sz w:val="20"/>
          <w:szCs w:val="20"/>
          <w:color w:val="auto"/>
        </w:rPr>
      </w:pPr>
    </w:p>
    <w:p>
      <w:pPr>
        <w:jc w:val="both"/>
        <w:ind w:right="140" w:firstLine="1304"/>
        <w:spacing w:after="0" w:line="222" w:lineRule="auto"/>
        <w:tabs>
          <w:tab w:leader="none" w:pos="19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Neither the Company or the Employer is providing any tax, legal or financial advice, nor is the Company or the Employer making any recommendations regarding Grantee’s participation in the Plan or acquisition or sale of the underlying Shares. Grantee is hereby advised to consult with his or her own personal tax, legal and financial advisors regarding his or her participation in the Plan before taking any action related to the Plan or the Performance Stock Units.</w:t>
      </w:r>
    </w:p>
    <w:p>
      <w:pPr>
        <w:spacing w:after="0" w:line="161" w:lineRule="exact"/>
        <w:rPr>
          <w:rFonts w:ascii="Times New Roman" w:cs="Times New Roman" w:eastAsia="Times New Roman" w:hAnsi="Times New Roman"/>
          <w:sz w:val="20"/>
          <w:szCs w:val="20"/>
          <w:color w:val="auto"/>
        </w:rPr>
      </w:pPr>
    </w:p>
    <w:p>
      <w:pPr>
        <w:ind w:right="220" w:firstLine="1304"/>
        <w:spacing w:after="0" w:line="233" w:lineRule="auto"/>
        <w:tabs>
          <w:tab w:leader="none" w:pos="19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validity, performance, construction and effect of this Award shall be governed by the laws of the Commonwealth of Pennsylvania, without giving effect to principles of conflicts of law.</w:t>
      </w:r>
    </w:p>
    <w:p>
      <w:pPr>
        <w:spacing w:after="0" w:line="160" w:lineRule="exact"/>
        <w:rPr>
          <w:rFonts w:ascii="Times New Roman" w:cs="Times New Roman" w:eastAsia="Times New Roman" w:hAnsi="Times New Roman"/>
          <w:sz w:val="20"/>
          <w:szCs w:val="20"/>
          <w:color w:val="auto"/>
        </w:rPr>
      </w:pPr>
    </w:p>
    <w:p>
      <w:pPr>
        <w:ind w:right="620" w:firstLine="1304"/>
        <w:spacing w:after="0"/>
        <w:tabs>
          <w:tab w:leader="none" w:pos="19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Protection</w:t>
      </w:r>
      <w:r>
        <w:rPr>
          <w:rFonts w:ascii="Times New Roman" w:cs="Times New Roman" w:eastAsia="Times New Roman" w:hAnsi="Times New Roman"/>
          <w:sz w:val="20"/>
          <w:szCs w:val="20"/>
          <w:color w:val="auto"/>
        </w:rPr>
        <w:t>. Grantee acknowledges that their personal data will be processed in accordance with the data privacy policy, notice and/or agreement that is applicable to them in connection with their employment.</w:t>
      </w:r>
    </w:p>
    <w:p>
      <w:pPr>
        <w:spacing w:after="0" w:line="147" w:lineRule="exact"/>
        <w:rPr>
          <w:rFonts w:ascii="Times New Roman" w:cs="Times New Roman" w:eastAsia="Times New Roman" w:hAnsi="Times New Roman"/>
          <w:sz w:val="20"/>
          <w:szCs w:val="20"/>
          <w:color w:val="auto"/>
        </w:rPr>
      </w:pPr>
    </w:p>
    <w:p>
      <w:pPr>
        <w:ind w:right="100" w:firstLine="1304"/>
        <w:spacing w:after="0"/>
        <w:tabs>
          <w:tab w:leader="none" w:pos="19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w:t>
      </w:r>
      <w:r>
        <w:rPr>
          <w:rFonts w:ascii="Times New Roman" w:cs="Times New Roman" w:eastAsia="Times New Roman" w:hAnsi="Times New Roman"/>
          <w:sz w:val="20"/>
          <w:szCs w:val="20"/>
          <w:color w:val="auto"/>
        </w:rPr>
        <w:t>. This Award is subject to all applicable provisions set out in Appendix A to this Agreement, titled ‘Global Appendix’, including any provisions that are specific to Grantee’s jurisdiction, if any.</w:t>
      </w:r>
    </w:p>
    <w:p>
      <w:pPr>
        <w:spacing w:after="0" w:line="147" w:lineRule="exact"/>
        <w:rPr>
          <w:rFonts w:ascii="Times New Roman" w:cs="Times New Roman" w:eastAsia="Times New Roman" w:hAnsi="Times New Roman"/>
          <w:sz w:val="20"/>
          <w:szCs w:val="20"/>
          <w:color w:val="auto"/>
        </w:rPr>
      </w:pPr>
    </w:p>
    <w:p>
      <w:pPr>
        <w:ind w:right="420" w:firstLine="1304"/>
        <w:spacing w:after="0"/>
        <w:tabs>
          <w:tab w:leader="none" w:pos="19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Cancellation/Clawback</w:t>
      </w:r>
      <w:r>
        <w:rPr>
          <w:rFonts w:ascii="Times New Roman" w:cs="Times New Roman" w:eastAsia="Times New Roman" w:hAnsi="Times New Roman"/>
          <w:sz w:val="20"/>
          <w:szCs w:val="20"/>
          <w:color w:val="auto"/>
        </w:rPr>
        <w:t>. Grantee hereby acknowledges and agrees that Grantee and the Award are subject to the terms and conditions of Section 15 (Repayment) of the Plan.</w:t>
      </w:r>
    </w:p>
    <w:p>
      <w:pPr>
        <w:spacing w:after="0" w:line="161" w:lineRule="exact"/>
        <w:rPr>
          <w:rFonts w:ascii="Times New Roman" w:cs="Times New Roman" w:eastAsia="Times New Roman" w:hAnsi="Times New Roman"/>
          <w:sz w:val="20"/>
          <w:szCs w:val="20"/>
          <w:color w:val="auto"/>
        </w:rPr>
      </w:pPr>
    </w:p>
    <w:p>
      <w:pPr>
        <w:ind w:right="40" w:firstLine="1304"/>
        <w:spacing w:after="0" w:line="222" w:lineRule="auto"/>
        <w:tabs>
          <w:tab w:leader="none" w:pos="19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Plan Control</w:t>
      </w:r>
      <w:r>
        <w:rPr>
          <w:rFonts w:ascii="Times New Roman" w:cs="Times New Roman" w:eastAsia="Times New Roman" w:hAnsi="Times New Roman"/>
          <w:sz w:val="20"/>
          <w:szCs w:val="20"/>
          <w:color w:val="auto"/>
        </w:rPr>
        <w:t>. This Agreement is subject to all the terms, conditions and provisions of the Plan, including the amendment provisions thereof, and to such rules, regulations and interpretations relating to the Plan as may be adopted by the Committee and as may be in effect from time to time. The terms of the Plan are incorporated herein by reference. If and to the extent that this Agreement conflicts with the Plan, the Plan shall control, and this Agreement shall be deemed to be modified accordingly.</w:t>
      </w:r>
    </w:p>
    <w:p>
      <w:pPr>
        <w:spacing w:after="0" w:line="148" w:lineRule="exact"/>
        <w:rPr>
          <w:rFonts w:ascii="Times New Roman" w:cs="Times New Roman" w:eastAsia="Times New Roman" w:hAnsi="Times New Roman"/>
          <w:sz w:val="20"/>
          <w:szCs w:val="20"/>
          <w:color w:val="auto"/>
        </w:rPr>
      </w:pPr>
    </w:p>
    <w:p>
      <w:pPr>
        <w:ind w:right="100" w:firstLine="1304"/>
        <w:spacing w:after="0" w:line="222" w:lineRule="auto"/>
        <w:tabs>
          <w:tab w:leader="none" w:pos="19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Plan and any other agreements, schedules, exhibits and other 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w:t>
      </w:r>
    </w:p>
    <w:p>
      <w:pPr>
        <w:spacing w:after="0" w:line="161" w:lineRule="exact"/>
        <w:rPr>
          <w:rFonts w:ascii="Times New Roman" w:cs="Times New Roman" w:eastAsia="Times New Roman" w:hAnsi="Times New Roman"/>
          <w:sz w:val="20"/>
          <w:szCs w:val="20"/>
          <w:color w:val="auto"/>
        </w:rPr>
      </w:pPr>
    </w:p>
    <w:p>
      <w:pPr>
        <w:ind w:right="40" w:firstLine="1304"/>
        <w:spacing w:after="0" w:line="220" w:lineRule="auto"/>
        <w:tabs>
          <w:tab w:leader="none" w:pos="19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is or becomes or is deemed to be invalid, illegal or unenforceable in any jurisdiction, or would disqualify the Plan or this Agreement under any law deemed applicable by the Committee, such provision shall be construed or deemed amended to conform to applicable laws, or if it cannot be so construed or deemed amended without, in the determination of the Committee, materially altering the intent of this Agreement, such provision shall be stricken as to such jurisdiction, and the remainder of this Agreement shall remain in full force and effect.</w:t>
      </w:r>
    </w:p>
    <w:p>
      <w:pPr>
        <w:spacing w:after="0" w:line="147" w:lineRule="exact"/>
        <w:rPr>
          <w:rFonts w:ascii="Times New Roman" w:cs="Times New Roman" w:eastAsia="Times New Roman" w:hAnsi="Times New Roman"/>
          <w:sz w:val="20"/>
          <w:szCs w:val="20"/>
          <w:color w:val="auto"/>
        </w:rPr>
      </w:pPr>
    </w:p>
    <w:p>
      <w:pPr>
        <w:ind w:firstLine="1304"/>
        <w:spacing w:after="0" w:line="230" w:lineRule="auto"/>
        <w:tabs>
          <w:tab w:leader="none" w:pos="19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No Third-Party Beneficiaries</w:t>
      </w:r>
      <w:r>
        <w:rPr>
          <w:rFonts w:ascii="Times New Roman" w:cs="Times New Roman" w:eastAsia="Times New Roman" w:hAnsi="Times New Roman"/>
          <w:sz w:val="20"/>
          <w:szCs w:val="20"/>
          <w:color w:val="auto"/>
        </w:rPr>
        <w:t>. This Agreement shall inure to the benefit of and be binding upon the Company and Grantee and their respective heirs, successors, legal representatives and permitted assigns. Nothing in this Agreement, express or implied, is</w:t>
      </w:r>
    </w:p>
    <w:p>
      <w:pPr>
        <w:sectPr>
          <w:pgSz w:w="11900" w:h="16838" w:orient="portrait"/>
          <w:cols w:equalWidth="0" w:num="1">
            <w:col w:w="11240"/>
          </w:cols>
          <w:pgMar w:left="320" w:top="1394" w:right="339" w:bottom="1440" w:gutter="0" w:footer="0" w:header="0"/>
        </w:sectPr>
      </w:pPr>
    </w:p>
    <w:bookmarkStart w:id="109" w:name="page110"/>
    <w:bookmarkEnd w:id="109"/>
    <w:p>
      <w:pPr>
        <w:ind w:right="520"/>
        <w:spacing w:after="0"/>
        <w:rPr>
          <w:sz w:val="20"/>
          <w:szCs w:val="20"/>
          <w:color w:val="auto"/>
        </w:rPr>
      </w:pPr>
      <w:r>
        <w:rPr>
          <w:rFonts w:ascii="Times New Roman" w:cs="Times New Roman" w:eastAsia="Times New Roman" w:hAnsi="Times New Roman"/>
          <w:sz w:val="20"/>
          <w:szCs w:val="20"/>
          <w:color w:val="auto"/>
        </w:rPr>
        <w:t>intended to confer on any Person other than the Company and Grantee, and their respective heirs, successors, legal representatives and permitted assigns, any rights, remedies, obligations or liabilities under or by reason of this Agreement.</w:t>
      </w:r>
    </w:p>
    <w:p>
      <w:pPr>
        <w:spacing w:after="0" w:line="148" w:lineRule="exact"/>
        <w:rPr>
          <w:sz w:val="20"/>
          <w:szCs w:val="20"/>
          <w:color w:val="auto"/>
        </w:rPr>
      </w:pPr>
    </w:p>
    <w:p>
      <w:pPr>
        <w:ind w:right="40" w:firstLine="1304"/>
        <w:spacing w:after="0" w:line="220" w:lineRule="auto"/>
        <w:tabs>
          <w:tab w:leader="none" w:pos="198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 and Grantee Undertaking</w:t>
      </w:r>
      <w:r>
        <w:rPr>
          <w:rFonts w:ascii="Times New Roman" w:cs="Times New Roman" w:eastAsia="Times New Roman" w:hAnsi="Times New Roman"/>
          <w:sz w:val="20"/>
          <w:szCs w:val="20"/>
          <w:color w:val="auto"/>
        </w:rPr>
        <w:t>. The Company reserves the right to impose other requirements on Grantee’s participation in the Plan, on the Award and on any Shares to be issued upon settlement of the Award, to the extent the Company determines it is necessary or advisable for legal or administrative reasons. Grantee agrees to take whatever additional action and execute whatever additional documents the Company may deem necessary or advisable to accomplish the foregoing or to carry out or give effect to any of the obligations or restrictions imposed on either Grantee or the Award pursuant to this Agreement.</w:t>
      </w:r>
    </w:p>
    <w:p>
      <w:pPr>
        <w:spacing w:after="0" w:line="174" w:lineRule="exact"/>
        <w:rPr>
          <w:rFonts w:ascii="Times New Roman" w:cs="Times New Roman" w:eastAsia="Times New Roman" w:hAnsi="Times New Roman"/>
          <w:sz w:val="20"/>
          <w:szCs w:val="20"/>
          <w:color w:val="auto"/>
        </w:rPr>
      </w:pPr>
    </w:p>
    <w:p>
      <w:pPr>
        <w:ind w:firstLine="1304"/>
        <w:spacing w:after="0" w:line="261" w:lineRule="auto"/>
        <w:tabs>
          <w:tab w:leader="none" w:pos="198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References herein to rights and obligations of Grantee shall apply, where appropriate, to Grantee’s legal representative or estate without regard to whether specific reference to such legal representative or estate is contained in a particular provision of this Agreement.</w:t>
      </w:r>
    </w:p>
    <w:p>
      <w:pPr>
        <w:sectPr>
          <w:pgSz w:w="11900" w:h="16838" w:orient="portrait"/>
          <w:cols w:equalWidth="0" w:num="1">
            <w:col w:w="11180"/>
          </w:cols>
          <w:pgMar w:left="320" w:top="1399" w:right="3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9"/>
          <w:szCs w:val="19"/>
          <w:color w:val="auto"/>
        </w:rPr>
        <w:t>IN WITNESS WHEREOF, the Company has granted this Award on the Date of Grant.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VERSANT MEDIA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w:t>
      </w:r>
    </w:p>
    <w:p>
      <w:pPr>
        <w:sectPr>
          <w:pgSz w:w="11900" w:h="16838" w:orient="portrait"/>
          <w:cols w:equalWidth="0" w:num="1">
            <w:col w:w="9479"/>
          </w:cols>
          <w:pgMar w:left="980" w:top="1413" w:right="1440" w:bottom="1440" w:gutter="0" w:footer="0" w:header="0"/>
        </w:sectPr>
      </w:pPr>
    </w:p>
    <w:bookmarkStart w:id="111" w:name="page112"/>
    <w:bookmarkEnd w:id="111"/>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LONG-TERM INCENTIVE AWARDS SUMMARY SCHEDULE</w:t>
      </w:r>
    </w:p>
    <w:p>
      <w:pPr>
        <w:spacing w:after="0" w:line="2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This Long-Term Incentive Awards Summary Schedule (this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provides certain information related to the Performance Stock Units that Grantee was granted by the Company on the Date of Grant pursuant to the Performance Stock Unit Award Agreement to which this Schedule is attached.</w:t>
      </w:r>
    </w:p>
    <w:p>
      <w:pPr>
        <w:spacing w:after="0" w:line="16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Capitalized terms that are not otherwise defined in this Schedule shall have the meanings given to them in the applicable Performance Stock Unit Award Agreement or in the Plan.</w:t>
      </w:r>
    </w:p>
    <w:p>
      <w:pPr>
        <w:spacing w:after="0" w:line="156"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20"/>
          <w:szCs w:val="20"/>
          <w:b w:val="1"/>
          <w:bCs w:val="1"/>
          <w:color w:val="auto"/>
        </w:rPr>
        <w:t>This Schedule is intended to be, and shall at all times be interpreted as, a part of the Performance Stock Unit Award Agreement to which it relates.</w:t>
      </w:r>
    </w:p>
    <w:p>
      <w:pPr>
        <w:sectPr>
          <w:pgSz w:w="11900" w:h="16838" w:orient="portrait"/>
          <w:cols w:equalWidth="0" w:num="1">
            <w:col w:w="11180"/>
          </w:cols>
          <w:pgMar w:left="320" w:top="1409" w:right="399" w:bottom="1440" w:gutter="0" w:footer="0" w:header="0"/>
        </w:sectPr>
      </w:pPr>
    </w:p>
    <w:bookmarkStart w:id="112" w:name="page113"/>
    <w:bookmarkEnd w:id="1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8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Grantee:</w:t>
            </w:r>
          </w:p>
        </w:tc>
        <w:tc>
          <w:tcPr>
            <w:tcW w:w="40" w:type="dxa"/>
            <w:vAlign w:val="bottom"/>
            <w:tcBorders>
              <w:top w:val="single" w:sz="8" w:color="auto"/>
            </w:tcBorders>
          </w:tcPr>
          <w:p>
            <w:pPr>
              <w:spacing w:after="0"/>
              <w:rPr>
                <w:sz w:val="23"/>
                <w:szCs w:val="23"/>
                <w:color w:val="auto"/>
              </w:rPr>
            </w:pPr>
          </w:p>
        </w:tc>
        <w:tc>
          <w:tcPr>
            <w:tcW w:w="8420" w:type="dxa"/>
            <w:vAlign w:val="bottom"/>
            <w:tcBorders>
              <w:top w:val="single" w:sz="8" w:color="auto"/>
              <w:right w:val="single" w:sz="8" w:color="auto"/>
            </w:tcBorders>
            <w:gridSpan w:val="1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Date of Grant:</w:t>
            </w:r>
          </w:p>
        </w:tc>
        <w:tc>
          <w:tcPr>
            <w:tcW w:w="40" w:type="dxa"/>
            <w:vAlign w:val="bottom"/>
          </w:tcPr>
          <w:p>
            <w:pPr>
              <w:spacing w:after="0"/>
              <w:rPr>
                <w:sz w:val="22"/>
                <w:szCs w:val="22"/>
                <w:color w:val="auto"/>
              </w:rPr>
            </w:pPr>
          </w:p>
        </w:tc>
        <w:tc>
          <w:tcPr>
            <w:tcW w:w="8420" w:type="dxa"/>
            <w:vAlign w:val="bottom"/>
            <w:tcBorders>
              <w:right w:val="single" w:sz="8" w:color="auto"/>
            </w:tcBorders>
            <w:gridSpan w:val="1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tc>
        <w:tc>
          <w:tcPr>
            <w:tcW w:w="40" w:type="dxa"/>
            <w:vAlign w:val="bottom"/>
          </w:tcPr>
          <w:p>
            <w:pPr>
              <w:spacing w:after="0"/>
              <w:rPr>
                <w:sz w:val="22"/>
                <w:szCs w:val="22"/>
                <w:color w:val="auto"/>
              </w:rPr>
            </w:pPr>
          </w:p>
        </w:tc>
        <w:tc>
          <w:tcPr>
            <w:tcW w:w="8420" w:type="dxa"/>
            <w:vAlign w:val="bottom"/>
            <w:tcBorders>
              <w:right w:val="single" w:sz="8" w:color="auto"/>
            </w:tcBorders>
            <w:gridSpan w:val="1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Common Stock:</w:t>
            </w:r>
          </w:p>
        </w:tc>
        <w:tc>
          <w:tcPr>
            <w:tcW w:w="40" w:type="dxa"/>
            <w:vAlign w:val="bottom"/>
          </w:tcPr>
          <w:p>
            <w:pPr>
              <w:spacing w:after="0"/>
              <w:rPr>
                <w:sz w:val="22"/>
                <w:szCs w:val="22"/>
                <w:color w:val="auto"/>
              </w:rPr>
            </w:pPr>
          </w:p>
        </w:tc>
        <w:tc>
          <w:tcPr>
            <w:tcW w:w="8420" w:type="dxa"/>
            <w:vAlign w:val="bottom"/>
            <w:tcBorders>
              <w:right w:val="single" w:sz="8" w:color="auto"/>
            </w:tcBorders>
            <w:gridSpan w:val="13"/>
          </w:tcPr>
          <w:p>
            <w:pPr>
              <w:ind w:left="20"/>
              <w:spacing w:after="0"/>
              <w:rPr>
                <w:sz w:val="20"/>
                <w:szCs w:val="20"/>
                <w:color w:val="auto"/>
              </w:rPr>
            </w:pPr>
            <w:r>
              <w:rPr>
                <w:rFonts w:ascii="Times New Roman" w:cs="Times New Roman" w:eastAsia="Times New Roman" w:hAnsi="Times New Roman"/>
                <w:sz w:val="20"/>
                <w:szCs w:val="20"/>
                <w:color w:val="auto"/>
              </w:rPr>
              <w:t>Versant Media Group, Inc. Class A Common Stock</w:t>
            </w: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80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b w:val="1"/>
                <w:bCs w:val="1"/>
                <w:color w:val="auto"/>
              </w:rPr>
              <w:t>Number of Performance Stock</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Units Granted:</w:t>
            </w:r>
          </w:p>
        </w:tc>
        <w:tc>
          <w:tcPr>
            <w:tcW w:w="8460" w:type="dxa"/>
            <w:vAlign w:val="bottom"/>
            <w:tcBorders>
              <w:right w:val="single" w:sz="8" w:color="auto"/>
            </w:tcBorders>
            <w:gridSpan w:val="14"/>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Performance Stock Units (“Target PSUs”)</w:t>
            </w:r>
          </w:p>
        </w:tc>
        <w:tc>
          <w:tcPr>
            <w:tcW w:w="0" w:type="dxa"/>
            <w:vAlign w:val="bottom"/>
          </w:tcPr>
          <w:p>
            <w:pPr>
              <w:spacing w:after="0"/>
              <w:rPr>
                <w:sz w:val="1"/>
                <w:szCs w:val="1"/>
                <w:color w:val="auto"/>
              </w:rPr>
            </w:pPr>
          </w:p>
        </w:tc>
      </w:tr>
      <w:tr>
        <w:trPr>
          <w:trHeight w:val="277"/>
        </w:trPr>
        <w:tc>
          <w:tcPr>
            <w:tcW w:w="280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80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b w:val="1"/>
                <w:bCs w:val="1"/>
                <w:color w:val="auto"/>
              </w:rPr>
              <w:t>Vesting of Performance Stock</w:t>
            </w:r>
          </w:p>
        </w:tc>
        <w:tc>
          <w:tcPr>
            <w:tcW w:w="40" w:type="dxa"/>
            <w:vAlign w:val="bottom"/>
          </w:tcPr>
          <w:p>
            <w:pPr>
              <w:spacing w:after="0"/>
              <w:rPr>
                <w:sz w:val="15"/>
                <w:szCs w:val="15"/>
                <w:color w:val="auto"/>
              </w:rPr>
            </w:pPr>
          </w:p>
        </w:tc>
        <w:tc>
          <w:tcPr>
            <w:tcW w:w="8420" w:type="dxa"/>
            <w:vAlign w:val="bottom"/>
            <w:tcBorders>
              <w:right w:val="single" w:sz="8" w:color="auto"/>
            </w:tcBorders>
            <w:gridSpan w:val="13"/>
          </w:tcPr>
          <w:p>
            <w:pPr>
              <w:ind w:left="20"/>
              <w:spacing w:after="0" w:line="183" w:lineRule="exact"/>
              <w:rPr>
                <w:sz w:val="20"/>
                <w:szCs w:val="20"/>
                <w:color w:val="auto"/>
              </w:rPr>
            </w:pPr>
            <w:r>
              <w:rPr>
                <w:rFonts w:ascii="Times New Roman" w:cs="Times New Roman" w:eastAsia="Times New Roman" w:hAnsi="Times New Roman"/>
                <w:sz w:val="20"/>
                <w:szCs w:val="20"/>
                <w:color w:val="auto"/>
              </w:rPr>
              <w:t>The Performance Stock Units will vest upon the satisfaction of both of the Service Condition and the</w:t>
            </w:r>
          </w:p>
        </w:tc>
        <w:tc>
          <w:tcPr>
            <w:tcW w:w="0" w:type="dxa"/>
            <w:vAlign w:val="bottom"/>
          </w:tcPr>
          <w:p>
            <w:pPr>
              <w:spacing w:after="0"/>
              <w:rPr>
                <w:sz w:val="1"/>
                <w:szCs w:val="1"/>
                <w:color w:val="auto"/>
              </w:rPr>
            </w:pPr>
          </w:p>
        </w:tc>
      </w:tr>
      <w:tr>
        <w:trPr>
          <w:trHeight w:val="262"/>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Units:</w:t>
            </w:r>
          </w:p>
        </w:tc>
        <w:tc>
          <w:tcPr>
            <w:tcW w:w="40" w:type="dxa"/>
            <w:vAlign w:val="bottom"/>
          </w:tcPr>
          <w:p>
            <w:pPr>
              <w:spacing w:after="0"/>
              <w:rPr>
                <w:sz w:val="22"/>
                <w:szCs w:val="22"/>
                <w:color w:val="auto"/>
              </w:rPr>
            </w:pPr>
          </w:p>
        </w:tc>
        <w:tc>
          <w:tcPr>
            <w:tcW w:w="8420" w:type="dxa"/>
            <w:vAlign w:val="bottom"/>
            <w:tcBorders>
              <w:right w:val="single" w:sz="8" w:color="auto"/>
            </w:tcBorders>
            <w:gridSpan w:val="13"/>
          </w:tcPr>
          <w:p>
            <w:pPr>
              <w:ind w:left="20"/>
              <w:spacing w:after="0"/>
              <w:rPr>
                <w:sz w:val="20"/>
                <w:szCs w:val="20"/>
                <w:color w:val="auto"/>
              </w:rPr>
            </w:pPr>
            <w:r>
              <w:rPr>
                <w:rFonts w:ascii="Times New Roman" w:cs="Times New Roman" w:eastAsia="Times New Roman" w:hAnsi="Times New Roman"/>
                <w:sz w:val="20"/>
                <w:szCs w:val="20"/>
                <w:color w:val="auto"/>
              </w:rPr>
              <w:t>Performance Condition applicable to the Performance Stock Units, as set forth in more detail below.</w:t>
            </w: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0"/>
                <w:szCs w:val="20"/>
                <w:b w:val="1"/>
                <w:bCs w:val="1"/>
                <w:color w:val="auto"/>
              </w:rPr>
              <w:t>Performance Condition:</w:t>
            </w:r>
          </w:p>
        </w:tc>
        <w:tc>
          <w:tcPr>
            <w:tcW w:w="40" w:type="dxa"/>
            <w:vAlign w:val="bottom"/>
          </w:tcPr>
          <w:p>
            <w:pPr>
              <w:spacing w:after="0"/>
              <w:rPr>
                <w:sz w:val="18"/>
                <w:szCs w:val="18"/>
                <w:color w:val="auto"/>
              </w:rPr>
            </w:pPr>
          </w:p>
        </w:tc>
        <w:tc>
          <w:tcPr>
            <w:tcW w:w="8420" w:type="dxa"/>
            <w:vAlign w:val="bottom"/>
            <w:tcBorders>
              <w:right w:val="single" w:sz="8" w:color="auto"/>
            </w:tcBorders>
            <w:gridSpan w:val="13"/>
          </w:tcPr>
          <w:p>
            <w:pPr>
              <w:spacing w:after="0" w:line="209" w:lineRule="exact"/>
              <w:rPr>
                <w:sz w:val="20"/>
                <w:szCs w:val="20"/>
                <w:color w:val="auto"/>
              </w:rPr>
            </w:pPr>
            <w:r>
              <w:rPr>
                <w:rFonts w:ascii="Times New Roman" w:cs="Times New Roman" w:eastAsia="Times New Roman" w:hAnsi="Times New Roman"/>
                <w:sz w:val="20"/>
                <w:szCs w:val="20"/>
                <w:color w:val="auto"/>
              </w:rPr>
              <w:t>The satisfaction of the “Performance Condition” will be determined based on the achievement of [●] as</w:t>
            </w:r>
          </w:p>
        </w:tc>
        <w:tc>
          <w:tcPr>
            <w:tcW w:w="0" w:type="dxa"/>
            <w:vAlign w:val="bottom"/>
          </w:tcPr>
          <w:p>
            <w:pPr>
              <w:spacing w:after="0"/>
              <w:rPr>
                <w:sz w:val="1"/>
                <w:szCs w:val="1"/>
                <w:color w:val="auto"/>
              </w:rPr>
            </w:pPr>
          </w:p>
        </w:tc>
      </w:tr>
      <w:tr>
        <w:trPr>
          <w:trHeight w:val="269"/>
        </w:trPr>
        <w:tc>
          <w:tcPr>
            <w:tcW w:w="2800" w:type="dxa"/>
            <w:vAlign w:val="bottom"/>
            <w:tcBorders>
              <w:left w:val="single" w:sz="8" w:color="auto"/>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set forth below.</w:t>
            </w:r>
          </w:p>
        </w:tc>
        <w:tc>
          <w:tcPr>
            <w:tcW w:w="1860" w:type="dxa"/>
            <w:vAlign w:val="bottom"/>
            <w:tcBorders>
              <w:top w:val="single" w:sz="8" w:color="auto"/>
            </w:tcBorders>
            <w:gridSpan w:val="5"/>
          </w:tcPr>
          <w:p>
            <w:pPr>
              <w:spacing w:after="0"/>
              <w:rPr>
                <w:sz w:val="23"/>
                <w:szCs w:val="23"/>
                <w:color w:val="auto"/>
              </w:rPr>
            </w:pPr>
          </w:p>
        </w:tc>
        <w:tc>
          <w:tcPr>
            <w:tcW w:w="4660" w:type="dxa"/>
            <w:vAlign w:val="bottom"/>
            <w:tcBorders>
              <w:right w:val="single" w:sz="8" w:color="auto"/>
            </w:tcBorders>
            <w:gridSpan w:val="5"/>
          </w:tcPr>
          <w:p>
            <w:pPr>
              <w:spacing w:after="0"/>
              <w:rPr>
                <w:sz w:val="23"/>
                <w:szCs w:val="23"/>
                <w:color w:val="auto"/>
              </w:rPr>
            </w:pPr>
          </w:p>
        </w:tc>
        <w:tc>
          <w:tcPr>
            <w:tcW w:w="0" w:type="dxa"/>
            <w:vAlign w:val="bottom"/>
          </w:tcPr>
          <w:p>
            <w:pPr>
              <w:spacing w:after="0"/>
              <w:rPr>
                <w:sz w:val="1"/>
                <w:szCs w:val="1"/>
                <w:color w:val="auto"/>
              </w:rPr>
            </w:pPr>
          </w:p>
        </w:tc>
      </w:tr>
      <w:tr>
        <w:trPr>
          <w:trHeight w:val="399"/>
        </w:trPr>
        <w:tc>
          <w:tcPr>
            <w:tcW w:w="280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42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20"/>
                <w:szCs w:val="20"/>
                <w:color w:val="auto"/>
              </w:rPr>
              <w:t>The number of Performance Stock Units earned and eligible to vest and convert to Shares (the “Earned</w:t>
            </w:r>
          </w:p>
        </w:tc>
        <w:tc>
          <w:tcPr>
            <w:tcW w:w="0" w:type="dxa"/>
            <w:vAlign w:val="bottom"/>
          </w:tcPr>
          <w:p>
            <w:pPr>
              <w:spacing w:after="0"/>
              <w:rPr>
                <w:sz w:val="1"/>
                <w:szCs w:val="1"/>
                <w:color w:val="auto"/>
              </w:rPr>
            </w:pPr>
          </w:p>
        </w:tc>
      </w:tr>
      <w:tr>
        <w:trPr>
          <w:trHeight w:val="20"/>
        </w:trPr>
        <w:tc>
          <w:tcPr>
            <w:tcW w:w="28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20" w:type="dxa"/>
            <w:vAlign w:val="bottom"/>
            <w:tcBorders>
              <w:right w:val="single" w:sz="8" w:color="auto"/>
            </w:tcBorders>
            <w:gridSpan w:val="13"/>
          </w:tcPr>
          <w:p>
            <w:pPr>
              <w:spacing w:after="0" w:line="223" w:lineRule="exact"/>
              <w:rPr>
                <w:sz w:val="20"/>
                <w:szCs w:val="20"/>
                <w:color w:val="auto"/>
              </w:rPr>
            </w:pPr>
            <w:r>
              <w:rPr>
                <w:rFonts w:ascii="Times New Roman" w:cs="Times New Roman" w:eastAsia="Times New Roman" w:hAnsi="Times New Roman"/>
                <w:sz w:val="20"/>
                <w:szCs w:val="20"/>
                <w:color w:val="auto"/>
              </w:rPr>
              <w:t xml:space="preserve">PSUs”) will be equal to (i) the number of Target PSUs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(ii) the Final Performance Goal</w:t>
            </w:r>
          </w:p>
        </w:tc>
        <w:tc>
          <w:tcPr>
            <w:tcW w:w="0" w:type="dxa"/>
            <w:vAlign w:val="bottom"/>
          </w:tcPr>
          <w:p>
            <w:pPr>
              <w:spacing w:after="0"/>
              <w:rPr>
                <w:sz w:val="1"/>
                <w:szCs w:val="1"/>
                <w:color w:val="auto"/>
              </w:rPr>
            </w:pPr>
          </w:p>
        </w:tc>
      </w:tr>
      <w:tr>
        <w:trPr>
          <w:trHeight w:val="20"/>
        </w:trPr>
        <w:tc>
          <w:tcPr>
            <w:tcW w:w="28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80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42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20"/>
                <w:szCs w:val="20"/>
                <w:color w:val="auto"/>
              </w:rPr>
              <w:t>Achievement Percentage (as defined below).</w:t>
            </w:r>
          </w:p>
        </w:tc>
        <w:tc>
          <w:tcPr>
            <w:tcW w:w="0" w:type="dxa"/>
            <w:vAlign w:val="bottom"/>
          </w:tcPr>
          <w:p>
            <w:pPr>
              <w:spacing w:after="0"/>
              <w:rPr>
                <w:sz w:val="1"/>
                <w:szCs w:val="1"/>
                <w:color w:val="auto"/>
              </w:rPr>
            </w:pPr>
          </w:p>
        </w:tc>
      </w:tr>
      <w:tr>
        <w:trPr>
          <w:trHeight w:val="251"/>
        </w:trPr>
        <w:tc>
          <w:tcPr>
            <w:tcW w:w="2800" w:type="dxa"/>
            <w:vAlign w:val="bottom"/>
            <w:tcBorders>
              <w:left w:val="single" w:sz="8" w:color="auto"/>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80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b w:val="1"/>
                <w:bCs w:val="1"/>
                <w:color w:val="auto"/>
              </w:rPr>
              <w:t>Performance Goal</w:t>
            </w:r>
          </w:p>
        </w:tc>
        <w:tc>
          <w:tcPr>
            <w:tcW w:w="40" w:type="dxa"/>
            <w:vAlign w:val="bottom"/>
          </w:tcPr>
          <w:p>
            <w:pPr>
              <w:spacing w:after="0"/>
              <w:rPr>
                <w:sz w:val="15"/>
                <w:szCs w:val="15"/>
                <w:color w:val="auto"/>
              </w:rPr>
            </w:pPr>
          </w:p>
        </w:tc>
        <w:tc>
          <w:tcPr>
            <w:tcW w:w="8420" w:type="dxa"/>
            <w:vAlign w:val="bottom"/>
            <w:tcBorders>
              <w:right w:val="single" w:sz="8" w:color="auto"/>
            </w:tcBorders>
            <w:gridSpan w:val="13"/>
          </w:tcPr>
          <w:p>
            <w:pPr>
              <w:ind w:left="20"/>
              <w:spacing w:after="0" w:line="18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2"/>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Achievement Percentage:</w:t>
            </w: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0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0"/>
                <w:szCs w:val="20"/>
                <w:b w:val="1"/>
                <w:bCs w:val="1"/>
                <w:color w:val="auto"/>
              </w:rPr>
              <w:t>Final Performance</w:t>
            </w:r>
          </w:p>
        </w:tc>
        <w:tc>
          <w:tcPr>
            <w:tcW w:w="40" w:type="dxa"/>
            <w:vAlign w:val="bottom"/>
          </w:tcPr>
          <w:p>
            <w:pPr>
              <w:spacing w:after="0"/>
              <w:rPr>
                <w:sz w:val="17"/>
                <w:szCs w:val="17"/>
                <w:color w:val="auto"/>
              </w:rPr>
            </w:pPr>
          </w:p>
        </w:tc>
        <w:tc>
          <w:tcPr>
            <w:tcW w:w="8420" w:type="dxa"/>
            <w:vAlign w:val="bottom"/>
            <w:tcBorders>
              <w:right w:val="single" w:sz="8" w:color="auto"/>
            </w:tcBorders>
            <w:gridSpan w:val="13"/>
          </w:tcPr>
          <w:p>
            <w:pPr>
              <w:spacing w:after="0" w:line="196" w:lineRule="exact"/>
              <w:rPr>
                <w:sz w:val="20"/>
                <w:szCs w:val="20"/>
                <w:color w:val="auto"/>
              </w:rPr>
            </w:pPr>
            <w:r>
              <w:rPr>
                <w:rFonts w:ascii="Times New Roman" w:cs="Times New Roman" w:eastAsia="Times New Roman" w:hAnsi="Times New Roman"/>
                <w:sz w:val="20"/>
                <w:szCs w:val="20"/>
                <w:color w:val="auto"/>
              </w:rPr>
              <w:t>The “Final Performance Goal Achievement Percentage” means [●].</w:t>
            </w:r>
          </w:p>
        </w:tc>
        <w:tc>
          <w:tcPr>
            <w:tcW w:w="0" w:type="dxa"/>
            <w:vAlign w:val="bottom"/>
          </w:tcPr>
          <w:p>
            <w:pPr>
              <w:spacing w:after="0"/>
              <w:rPr>
                <w:sz w:val="1"/>
                <w:szCs w:val="1"/>
                <w:color w:val="auto"/>
              </w:rPr>
            </w:pPr>
          </w:p>
        </w:tc>
      </w:tr>
      <w:tr>
        <w:trPr>
          <w:trHeight w:val="27"/>
        </w:trPr>
        <w:tc>
          <w:tcPr>
            <w:tcW w:w="2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Achievement Percentage:</w:t>
            </w: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800" w:type="dxa"/>
            <w:vAlign w:val="bottom"/>
            <w:tcBorders>
              <w:left w:val="single" w:sz="8" w:color="auto"/>
              <w:right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8420" w:type="dxa"/>
            <w:vAlign w:val="bottom"/>
            <w:tcBorders>
              <w:right w:val="single" w:sz="8" w:color="auto"/>
            </w:tcBorders>
            <w:gridSpan w:val="13"/>
            <w:vMerge w:val="restart"/>
          </w:tcPr>
          <w:p>
            <w:pPr>
              <w:spacing w:after="0"/>
              <w:rPr>
                <w:sz w:val="20"/>
                <w:szCs w:val="20"/>
                <w:color w:val="auto"/>
              </w:rPr>
            </w:pPr>
            <w:r>
              <w:rPr>
                <w:rFonts w:ascii="Times New Roman" w:cs="Times New Roman" w:eastAsia="Times New Roman" w:hAnsi="Times New Roman"/>
                <w:sz w:val="20"/>
                <w:szCs w:val="20"/>
                <w:color w:val="auto"/>
              </w:rPr>
              <w:t>For the avoidance of doubt, in no event shall the Final Performance Adjustment Percentage exceed</w:t>
            </w:r>
          </w:p>
        </w:tc>
        <w:tc>
          <w:tcPr>
            <w:tcW w:w="0" w:type="dxa"/>
            <w:vAlign w:val="bottom"/>
          </w:tcPr>
          <w:p>
            <w:pPr>
              <w:spacing w:after="0"/>
              <w:rPr>
                <w:sz w:val="1"/>
                <w:szCs w:val="1"/>
                <w:color w:val="auto"/>
              </w:rPr>
            </w:pPr>
          </w:p>
        </w:tc>
      </w:tr>
      <w:tr>
        <w:trPr>
          <w:trHeight w:val="228"/>
        </w:trPr>
        <w:tc>
          <w:tcPr>
            <w:tcW w:w="280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20" w:type="dxa"/>
            <w:vAlign w:val="bottom"/>
            <w:tcBorders>
              <w:right w:val="single" w:sz="8" w:color="auto"/>
            </w:tcBorders>
            <w:gridSpan w:val="1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800" w:type="dxa"/>
            <w:vAlign w:val="bottom"/>
            <w:tcBorders>
              <w:left w:val="single" w:sz="8" w:color="auto"/>
              <w:right w:val="single" w:sz="8" w:color="auto"/>
            </w:tcBorders>
          </w:tcPr>
          <w:p>
            <w:pPr>
              <w:spacing w:after="0"/>
              <w:rPr>
                <w:sz w:val="22"/>
                <w:szCs w:val="22"/>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200%.</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00" w:type="dxa"/>
            <w:vAlign w:val="bottom"/>
            <w:tcBorders>
              <w:left w:val="single" w:sz="8" w:color="auto"/>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800" w:type="dxa"/>
            <w:vAlign w:val="bottom"/>
            <w:tcBorders>
              <w:left w:val="single" w:sz="8" w:color="auto"/>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0"/>
                <w:szCs w:val="20"/>
                <w:b w:val="1"/>
                <w:bCs w:val="1"/>
                <w:color w:val="auto"/>
              </w:rPr>
              <w:t>Performance Period:</w:t>
            </w:r>
          </w:p>
        </w:tc>
        <w:tc>
          <w:tcPr>
            <w:tcW w:w="40" w:type="dxa"/>
            <w:vAlign w:val="bottom"/>
          </w:tcPr>
          <w:p>
            <w:pPr>
              <w:spacing w:after="0"/>
              <w:rPr>
                <w:sz w:val="18"/>
                <w:szCs w:val="18"/>
                <w:color w:val="auto"/>
              </w:rPr>
            </w:pPr>
          </w:p>
        </w:tc>
        <w:tc>
          <w:tcPr>
            <w:tcW w:w="8420" w:type="dxa"/>
            <w:vAlign w:val="bottom"/>
            <w:tcBorders>
              <w:right w:val="single" w:sz="8" w:color="auto"/>
            </w:tcBorders>
            <w:gridSpan w:val="13"/>
          </w:tcPr>
          <w:p>
            <w:pPr>
              <w:spacing w:after="0" w:line="209" w:lineRule="exact"/>
              <w:rPr>
                <w:sz w:val="20"/>
                <w:szCs w:val="20"/>
                <w:color w:val="auto"/>
              </w:rPr>
            </w:pPr>
            <w:r>
              <w:rPr>
                <w:rFonts w:ascii="Times New Roman" w:cs="Times New Roman" w:eastAsia="Times New Roman" w:hAnsi="Times New Roman"/>
                <w:sz w:val="20"/>
                <w:szCs w:val="20"/>
                <w:color w:val="auto"/>
              </w:rPr>
              <w:t>The “Performance Period” means [●]</w:t>
            </w:r>
          </w:p>
        </w:tc>
        <w:tc>
          <w:tcPr>
            <w:tcW w:w="0" w:type="dxa"/>
            <w:vAlign w:val="bottom"/>
          </w:tcPr>
          <w:p>
            <w:pPr>
              <w:spacing w:after="0"/>
              <w:rPr>
                <w:sz w:val="1"/>
                <w:szCs w:val="1"/>
                <w:color w:val="auto"/>
              </w:rPr>
            </w:pPr>
          </w:p>
        </w:tc>
      </w:tr>
      <w:tr>
        <w:trPr>
          <w:trHeight w:val="277"/>
        </w:trPr>
        <w:tc>
          <w:tcPr>
            <w:tcW w:w="280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Service Condition:</w:t>
            </w:r>
          </w:p>
        </w:tc>
        <w:tc>
          <w:tcPr>
            <w:tcW w:w="40" w:type="dxa"/>
            <w:vAlign w:val="bottom"/>
          </w:tcPr>
          <w:p>
            <w:pPr>
              <w:spacing w:after="0"/>
              <w:rPr>
                <w:sz w:val="20"/>
                <w:szCs w:val="20"/>
                <w:color w:val="auto"/>
              </w:rPr>
            </w:pPr>
          </w:p>
        </w:tc>
        <w:tc>
          <w:tcPr>
            <w:tcW w:w="842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20"/>
                <w:szCs w:val="20"/>
                <w:color w:val="auto"/>
                <w:w w:val="99"/>
              </w:rPr>
              <w:t>Except as otherwise provided in Paragraph 4 of Performance Stock Unit Award Agreement, Grantee will</w:t>
            </w:r>
          </w:p>
        </w:tc>
        <w:tc>
          <w:tcPr>
            <w:tcW w:w="0" w:type="dxa"/>
            <w:vAlign w:val="bottom"/>
          </w:tcPr>
          <w:p>
            <w:pPr>
              <w:spacing w:after="0"/>
              <w:rPr>
                <w:sz w:val="1"/>
                <w:szCs w:val="1"/>
                <w:color w:val="auto"/>
              </w:rPr>
            </w:pPr>
          </w:p>
        </w:tc>
      </w:tr>
      <w:tr>
        <w:trPr>
          <w:trHeight w:val="212"/>
        </w:trPr>
        <w:tc>
          <w:tcPr>
            <w:tcW w:w="280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420" w:type="dxa"/>
            <w:vAlign w:val="bottom"/>
            <w:tcBorders>
              <w:right w:val="single" w:sz="8" w:color="auto"/>
            </w:tcBorders>
            <w:gridSpan w:val="13"/>
          </w:tcPr>
          <w:p>
            <w:pPr>
              <w:spacing w:after="0" w:line="212" w:lineRule="exact"/>
              <w:rPr>
                <w:sz w:val="20"/>
                <w:szCs w:val="20"/>
                <w:color w:val="auto"/>
              </w:rPr>
            </w:pPr>
            <w:r>
              <w:rPr>
                <w:rFonts w:ascii="Times New Roman" w:cs="Times New Roman" w:eastAsia="Times New Roman" w:hAnsi="Times New Roman"/>
                <w:sz w:val="20"/>
                <w:szCs w:val="20"/>
                <w:color w:val="auto"/>
              </w:rPr>
              <w:t>satisfy the “Service Condition” applicable to the Earned PSUs on [●] (the “Service Vesting Date”),</w:t>
            </w:r>
          </w:p>
        </w:tc>
        <w:tc>
          <w:tcPr>
            <w:tcW w:w="0" w:type="dxa"/>
            <w:vAlign w:val="bottom"/>
          </w:tcPr>
          <w:p>
            <w:pPr>
              <w:spacing w:after="0"/>
              <w:rPr>
                <w:sz w:val="1"/>
                <w:szCs w:val="1"/>
                <w:color w:val="auto"/>
              </w:rPr>
            </w:pPr>
          </w:p>
        </w:tc>
      </w:tr>
      <w:tr>
        <w:trPr>
          <w:trHeight w:val="20"/>
        </w:trPr>
        <w:tc>
          <w:tcPr>
            <w:tcW w:w="28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80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42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20"/>
                <w:szCs w:val="20"/>
                <w:color w:val="auto"/>
              </w:rPr>
              <w:t>subject to Grantee’s continued employment or service through such date.</w:t>
            </w:r>
          </w:p>
        </w:tc>
        <w:tc>
          <w:tcPr>
            <w:tcW w:w="0" w:type="dxa"/>
            <w:vAlign w:val="bottom"/>
          </w:tcPr>
          <w:p>
            <w:pPr>
              <w:spacing w:after="0"/>
              <w:rPr>
                <w:sz w:val="1"/>
                <w:szCs w:val="1"/>
                <w:color w:val="auto"/>
              </w:rPr>
            </w:pPr>
          </w:p>
        </w:tc>
      </w:tr>
      <w:tr>
        <w:trPr>
          <w:trHeight w:val="250"/>
        </w:trPr>
        <w:tc>
          <w:tcPr>
            <w:tcW w:w="2800" w:type="dxa"/>
            <w:vAlign w:val="bottom"/>
            <w:tcBorders>
              <w:left w:val="single" w:sz="8" w:color="auto"/>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Definitions:</w:t>
            </w:r>
          </w:p>
        </w:tc>
        <w:tc>
          <w:tcPr>
            <w:tcW w:w="40" w:type="dxa"/>
            <w:vAlign w:val="bottom"/>
          </w:tcPr>
          <w:p>
            <w:pPr>
              <w:spacing w:after="0"/>
              <w:rPr>
                <w:sz w:val="22"/>
                <w:szCs w:val="22"/>
                <w:color w:val="auto"/>
              </w:rPr>
            </w:pPr>
          </w:p>
        </w:tc>
        <w:tc>
          <w:tcPr>
            <w:tcW w:w="8420" w:type="dxa"/>
            <w:vAlign w:val="bottom"/>
            <w:tcBorders>
              <w:right w:val="single" w:sz="8" w:color="auto"/>
            </w:tcBorders>
            <w:gridSpan w:val="1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VERSANT MEDIA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UNITS (FOUNDERS AWARD)</w:t>
      </w:r>
    </w:p>
    <w:p>
      <w:pPr>
        <w:spacing w:after="0" w:line="200" w:lineRule="exact"/>
        <w:rPr>
          <w:sz w:val="20"/>
          <w:szCs w:val="20"/>
          <w:color w:val="auto"/>
        </w:rPr>
      </w:pPr>
    </w:p>
    <w:p>
      <w:pPr>
        <w:ind w:right="880" w:firstLine="1296"/>
        <w:spacing w:after="0" w:line="283" w:lineRule="auto"/>
        <w:rPr>
          <w:sz w:val="20"/>
          <w:szCs w:val="20"/>
          <w:color w:val="auto"/>
        </w:rPr>
      </w:pPr>
      <w:r>
        <w:rPr>
          <w:rFonts w:ascii="Times New Roman" w:cs="Times New Roman" w:eastAsia="Times New Roman" w:hAnsi="Times New Roman"/>
          <w:sz w:val="20"/>
          <w:szCs w:val="20"/>
          <w:color w:val="auto"/>
        </w:rPr>
        <w:t>This Restricted Stock Unit Award Agreement dated as of the Date of Grant (together with all schedules hereto,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by and between Versant Media Group,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Grantee.</w:t>
      </w:r>
    </w:p>
    <w:p>
      <w:pPr>
        <w:spacing w:after="0" w:line="133" w:lineRule="exact"/>
        <w:rPr>
          <w:sz w:val="20"/>
          <w:szCs w:val="20"/>
          <w:color w:val="auto"/>
        </w:rPr>
      </w:pPr>
    </w:p>
    <w:p>
      <w:pPr>
        <w:ind w:right="800" w:firstLine="1304"/>
        <w:spacing w:after="0"/>
        <w:tabs>
          <w:tab w:leader="none" w:pos="199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terms have the meanings ascribed to them below. Capitalized terms used in this Agreement but not defined herein have the meanings given to them in the Plan.</w:t>
      </w:r>
    </w:p>
    <w:p>
      <w:pPr>
        <w:spacing w:after="0" w:line="161"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means the award of Restricted Stock Units granted pursuant to this Agreement.</w:t>
      </w:r>
    </w:p>
    <w:p>
      <w:pPr>
        <w:spacing w:after="0" w:line="175" w:lineRule="exact"/>
        <w:rPr>
          <w:rFonts w:ascii="Times New Roman" w:cs="Times New Roman" w:eastAsia="Times New Roman" w:hAnsi="Times New Roman"/>
          <w:sz w:val="20"/>
          <w:szCs w:val="20"/>
          <w:color w:val="auto"/>
        </w:rPr>
      </w:pPr>
    </w:p>
    <w:p>
      <w:pPr>
        <w:ind w:right="120" w:firstLine="1952"/>
        <w:spacing w:after="0" w:line="230" w:lineRule="auto"/>
        <w:tabs>
          <w:tab w:leader="none" w:pos="2629"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has the meaning set forth in Grantee’s employment agreement with the Company, or, if no such agreement exists or such employment agreement has expired or otherwise been terminated prior to such time, then “Cause” has the meaning set forth in the Plan.</w:t>
      </w:r>
    </w:p>
    <w:p>
      <w:pPr>
        <w:spacing w:after="0" w:line="148"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183"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means the grant date identified on the attached Long-Term Incentive Awards Summary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w:t>
      </w:r>
    </w:p>
    <w:p>
      <w:pPr>
        <w:spacing w:after="0" w:line="153" w:lineRule="exact"/>
        <w:rPr>
          <w:rFonts w:ascii="Times New Roman" w:cs="Times New Roman" w:eastAsia="Times New Roman" w:hAnsi="Times New Roman"/>
          <w:sz w:val="20"/>
          <w:szCs w:val="20"/>
          <w:color w:val="auto"/>
        </w:rPr>
      </w:pPr>
    </w:p>
    <w:p>
      <w:pPr>
        <w:ind w:right="260" w:firstLine="1952"/>
        <w:spacing w:after="0"/>
        <w:tabs>
          <w:tab w:leader="none" w:pos="2631"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means the Company, a Participating Company, or any of their respective Affiliates for which Grantee is performing services on the applicable Vesting Date.</w:t>
      </w:r>
    </w:p>
    <w:p>
      <w:pPr>
        <w:spacing w:after="0" w:line="161" w:lineRule="exact"/>
        <w:rPr>
          <w:rFonts w:ascii="Times New Roman" w:cs="Times New Roman" w:eastAsia="Times New Roman" w:hAnsi="Times New Roman"/>
          <w:sz w:val="20"/>
          <w:szCs w:val="20"/>
          <w:color w:val="auto"/>
        </w:rPr>
      </w:pPr>
    </w:p>
    <w:p>
      <w:pPr>
        <w:ind w:right="40" w:firstLine="1952"/>
        <w:spacing w:after="0" w:line="210" w:lineRule="auto"/>
        <w:tabs>
          <w:tab w:leader="none" w:pos="2637"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xml:space="preserve">” has the meaning set forth in Grantee’s employment agreement with the Company, or, if no such agreement exists or such employment agreement has expired or otherwise been terminated prior to such time, then “Good Reason” shall mean the occurrence of any of the following without the prior consent of Grantee (i) an involuntary change in Grantee’s title to one that conveys materially less responsibility or (ii) an involuntary change of Grantee’s primary work location by more than thirty (30) miles;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Grantee has provided the Company with reasonably detailed written notice of such alleged Good Reason event within ninety</w:t>
      </w:r>
    </w:p>
    <w:p>
      <w:pPr>
        <w:spacing w:after="0" w:line="1" w:lineRule="exact"/>
        <w:rPr>
          <w:rFonts w:ascii="Times New Roman" w:cs="Times New Roman" w:eastAsia="Times New Roman" w:hAnsi="Times New Roman"/>
          <w:sz w:val="20"/>
          <w:szCs w:val="20"/>
          <w:color w:val="auto"/>
        </w:rPr>
      </w:pPr>
    </w:p>
    <w:p>
      <w:pPr>
        <w:ind w:right="280" w:firstLine="8"/>
        <w:spacing w:after="0" w:line="228" w:lineRule="auto"/>
        <w:tabs>
          <w:tab w:leader="none" w:pos="37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the occurrence thereof and the Company has failed to remedy such event within the sixty (60)-day period following receipt of such notice.</w:t>
      </w:r>
    </w:p>
    <w:p>
      <w:pPr>
        <w:spacing w:after="0" w:line="148" w:lineRule="exact"/>
        <w:rPr>
          <w:rFonts w:ascii="Times New Roman" w:cs="Times New Roman" w:eastAsia="Times New Roman" w:hAnsi="Times New Roman"/>
          <w:sz w:val="20"/>
          <w:szCs w:val="20"/>
          <w:color w:val="auto"/>
        </w:rPr>
      </w:pPr>
    </w:p>
    <w:p>
      <w:pPr>
        <w:ind w:right="260" w:firstLine="1952"/>
        <w:spacing w:after="0"/>
        <w:tabs>
          <w:tab w:leader="none" w:pos="2629"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means the individual to whom this Award has been granted as identified on the attached Long-Term Incentive Awards Summary Schedule.</w:t>
      </w:r>
    </w:p>
    <w:p>
      <w:pPr>
        <w:spacing w:after="0" w:line="161" w:lineRule="exact"/>
        <w:rPr>
          <w:rFonts w:ascii="Times New Roman" w:cs="Times New Roman" w:eastAsia="Times New Roman" w:hAnsi="Times New Roman"/>
          <w:sz w:val="20"/>
          <w:szCs w:val="20"/>
          <w:color w:val="auto"/>
        </w:rPr>
      </w:pPr>
    </w:p>
    <w:p>
      <w:pPr>
        <w:ind w:right="300" w:firstLine="1952"/>
        <w:spacing w:after="0" w:line="233" w:lineRule="auto"/>
        <w:tabs>
          <w:tab w:leader="none" w:pos="2629"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Long-Term Incentive Awards Summary Schedule</w:t>
      </w:r>
      <w:r>
        <w:rPr>
          <w:rFonts w:ascii="Times New Roman" w:cs="Times New Roman" w:eastAsia="Times New Roman" w:hAnsi="Times New Roman"/>
          <w:sz w:val="20"/>
          <w:szCs w:val="20"/>
          <w:color w:val="auto"/>
        </w:rPr>
        <w:t>” means the schedule attached hereto, which sets forth specific information relating to the grant and vesting of this Award (including the Service Condition applicable to this Award).</w:t>
      </w:r>
    </w:p>
    <w:p>
      <w:pPr>
        <w:spacing w:after="0" w:line="160" w:lineRule="exact"/>
        <w:rPr>
          <w:rFonts w:ascii="Times New Roman" w:cs="Times New Roman" w:eastAsia="Times New Roman" w:hAnsi="Times New Roman"/>
          <w:sz w:val="20"/>
          <w:szCs w:val="20"/>
          <w:color w:val="auto"/>
        </w:rPr>
      </w:pPr>
    </w:p>
    <w:p>
      <w:pPr>
        <w:ind w:right="40" w:firstLine="1952"/>
        <w:spacing w:after="0" w:line="233" w:lineRule="auto"/>
        <w:tabs>
          <w:tab w:leader="none" w:pos="2639"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the Versant Media Group, Inc. Omnibus Equity Incentive Plan (as amended from time to time and including any successor plan thereto), which is incorporated herein by reference.</w:t>
      </w:r>
    </w:p>
    <w:p>
      <w:pPr>
        <w:spacing w:after="0" w:line="160" w:lineRule="exact"/>
        <w:rPr>
          <w:rFonts w:ascii="Times New Roman" w:cs="Times New Roman" w:eastAsia="Times New Roman" w:hAnsi="Times New Roman"/>
          <w:sz w:val="20"/>
          <w:szCs w:val="20"/>
          <w:color w:val="auto"/>
        </w:rPr>
      </w:pPr>
    </w:p>
    <w:p>
      <w:pPr>
        <w:ind w:right="140" w:firstLine="1952"/>
        <w:spacing w:after="0"/>
        <w:tabs>
          <w:tab w:leader="none" w:pos="2639"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means, with respect to each Restricted Stock Unit, the period beginning on the Vesting Commencement Date and ending on the applicable Vesting Date.</w:t>
      </w:r>
    </w:p>
    <w:p>
      <w:pPr>
        <w:spacing w:after="0" w:line="147" w:lineRule="exact"/>
        <w:rPr>
          <w:rFonts w:ascii="Times New Roman" w:cs="Times New Roman" w:eastAsia="Times New Roman" w:hAnsi="Times New Roman"/>
          <w:sz w:val="20"/>
          <w:szCs w:val="20"/>
          <w:color w:val="auto"/>
        </w:rPr>
      </w:pPr>
    </w:p>
    <w:p>
      <w:pPr>
        <w:ind w:right="80" w:firstLine="1952"/>
        <w:spacing w:after="0"/>
        <w:tabs>
          <w:tab w:leader="none" w:pos="2629"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means the Restricted Stock Units subject to Service Conditions granted to Grantee pursuant to this Agreement, as set forth in the Long-Term Incentive Awards Summary Schedule attached hereto.</w:t>
      </w:r>
    </w:p>
    <w:p>
      <w:pPr>
        <w:spacing w:after="0" w:line="161"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16b-3</w:t>
      </w:r>
      <w:r>
        <w:rPr>
          <w:rFonts w:ascii="Times New Roman" w:cs="Times New Roman" w:eastAsia="Times New Roman" w:hAnsi="Times New Roman"/>
          <w:sz w:val="20"/>
          <w:szCs w:val="20"/>
          <w:color w:val="auto"/>
        </w:rPr>
        <w:t>” means Rule 16b-3 promulgated under the 1934 Act, as in effect from time to time.</w:t>
      </w:r>
    </w:p>
    <w:p>
      <w:pPr>
        <w:sectPr>
          <w:pgSz w:w="11900" w:h="16838" w:orient="portrait"/>
          <w:cols w:equalWidth="0" w:num="1">
            <w:col w:w="11240"/>
          </w:cols>
          <w:pgMar w:left="320" w:top="94" w:right="339" w:bottom="1440" w:gutter="0" w:footer="0" w:header="0"/>
        </w:sectPr>
      </w:pPr>
    </w:p>
    <w:bookmarkStart w:id="114" w:name="page115"/>
    <w:bookmarkEnd w:id="114"/>
    <w:p>
      <w:pPr>
        <w:ind w:left="2640" w:hanging="688"/>
        <w:spacing w:after="0"/>
        <w:tabs>
          <w:tab w:leader="none" w:pos="26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Condition</w:t>
      </w:r>
      <w:r>
        <w:rPr>
          <w:rFonts w:ascii="Times New Roman" w:cs="Times New Roman" w:eastAsia="Times New Roman" w:hAnsi="Times New Roman"/>
          <w:sz w:val="20"/>
          <w:szCs w:val="20"/>
          <w:color w:val="auto"/>
        </w:rPr>
        <w:t>” has the meaning set forth on the attached Long-Term Incentive Awards Summary</w:t>
      </w:r>
    </w:p>
    <w:p>
      <w:pPr>
        <w:spacing w:after="0"/>
        <w:rPr>
          <w:sz w:val="20"/>
          <w:szCs w:val="20"/>
          <w:color w:val="auto"/>
        </w:rPr>
      </w:pPr>
      <w:r>
        <w:rPr>
          <w:rFonts w:ascii="Times New Roman" w:cs="Times New Roman" w:eastAsia="Times New Roman" w:hAnsi="Times New Roman"/>
          <w:sz w:val="20"/>
          <w:szCs w:val="20"/>
          <w:color w:val="auto"/>
        </w:rPr>
        <w:t>Schedule.</w:t>
      </w:r>
    </w:p>
    <w:p>
      <w:pPr>
        <w:spacing w:after="0" w:line="148" w:lineRule="exact"/>
        <w:rPr>
          <w:sz w:val="20"/>
          <w:szCs w:val="20"/>
          <w:color w:val="auto"/>
        </w:rPr>
      </w:pPr>
    </w:p>
    <w:p>
      <w:pPr>
        <w:ind w:left="2640" w:hanging="688"/>
        <w:spacing w:after="0"/>
        <w:tabs>
          <w:tab w:leader="none" w:pos="26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Vesting Date</w:t>
      </w:r>
      <w:r>
        <w:rPr>
          <w:rFonts w:ascii="Times New Roman" w:cs="Times New Roman" w:eastAsia="Times New Roman" w:hAnsi="Times New Roman"/>
          <w:sz w:val="20"/>
          <w:szCs w:val="20"/>
          <w:color w:val="auto"/>
        </w:rPr>
        <w:t>” has the meaning set forth on the attached Long-Term Incentive Awards Summary</w:t>
      </w:r>
    </w:p>
    <w:p>
      <w:pPr>
        <w:spacing w:after="0"/>
        <w:rPr>
          <w:sz w:val="20"/>
          <w:szCs w:val="20"/>
          <w:color w:val="auto"/>
        </w:rPr>
      </w:pPr>
      <w:r>
        <w:rPr>
          <w:rFonts w:ascii="Times New Roman" w:cs="Times New Roman" w:eastAsia="Times New Roman" w:hAnsi="Times New Roman"/>
          <w:sz w:val="20"/>
          <w:szCs w:val="20"/>
          <w:color w:val="auto"/>
        </w:rPr>
        <w:t>Schedule.</w:t>
      </w:r>
    </w:p>
    <w:p>
      <w:pPr>
        <w:spacing w:after="0" w:line="167" w:lineRule="exact"/>
        <w:rPr>
          <w:sz w:val="20"/>
          <w:szCs w:val="20"/>
          <w:color w:val="auto"/>
        </w:rPr>
      </w:pPr>
    </w:p>
    <w:p>
      <w:pPr>
        <w:ind w:left="2640" w:hanging="688"/>
        <w:spacing w:after="0"/>
        <w:tabs>
          <w:tab w:leader="none" w:pos="26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mean shares of the Company’s Class A Common Stock, par value $0.01 per share.</w:t>
      </w:r>
    </w:p>
    <w:p>
      <w:pPr>
        <w:spacing w:after="0" w:line="169"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Vesting Commencement Date</w:t>
      </w:r>
      <w:r>
        <w:rPr>
          <w:rFonts w:ascii="Times New Roman" w:cs="Times New Roman" w:eastAsia="Times New Roman" w:hAnsi="Times New Roman"/>
          <w:sz w:val="20"/>
          <w:szCs w:val="20"/>
          <w:color w:val="auto"/>
        </w:rPr>
        <w:t>” has the meaning set forth on the attached Long-Term Incentive Awards</w:t>
      </w:r>
    </w:p>
    <w:p>
      <w:pPr>
        <w:spacing w:after="0"/>
        <w:rPr>
          <w:sz w:val="20"/>
          <w:szCs w:val="20"/>
          <w:color w:val="auto"/>
        </w:rPr>
      </w:pPr>
      <w:r>
        <w:rPr>
          <w:rFonts w:ascii="Times New Roman" w:cs="Times New Roman" w:eastAsia="Times New Roman" w:hAnsi="Times New Roman"/>
          <w:sz w:val="20"/>
          <w:szCs w:val="20"/>
          <w:color w:val="auto"/>
        </w:rPr>
        <w:t>Summary Schedule.</w:t>
      </w:r>
    </w:p>
    <w:p>
      <w:pPr>
        <w:spacing w:after="0" w:line="167" w:lineRule="exact"/>
        <w:rPr>
          <w:sz w:val="20"/>
          <w:szCs w:val="20"/>
          <w:color w:val="auto"/>
        </w:rPr>
      </w:pPr>
    </w:p>
    <w:p>
      <w:pPr>
        <w:jc w:val="both"/>
        <w:ind w:right="200" w:firstLine="1952"/>
        <w:spacing w:after="0" w:line="251" w:lineRule="auto"/>
        <w:tabs>
          <w:tab w:leader="none" w:pos="2629"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Vesting Date</w:t>
      </w:r>
      <w:r>
        <w:rPr>
          <w:rFonts w:ascii="Times New Roman" w:cs="Times New Roman" w:eastAsia="Times New Roman" w:hAnsi="Times New Roman"/>
          <w:sz w:val="19"/>
          <w:szCs w:val="19"/>
          <w:color w:val="auto"/>
        </w:rPr>
        <w:t>” means the date(s) on which the Service Condition applicable to any Restricted Stock Units is satisfied (or deemed satisfied) pursuant to the terms of this Agreement (including the Long-Term Incentive Awards Summary Schedule).</w:t>
      </w:r>
    </w:p>
    <w:p>
      <w:pPr>
        <w:spacing w:after="0" w:line="150" w:lineRule="exact"/>
        <w:rPr>
          <w:rFonts w:ascii="Times New Roman" w:cs="Times New Roman" w:eastAsia="Times New Roman" w:hAnsi="Times New Roman"/>
          <w:sz w:val="19"/>
          <w:szCs w:val="19"/>
          <w:color w:val="auto"/>
        </w:rPr>
      </w:pPr>
    </w:p>
    <w:p>
      <w:pPr>
        <w:ind w:left="2640" w:hanging="688"/>
        <w:spacing w:after="0"/>
        <w:tabs>
          <w:tab w:leader="none" w:pos="26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1934 Act</w:t>
      </w:r>
      <w:r>
        <w:rPr>
          <w:rFonts w:ascii="Times New Roman" w:cs="Times New Roman" w:eastAsia="Times New Roman" w:hAnsi="Times New Roman"/>
          <w:sz w:val="20"/>
          <w:szCs w:val="20"/>
          <w:color w:val="auto"/>
        </w:rPr>
        <w:t>” means the Securities Exchange Act of 1934, as amended.</w:t>
      </w:r>
    </w:p>
    <w:p>
      <w:pPr>
        <w:spacing w:after="0" w:line="188"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Restricted Stock Units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right="20" w:firstLine="1952"/>
        <w:spacing w:after="0" w:line="244" w:lineRule="auto"/>
        <w:tabs>
          <w:tab w:leader="none" w:pos="2631"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hereby grants to Grantee the Restricted Stock Units. Each Restricted Stock Unit represents the right to receive one Share, subject to the terms and conditions set forth in this Agreement (including the Long-Term Incentive Awards Summary Schedule, which is incorporated by reference herein) and in the Plan, including the satisfaction of the applicable Service Condition.</w:t>
      </w:r>
    </w:p>
    <w:p>
      <w:pPr>
        <w:spacing w:after="0" w:line="138" w:lineRule="exact"/>
        <w:rPr>
          <w:rFonts w:ascii="Times New Roman" w:cs="Times New Roman" w:eastAsia="Times New Roman" w:hAnsi="Times New Roman"/>
          <w:sz w:val="19"/>
          <w:szCs w:val="19"/>
          <w:color w:val="auto"/>
        </w:rPr>
      </w:pPr>
    </w:p>
    <w:p>
      <w:pPr>
        <w:ind w:left="2640" w:hanging="688"/>
        <w:spacing w:after="0"/>
        <w:tabs>
          <w:tab w:leader="none" w:pos="264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409A of the Code (together with the regulations and guidance promulgated thereunder,</w:t>
      </w:r>
    </w:p>
    <w:p>
      <w:pPr>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to the extent applicable, the Company reserves the right to replace the Restricted Stock Units, to the extent not yet vested,</w:t>
      </w:r>
    </w:p>
    <w:p>
      <w:pPr>
        <w:ind w:right="160"/>
        <w:spacing w:after="0" w:line="215" w:lineRule="auto"/>
        <w:rPr>
          <w:sz w:val="20"/>
          <w:szCs w:val="20"/>
          <w:color w:val="auto"/>
        </w:rPr>
      </w:pPr>
      <w:r>
        <w:rPr>
          <w:rFonts w:ascii="Times New Roman" w:cs="Times New Roman" w:eastAsia="Times New Roman" w:hAnsi="Times New Roman"/>
          <w:sz w:val="19"/>
          <w:szCs w:val="19"/>
          <w:color w:val="auto"/>
        </w:rPr>
        <w:t>with other compensation of comparable value, terms and conditions if, before the Vesting Date, the Company determines that in connection with Grantee’s transfer to a location different from Grantee’s principal place of business on the Date of Grant, local regulatory requirements</w:t>
      </w:r>
    </w:p>
    <w:p>
      <w:pPr>
        <w:spacing w:after="0"/>
        <w:rPr>
          <w:sz w:val="20"/>
          <w:szCs w:val="20"/>
          <w:color w:val="auto"/>
        </w:rPr>
      </w:pPr>
      <w:r>
        <w:rPr>
          <w:rFonts w:ascii="Times New Roman" w:cs="Times New Roman" w:eastAsia="Times New Roman" w:hAnsi="Times New Roman"/>
          <w:sz w:val="20"/>
          <w:szCs w:val="20"/>
          <w:color w:val="auto"/>
        </w:rPr>
        <w:t>render Grantee’s continued holding of the unvested Restricted Stock Units impracticable.</w:t>
      </w:r>
    </w:p>
    <w:p>
      <w:pPr>
        <w:spacing w:after="0" w:line="153" w:lineRule="exact"/>
        <w:rPr>
          <w:sz w:val="20"/>
          <w:szCs w:val="20"/>
          <w:color w:val="auto"/>
        </w:rPr>
      </w:pPr>
    </w:p>
    <w:p>
      <w:pPr>
        <w:ind w:left="2000" w:hanging="696"/>
        <w:spacing w:after="0"/>
        <w:tabs>
          <w:tab w:leader="none" w:pos="20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952"/>
        <w:spacing w:after="0" w:line="222" w:lineRule="auto"/>
        <w:tabs>
          <w:tab w:leader="none" w:pos="2631"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Units are granted with dividend equivalent rights. If the Company declares a cash dividend on the Shares, an amount equivalent to such dividend will be credited to an unfunded bookkeeping account on the dividend payment date with respect to each Restricted Stock Unit that is outstanding and unvested as of the record date of such dividend (the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Equivalent Amount</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80" w:firstLine="1952"/>
        <w:spacing w:after="0" w:line="217" w:lineRule="auto"/>
        <w:tabs>
          <w:tab w:leader="none" w:pos="2629"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Dividend Equivalent Amount will be credited as cash, without interest, and, unless otherwise determined by the Committee, will not be converted to Shares. The Dividend Equivalent Amount will be payable in cash, but subject to and only upon the applicable Vesting Date(s) of the underlying Restricted Stock Units as determined in accordance with Paragraph 4, and will be cancelled and forfeited if the underlying Restricted Stock Units are cancelled or forfeited (including as a result of failing to satisfy the applicable Service Condition), determined in accordance with Paragraph 5.</w:t>
      </w:r>
    </w:p>
    <w:p>
      <w:pPr>
        <w:spacing w:after="0" w:line="161"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Restricted Stock Units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right="180" w:firstLine="1952"/>
        <w:spacing w:after="0" w:line="217" w:lineRule="auto"/>
        <w:tabs>
          <w:tab w:leader="none" w:pos="2631"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in this Agreement and in the Plan, the Restricted Stock Units shall vest in accordance with the terms and conditions set forth on the attached Long-Term Incentive Awards Summary Schedule;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on the applicable Vesting Date, Grantee is, and has from the Date of Grant continuously been, an employee of a Participating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during the Restricted Period. As of the applicable Vesting Date, Grantee shall be entitled to the delivery of Shares with respect to the applicable Restricted Stock Units.</w:t>
      </w:r>
    </w:p>
    <w:p>
      <w:pPr>
        <w:sectPr>
          <w:pgSz w:w="11900" w:h="16838" w:orient="portrait"/>
          <w:cols w:equalWidth="0" w:num="1">
            <w:col w:w="11240"/>
          </w:cols>
          <w:pgMar w:left="320" w:top="1394" w:right="339" w:bottom="1440" w:gutter="0" w:footer="0" w:header="0"/>
        </w:sectPr>
      </w:pPr>
    </w:p>
    <w:bookmarkStart w:id="115" w:name="page116"/>
    <w:bookmarkEnd w:id="115"/>
    <w:p>
      <w:pPr>
        <w:ind w:right="380" w:firstLine="1952"/>
        <w:spacing w:after="0"/>
        <w:tabs>
          <w:tab w:leader="none" w:pos="2629"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Paragraph 4(a), the Service Condition applicable to the Restricted Stock Units shall be deemed fully satisfied upon Grantee’s Termination of Service due to Grantee’s death or Disability.</w:t>
      </w:r>
    </w:p>
    <w:p>
      <w:pPr>
        <w:spacing w:after="0" w:line="147"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of Restricted Stock Units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right="340" w:firstLine="1952"/>
        <w:spacing w:after="0" w:line="222" w:lineRule="auto"/>
        <w:tabs>
          <w:tab w:leader="none" w:pos="2631"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in this Agreement and in the Plan, in the event of Grantee’s Termination of Service during the Restricted Period, except as otherwise specifically set forth in Paragraph 4, Grantee shall forfeit the Restricted Stock Units effective as of such Termination of Service. Upon a forfeiture of the Restricted Stock Units as provided in this Paragraph 5, the Restricted Stock Units shall be deemed automatically canceled.</w:t>
      </w:r>
    </w:p>
    <w:p>
      <w:pPr>
        <w:spacing w:after="0" w:line="161" w:lineRule="exact"/>
        <w:rPr>
          <w:rFonts w:ascii="Times New Roman" w:cs="Times New Roman" w:eastAsia="Times New Roman" w:hAnsi="Times New Roman"/>
          <w:sz w:val="20"/>
          <w:szCs w:val="20"/>
          <w:color w:val="auto"/>
        </w:rPr>
      </w:pPr>
    </w:p>
    <w:p>
      <w:pPr>
        <w:ind w:right="60" w:firstLine="1952"/>
        <w:spacing w:after="0" w:line="233" w:lineRule="auto"/>
        <w:tabs>
          <w:tab w:leader="none" w:pos="262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Paragraph 5(a) shall not apply to Shares issued in respect of the Restricted Stock Units as to which a Vesting Date has occurred.</w:t>
      </w:r>
    </w:p>
    <w:p>
      <w:pPr>
        <w:spacing w:after="0" w:line="160"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Notwithstanding the foregoing and any other provisions of the Plan to the contrary, in the event</w:t>
      </w:r>
    </w:p>
    <w:p>
      <w:pPr>
        <w:spacing w:after="0" w:line="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a Change in Control:</w:t>
      </w:r>
    </w:p>
    <w:p>
      <w:pPr>
        <w:spacing w:after="0" w:line="153" w:lineRule="exact"/>
        <w:rPr>
          <w:rFonts w:ascii="Times New Roman" w:cs="Times New Roman" w:eastAsia="Times New Roman" w:hAnsi="Times New Roman"/>
          <w:sz w:val="19"/>
          <w:szCs w:val="19"/>
          <w:color w:val="auto"/>
        </w:rPr>
      </w:pPr>
    </w:p>
    <w:p>
      <w:pPr>
        <w:ind w:firstLine="1952"/>
        <w:spacing w:after="0" w:line="218" w:lineRule="auto"/>
        <w:tabs>
          <w:tab w:leader="none" w:pos="2631"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this Award is assumed or substituted in connection with such Change in Control in accordance with Section 14 of the Plan, then in the event Grantee experiences a Termination of Service by the Company (or the acquiring entity or its Affiliates) without Cause or by Grantee for Good Reason, in each case within the three (3)-month period immediately preceding such Change in Control or the twenty-four (24) month period immediately following such Change in Control, then the Restricted Stock Units will fully vest as of the date of such Termination of Service;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Grantee delivers to the Company, and does not revoke, a signed release of claims acceptable to the Company in the period prescribed by the Company; and</w:t>
      </w:r>
    </w:p>
    <w:p>
      <w:pPr>
        <w:spacing w:after="0" w:line="150" w:lineRule="exact"/>
        <w:rPr>
          <w:rFonts w:ascii="Times New Roman" w:cs="Times New Roman" w:eastAsia="Times New Roman" w:hAnsi="Times New Roman"/>
          <w:sz w:val="20"/>
          <w:szCs w:val="20"/>
          <w:color w:val="auto"/>
        </w:rPr>
      </w:pPr>
    </w:p>
    <w:p>
      <w:pPr>
        <w:ind w:right="240" w:firstLine="1952"/>
        <w:spacing w:after="0"/>
        <w:tabs>
          <w:tab w:leader="none" w:pos="262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this Award is not assumed or substituted in connection with such Change in Control in accordance with Section 14 of the Plan, then the Restricted Stock Units will fully vest as of the date of such Change in Control.</w:t>
      </w:r>
    </w:p>
    <w:p>
      <w:pPr>
        <w:spacing w:after="0" w:line="147" w:lineRule="exact"/>
        <w:rPr>
          <w:rFonts w:ascii="Times New Roman" w:cs="Times New Roman" w:eastAsia="Times New Roman" w:hAnsi="Times New Roman"/>
          <w:sz w:val="20"/>
          <w:szCs w:val="20"/>
          <w:color w:val="auto"/>
        </w:rPr>
      </w:pPr>
    </w:p>
    <w:p>
      <w:pPr>
        <w:ind w:firstLine="1304"/>
        <w:spacing w:after="0" w:line="218" w:lineRule="auto"/>
        <w:tabs>
          <w:tab w:leader="none" w:pos="199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Award</w:t>
      </w:r>
      <w:r>
        <w:rPr>
          <w:rFonts w:ascii="Times New Roman" w:cs="Times New Roman" w:eastAsia="Times New Roman" w:hAnsi="Times New Roman"/>
          <w:sz w:val="20"/>
          <w:szCs w:val="20"/>
          <w:color w:val="auto"/>
        </w:rPr>
        <w:t>. Except as otherwise provided by the Committee, unless and until Grantee has become the holder of record of the Shares issuable hereunder, the Award and any Restricted Stock Units hereunder may not be transferred or assigned by Grantee other than by will or the laws of descent and distribution or be exercised during his or her life other than by Grantee or for his benefit by his attorney-in-fact or guardian. Any attempt at assignment, transfer, pledge or disposition of any Restricted Stock Units contrary to the provisions hereof or the levy of any execution, attachment or similar process upon the Restricted Stock Units shall be null and void and without effect.</w:t>
      </w:r>
    </w:p>
    <w:p>
      <w:pPr>
        <w:spacing w:after="0" w:line="150" w:lineRule="exact"/>
        <w:rPr>
          <w:rFonts w:ascii="Times New Roman" w:cs="Times New Roman" w:eastAsia="Times New Roman" w:hAnsi="Times New Roman"/>
          <w:sz w:val="20"/>
          <w:szCs w:val="20"/>
          <w:color w:val="auto"/>
        </w:rPr>
      </w:pPr>
    </w:p>
    <w:p>
      <w:pPr>
        <w:ind w:right="60" w:firstLine="1304"/>
        <w:spacing w:after="0" w:line="244" w:lineRule="auto"/>
        <w:tabs>
          <w:tab w:leader="none" w:pos="1993"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to the Company under this Agreement shall be made in care of the Committee at the Company’s main office in Eaglewood Cliffs, New Jersey. The address for Grantee to which notice, demands and other communications to be given or delivered under or by reason of the provisions hereof shall be Grantee’s address as reflected in the Employer’s personnel records.</w:t>
      </w:r>
    </w:p>
    <w:p>
      <w:pPr>
        <w:spacing w:after="0" w:line="143" w:lineRule="exact"/>
        <w:rPr>
          <w:rFonts w:ascii="Times New Roman" w:cs="Times New Roman" w:eastAsia="Times New Roman" w:hAnsi="Times New Roman"/>
          <w:sz w:val="19"/>
          <w:szCs w:val="19"/>
          <w:color w:val="auto"/>
        </w:rPr>
      </w:pPr>
    </w:p>
    <w:p>
      <w:pPr>
        <w:jc w:val="both"/>
        <w:ind w:right="160" w:firstLine="1304"/>
        <w:spacing w:after="0" w:line="230" w:lineRule="auto"/>
        <w:tabs>
          <w:tab w:leader="none" w:pos="199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The Committee may from time to time impose any conditions on the Shares issuable with respect to Restricted Stock Units as it deems necessary or advisable to ensure that the Plan and this Award satisfy the conditions of Rule 16b-3, and that Shares are issued and resold in compliance with the Securities Act of 1933, as amended.</w:t>
      </w:r>
    </w:p>
    <w:p>
      <w:pPr>
        <w:spacing w:after="0" w:line="148" w:lineRule="exact"/>
        <w:rPr>
          <w:rFonts w:ascii="Times New Roman" w:cs="Times New Roman" w:eastAsia="Times New Roman" w:hAnsi="Times New Roman"/>
          <w:sz w:val="20"/>
          <w:szCs w:val="20"/>
          <w:color w:val="auto"/>
        </w:rPr>
      </w:pPr>
    </w:p>
    <w:p>
      <w:pPr>
        <w:ind w:right="120" w:firstLine="1304"/>
        <w:spacing w:after="0" w:line="215" w:lineRule="auto"/>
        <w:tabs>
          <w:tab w:leader="none" w:pos="198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Shares</w:t>
      </w:r>
      <w:r>
        <w:rPr>
          <w:rFonts w:ascii="Times New Roman" w:cs="Times New Roman" w:eastAsia="Times New Roman" w:hAnsi="Times New Roman"/>
          <w:sz w:val="20"/>
          <w:szCs w:val="20"/>
          <w:color w:val="auto"/>
        </w:rPr>
        <w:t xml:space="preserve">. Within ten (10) business days of a Vesting Date, the Company shall, without payment from Grantee, satisfy its obligations to (a) pay the Dividend Equivalent Amount (if any) and (b) deliver Shares underlying the applicable Restricted Stock Units by arranging for the recording of Grantee’s ownership of Shares issuable under the Plan on a book entry recordkeeping system maintained on behalf of the Company, without any legend or restrictions, except for such restrictions as may be imposed by the Committee, in its sole judgment, under Paragraph 9;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w:t>
      </w:r>
    </w:p>
    <w:p>
      <w:pPr>
        <w:sectPr>
          <w:pgSz w:w="11900" w:h="16838" w:orient="portrait"/>
          <w:cols w:equalWidth="0" w:num="1">
            <w:col w:w="11220"/>
          </w:cols>
          <w:pgMar w:left="320" w:top="1399" w:right="359" w:bottom="1440" w:gutter="0" w:footer="0" w:header="0"/>
        </w:sectPr>
      </w:pPr>
    </w:p>
    <w:bookmarkStart w:id="116" w:name="page117"/>
    <w:bookmarkEnd w:id="116"/>
    <w:p>
      <w:pPr>
        <w:ind w:right="20"/>
        <w:spacing w:after="0"/>
        <w:rPr>
          <w:sz w:val="20"/>
          <w:szCs w:val="20"/>
          <w:color w:val="auto"/>
        </w:rPr>
      </w:pPr>
      <w:r>
        <w:rPr>
          <w:rFonts w:ascii="Times New Roman" w:cs="Times New Roman" w:eastAsia="Times New Roman" w:hAnsi="Times New Roman"/>
          <w:sz w:val="20"/>
          <w:szCs w:val="20"/>
          <w:color w:val="auto"/>
        </w:rPr>
        <w:t>Shares. The Company may condition delivery of certificates for Shares upon the prior receipt from Grantee of any undertakings which it may determine are required to assure that the certificates are being issued in compliance with federal and state securities laws.</w:t>
      </w:r>
    </w:p>
    <w:p>
      <w:pPr>
        <w:spacing w:after="0" w:line="148" w:lineRule="exact"/>
        <w:rPr>
          <w:sz w:val="20"/>
          <w:szCs w:val="20"/>
          <w:color w:val="auto"/>
        </w:rPr>
      </w:pPr>
    </w:p>
    <w:p>
      <w:pPr>
        <w:ind w:firstLine="1304"/>
        <w:spacing w:after="0" w:line="230" w:lineRule="auto"/>
        <w:tabs>
          <w:tab w:leader="none" w:pos="197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Prior to Settlement</w:t>
      </w:r>
      <w:r>
        <w:rPr>
          <w:rFonts w:ascii="Times New Roman" w:cs="Times New Roman" w:eastAsia="Times New Roman" w:hAnsi="Times New Roman"/>
          <w:sz w:val="20"/>
          <w:szCs w:val="20"/>
          <w:color w:val="auto"/>
        </w:rPr>
        <w:t>. Grantee shall not have any right as a shareholder with respect to any Shares subject to his or her Restricted Stock Unit until the Restricted Stock Unit shall have been settled in accordance with the terms of the Plan and this Agreement, and the Company shall have delivered the Shares.</w:t>
      </w:r>
    </w:p>
    <w:p>
      <w:pPr>
        <w:spacing w:after="0" w:line="148" w:lineRule="exact"/>
        <w:rPr>
          <w:rFonts w:ascii="Times New Roman" w:cs="Times New Roman" w:eastAsia="Times New Roman" w:hAnsi="Times New Roman"/>
          <w:sz w:val="20"/>
          <w:szCs w:val="20"/>
          <w:color w:val="auto"/>
        </w:rPr>
      </w:pPr>
    </w:p>
    <w:p>
      <w:pPr>
        <w:ind w:firstLine="1304"/>
        <w:spacing w:after="0" w:line="221" w:lineRule="auto"/>
        <w:tabs>
          <w:tab w:leader="none" w:pos="198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Grantee understands and agrees that this Award and all payments with respect thereto are intended to comply with and/or be exempt from Section 409A. This Agreement shall be interpreted in a manner that is consistent with such intent and the Award shall be operated accordingly. If any provision of the Plan or any term or condition of this Award would otherwise frustrate or conflict with this intent, the provision, term or condition shall be interpreted and deemed amended so as to avoid this conflict. Notwithstanding anything in the Plan or this Agreement to the contrary, if the Committee considers Grantee to be a “specified employee” under Section 409A at the time of Grantee’s “separation from service” (as defined in Section 409A), and any amount hereunder is “deferred compensation” subject to Section 409A, any distribution of such amount that otherwise would be made to Grantee with respect to the Award as a result of such “separation from service” shall not be made until the date that is six months after such “separation from service,” except to the extent that earlier distribution would not result in Grantee incurring interest or additional tax under Section 409A. If the Award includes a “series of installment payments” (within the meaning of Treasury Regulations § 1.409A-2(b)(2)(iii)), Grantee’s right to such series of installment payments shall be treated as a right to a series of separate payments and not as a right to a single payment, and if the Award includes “dividend equivalents” (within the meaning of Treasury Regulations § 1.409A-3(e)), Grantee’s right to such dividend equivalents shall be treated separately from the right to other amounts under the Award. Notwithstanding the foregoing, the tax treatment of the benefits provided under the Plan or this Agreement is not warranted or guaranteed, and in no event shall the Company be liable for all or any portion of any taxes, penalties, interest or other expenses that may be incurred by Grantee on account of non-compliance with Section 409A.</w:t>
      </w:r>
    </w:p>
    <w:p>
      <w:pPr>
        <w:spacing w:after="0" w:line="168" w:lineRule="exact"/>
        <w:rPr>
          <w:rFonts w:ascii="Times New Roman" w:cs="Times New Roman" w:eastAsia="Times New Roman" w:hAnsi="Times New Roman"/>
          <w:sz w:val="19"/>
          <w:szCs w:val="19"/>
          <w:color w:val="auto"/>
        </w:rPr>
      </w:pPr>
    </w:p>
    <w:p>
      <w:pPr>
        <w:ind w:right="20" w:firstLine="1304"/>
        <w:spacing w:after="0" w:line="212" w:lineRule="auto"/>
        <w:tabs>
          <w:tab w:leader="none" w:pos="198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and Withholding</w:t>
      </w:r>
      <w:r>
        <w:rPr>
          <w:rFonts w:ascii="Times New Roman" w:cs="Times New Roman" w:eastAsia="Times New Roman" w:hAnsi="Times New Roman"/>
          <w:sz w:val="20"/>
          <w:szCs w:val="20"/>
          <w:color w:val="auto"/>
        </w:rPr>
        <w:t>. Pursuant to rules and procedures that the Company or the Employer establishes, federal, state, local or foreign income or other tax or other withholding obligations arising upon settlement of the Restricted Stock Units may be satisfied, in the Committee’s full and sole discretion, (a) by having the Company withhold Shares, (b) by having Grantee tender Shares to the Company, (c) by having the Company or the Employer withhold cash if the Company or the Employer provides for a cash withholding option or (d) pursuant to a broker-assisted “sell-to-cover” program adopted by the Company in connection with the Plan, in each case, in an amount sufficient to satisfy the tax or other withholding obligations. Shares withheld or tendered will be valued using the Fair Market Value of the Shares on the date the Restricted Stock Units are settled, as determined by the Committee. Any withholding or tendering of Shares shall comply with the requirements of Financial Accounting Standards Board, Accounting Standards Codification, Topic 718, and any withholding satisfied through a net-settlement of the Restricted Stock Units shall be limited to the maximum statutory withholding requirements. Grantee acknowledges that, if he or she is subject to taxes in more than one jurisdiction, the Company or the Employer may be required to withhold or account for taxes in more than one jurisdiction.</w:t>
      </w:r>
    </w:p>
    <w:p>
      <w:pPr>
        <w:spacing w:after="0" w:line="154" w:lineRule="exact"/>
        <w:rPr>
          <w:rFonts w:ascii="Times New Roman" w:cs="Times New Roman" w:eastAsia="Times New Roman" w:hAnsi="Times New Roman"/>
          <w:sz w:val="20"/>
          <w:szCs w:val="20"/>
          <w:color w:val="auto"/>
        </w:rPr>
      </w:pPr>
    </w:p>
    <w:p>
      <w:pPr>
        <w:ind w:right="720" w:firstLine="1304"/>
        <w:spacing w:after="0"/>
        <w:tabs>
          <w:tab w:leader="none" w:pos="198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Not to Affect Employment</w:t>
      </w:r>
      <w:r>
        <w:rPr>
          <w:rFonts w:ascii="Times New Roman" w:cs="Times New Roman" w:eastAsia="Times New Roman" w:hAnsi="Times New Roman"/>
          <w:sz w:val="20"/>
          <w:szCs w:val="20"/>
          <w:color w:val="auto"/>
        </w:rPr>
        <w:t>. The Award granted hereunder shall not confer upon Grantee any right to continue in the employment of the Company or any Participating Company or Affiliate of the Company.</w:t>
      </w:r>
    </w:p>
    <w:p>
      <w:pPr>
        <w:spacing w:after="0" w:line="161" w:lineRule="exact"/>
        <w:rPr>
          <w:rFonts w:ascii="Times New Roman" w:cs="Times New Roman" w:eastAsia="Times New Roman" w:hAnsi="Times New Roman"/>
          <w:sz w:val="20"/>
          <w:szCs w:val="20"/>
          <w:color w:val="auto"/>
        </w:rPr>
      </w:pPr>
    </w:p>
    <w:p>
      <w:pPr>
        <w:jc w:val="both"/>
        <w:ind w:right="120" w:firstLine="1304"/>
        <w:spacing w:after="0" w:line="222" w:lineRule="auto"/>
        <w:tabs>
          <w:tab w:leader="none" w:pos="198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Neither the Company or the Employer is providing any tax, legal or financial advice, nor is the Company or the Employer making any recommendations regarding Grantee’s participation in the Plan or acquisition or sale of the underlying Shares. Grantee is hereby advised to consult with his or her own personal tax, legal and financial advisors regarding his or her participation in the Plan before taking any action related to the Plan or the Restricted Stock Units.</w:t>
      </w:r>
    </w:p>
    <w:p>
      <w:pPr>
        <w:spacing w:after="0" w:line="148" w:lineRule="exact"/>
        <w:rPr>
          <w:rFonts w:ascii="Times New Roman" w:cs="Times New Roman" w:eastAsia="Times New Roman" w:hAnsi="Times New Roman"/>
          <w:sz w:val="20"/>
          <w:szCs w:val="20"/>
          <w:color w:val="auto"/>
        </w:rPr>
      </w:pPr>
    </w:p>
    <w:p>
      <w:pPr>
        <w:ind w:right="200" w:firstLine="1304"/>
        <w:spacing w:after="0"/>
        <w:tabs>
          <w:tab w:leader="none" w:pos="198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validity, performance, construction and effect of this Award shall be governed by the laws of the Commonwealth of Pennsylvania, without giving effect to principles of conflicts of law.</w:t>
      </w:r>
    </w:p>
    <w:p>
      <w:pPr>
        <w:sectPr>
          <w:pgSz w:w="11900" w:h="16838" w:orient="portrait"/>
          <w:cols w:equalWidth="0" w:num="1">
            <w:col w:w="11220"/>
          </w:cols>
          <w:pgMar w:left="320" w:top="1399" w:right="359" w:bottom="1440" w:gutter="0" w:footer="0" w:header="0"/>
        </w:sectPr>
      </w:pPr>
    </w:p>
    <w:bookmarkStart w:id="117" w:name="page118"/>
    <w:bookmarkEnd w:id="117"/>
    <w:p>
      <w:pPr>
        <w:ind w:left="-660" w:right="620" w:firstLine="1304"/>
        <w:spacing w:after="0"/>
        <w:tabs>
          <w:tab w:leader="none" w:pos="132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Protection</w:t>
      </w:r>
      <w:r>
        <w:rPr>
          <w:rFonts w:ascii="Times New Roman" w:cs="Times New Roman" w:eastAsia="Times New Roman" w:hAnsi="Times New Roman"/>
          <w:sz w:val="20"/>
          <w:szCs w:val="20"/>
          <w:color w:val="auto"/>
        </w:rPr>
        <w:t>. Grantee acknowledges that their personal data will be processed in accordance with the data privacy policy, notice and/or agreement that is applicable to them in connection with their employment.</w:t>
      </w:r>
    </w:p>
    <w:p>
      <w:pPr>
        <w:spacing w:after="0" w:line="147" w:lineRule="exact"/>
        <w:rPr>
          <w:rFonts w:ascii="Times New Roman" w:cs="Times New Roman" w:eastAsia="Times New Roman" w:hAnsi="Times New Roman"/>
          <w:sz w:val="20"/>
          <w:szCs w:val="20"/>
          <w:color w:val="auto"/>
        </w:rPr>
      </w:pPr>
    </w:p>
    <w:p>
      <w:pPr>
        <w:ind w:left="-660" w:right="100" w:firstLine="1304"/>
        <w:spacing w:after="0"/>
        <w:tabs>
          <w:tab w:leader="none" w:pos="132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w:t>
      </w:r>
      <w:r>
        <w:rPr>
          <w:rFonts w:ascii="Times New Roman" w:cs="Times New Roman" w:eastAsia="Times New Roman" w:hAnsi="Times New Roman"/>
          <w:sz w:val="20"/>
          <w:szCs w:val="20"/>
          <w:color w:val="auto"/>
        </w:rPr>
        <w:t xml:space="preserve">. This Award is subject to all applicable provisions set out in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to this Agreement, titled ‘Global Appendix’, including any provisions that are specific to Grantee’s jurisdiction, if any.</w:t>
      </w:r>
    </w:p>
    <w:p>
      <w:pPr>
        <w:spacing w:after="0" w:line="161" w:lineRule="exact"/>
        <w:rPr>
          <w:rFonts w:ascii="Times New Roman" w:cs="Times New Roman" w:eastAsia="Times New Roman" w:hAnsi="Times New Roman"/>
          <w:sz w:val="20"/>
          <w:szCs w:val="20"/>
          <w:color w:val="auto"/>
        </w:rPr>
      </w:pPr>
    </w:p>
    <w:p>
      <w:pPr>
        <w:ind w:left="-660" w:right="420" w:firstLine="1304"/>
        <w:spacing w:after="0" w:line="233" w:lineRule="auto"/>
        <w:tabs>
          <w:tab w:leader="none" w:pos="132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Cancellation/Clawback</w:t>
      </w:r>
      <w:r>
        <w:rPr>
          <w:rFonts w:ascii="Times New Roman" w:cs="Times New Roman" w:eastAsia="Times New Roman" w:hAnsi="Times New Roman"/>
          <w:sz w:val="20"/>
          <w:szCs w:val="20"/>
          <w:color w:val="auto"/>
        </w:rPr>
        <w:t>. Grantee hereby acknowledges and agrees that Grantee and the Award are subject to the terms and conditions of Section 15 (Repayment) of the Plan.</w:t>
      </w:r>
    </w:p>
    <w:p>
      <w:pPr>
        <w:spacing w:after="0" w:line="160" w:lineRule="exact"/>
        <w:rPr>
          <w:rFonts w:ascii="Times New Roman" w:cs="Times New Roman" w:eastAsia="Times New Roman" w:hAnsi="Times New Roman"/>
          <w:sz w:val="20"/>
          <w:szCs w:val="20"/>
          <w:color w:val="auto"/>
        </w:rPr>
      </w:pPr>
    </w:p>
    <w:p>
      <w:pPr>
        <w:ind w:left="-660" w:right="40" w:firstLine="1304"/>
        <w:spacing w:after="0" w:line="222" w:lineRule="auto"/>
        <w:tabs>
          <w:tab w:leader="none" w:pos="132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Plan Control</w:t>
      </w:r>
      <w:r>
        <w:rPr>
          <w:rFonts w:ascii="Times New Roman" w:cs="Times New Roman" w:eastAsia="Times New Roman" w:hAnsi="Times New Roman"/>
          <w:sz w:val="20"/>
          <w:szCs w:val="20"/>
          <w:color w:val="auto"/>
        </w:rPr>
        <w:t>. This Agreement is subject to all the terms, conditions and provisions of the Plan, including the amendment provisions thereof, and to such rules, regulations and interpretations relating to the Plan as may be adopted by the Committee and as may be in effect from time to time. The terms of the Plan are incorporated herein by reference. If and to the extent that this Agreement conflicts with the Plan, the Plan shall control, and this Agreement shall be deemed to be modified accordingly.</w:t>
      </w:r>
    </w:p>
    <w:p>
      <w:pPr>
        <w:spacing w:after="0" w:line="161" w:lineRule="exact"/>
        <w:rPr>
          <w:rFonts w:ascii="Times New Roman" w:cs="Times New Roman" w:eastAsia="Times New Roman" w:hAnsi="Times New Roman"/>
          <w:sz w:val="20"/>
          <w:szCs w:val="20"/>
          <w:color w:val="auto"/>
        </w:rPr>
      </w:pPr>
    </w:p>
    <w:p>
      <w:pPr>
        <w:ind w:left="-660" w:right="100" w:firstLine="1304"/>
        <w:spacing w:after="0" w:line="222" w:lineRule="auto"/>
        <w:tabs>
          <w:tab w:leader="none" w:pos="132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Plan and any other agreements, schedules, exhibits and other 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w:t>
      </w:r>
    </w:p>
    <w:p>
      <w:pPr>
        <w:spacing w:after="0" w:line="148" w:lineRule="exact"/>
        <w:rPr>
          <w:rFonts w:ascii="Times New Roman" w:cs="Times New Roman" w:eastAsia="Times New Roman" w:hAnsi="Times New Roman"/>
          <w:sz w:val="20"/>
          <w:szCs w:val="20"/>
          <w:color w:val="auto"/>
        </w:rPr>
      </w:pPr>
    </w:p>
    <w:p>
      <w:pPr>
        <w:ind w:left="-660" w:right="40" w:firstLine="1304"/>
        <w:spacing w:after="0" w:line="220" w:lineRule="auto"/>
        <w:tabs>
          <w:tab w:leader="none" w:pos="132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is or becomes or is deemed to be invalid, illegal or unenforceable in any jurisdiction, or would disqualify the Plan or this Agreement under any law deemed applicable by the Committee, such provision shall be construed or deemed amended to conform to applicable laws, or if it cannot be so construed or deemed amended without, in the determination of the Committee, materially altering the intent of this Agreement, such provision shall be stricken as to such jurisdiction, and the remainder of this Agreement shall remain in full force and effect.</w:t>
      </w:r>
    </w:p>
    <w:p>
      <w:pPr>
        <w:spacing w:after="0" w:line="147" w:lineRule="exact"/>
        <w:rPr>
          <w:rFonts w:ascii="Times New Roman" w:cs="Times New Roman" w:eastAsia="Times New Roman" w:hAnsi="Times New Roman"/>
          <w:sz w:val="20"/>
          <w:szCs w:val="20"/>
          <w:color w:val="auto"/>
        </w:rPr>
      </w:pPr>
    </w:p>
    <w:p>
      <w:pPr>
        <w:ind w:left="-660" w:firstLine="1304"/>
        <w:spacing w:after="0" w:line="222" w:lineRule="auto"/>
        <w:tabs>
          <w:tab w:leader="none" w:pos="132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No Third-Party Beneficiaries</w:t>
      </w:r>
      <w:r>
        <w:rPr>
          <w:rFonts w:ascii="Times New Roman" w:cs="Times New Roman" w:eastAsia="Times New Roman" w:hAnsi="Times New Roman"/>
          <w:sz w:val="20"/>
          <w:szCs w:val="20"/>
          <w:color w:val="auto"/>
        </w:rPr>
        <w:t>. This Agreement shall inure to the benefit of and be binding upon the Company and Grantee and their respective heirs, successors, legal representatives and permitted assigns. Nothing in this Agreement, express or implied, is intended to confer on any Person other than the Company and Grantee, and their respective heirs, successors, legal representatives and permitted assigns, any rights, remedies, obligations or liabilities under or by reason of this Agreement.</w:t>
      </w:r>
    </w:p>
    <w:p>
      <w:pPr>
        <w:spacing w:after="0" w:line="161" w:lineRule="exact"/>
        <w:rPr>
          <w:rFonts w:ascii="Times New Roman" w:cs="Times New Roman" w:eastAsia="Times New Roman" w:hAnsi="Times New Roman"/>
          <w:sz w:val="20"/>
          <w:szCs w:val="20"/>
          <w:color w:val="auto"/>
        </w:rPr>
      </w:pPr>
    </w:p>
    <w:p>
      <w:pPr>
        <w:ind w:left="-660" w:right="100" w:firstLine="1304"/>
        <w:spacing w:after="0" w:line="220" w:lineRule="auto"/>
        <w:tabs>
          <w:tab w:leader="none" w:pos="132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 and Grantee Undertaking</w:t>
      </w:r>
      <w:r>
        <w:rPr>
          <w:rFonts w:ascii="Times New Roman" w:cs="Times New Roman" w:eastAsia="Times New Roman" w:hAnsi="Times New Roman"/>
          <w:sz w:val="20"/>
          <w:szCs w:val="20"/>
          <w:color w:val="auto"/>
        </w:rPr>
        <w:t>. The Company reserves the right to impose other requirements on Grantee’s participation in the Plan, on the Award and on any Shares to be issued upon settlement of the Award, to the extent the Company determines it is necessary or advisable for legal or administrative reasons. Grantee agrees to take whatever additional action and execute whatever additional documents the Company may deem necessary or advisable to accomplish the foregoing or to carry out or give effect to any of the obligations or restrictions imposed on either Grantee or the Award pursuant to this Agreement.</w:t>
      </w:r>
    </w:p>
    <w:p>
      <w:pPr>
        <w:spacing w:after="0" w:line="147" w:lineRule="exact"/>
        <w:rPr>
          <w:rFonts w:ascii="Times New Roman" w:cs="Times New Roman" w:eastAsia="Times New Roman" w:hAnsi="Times New Roman"/>
          <w:sz w:val="20"/>
          <w:szCs w:val="20"/>
          <w:color w:val="auto"/>
        </w:rPr>
      </w:pPr>
    </w:p>
    <w:p>
      <w:pPr>
        <w:ind w:left="-660" w:right="60" w:firstLine="1304"/>
        <w:spacing w:after="0" w:line="230" w:lineRule="auto"/>
        <w:tabs>
          <w:tab w:leader="none" w:pos="132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References herein to rights and obligations of Grantee shall apply, where appropriate, to Grantee’s legal representative or estate without regard to whether specific reference to such legal representative or estate is contained in a particular provision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Company has granted this Award on the Date of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VERSANT MEDIA GROUP,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w:t>
      </w:r>
    </w:p>
    <w:p>
      <w:pPr>
        <w:sectPr>
          <w:pgSz w:w="11900" w:h="16838" w:orient="portrait"/>
          <w:cols w:equalWidth="0" w:num="1">
            <w:col w:w="10580"/>
          </w:cols>
          <w:pgMar w:left="980" w:top="1399" w:right="339" w:bottom="1440" w:gutter="0" w:footer="0" w:header="0"/>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LONG-TERM INCENTIVE AWARDS SUMMARY SCHEDULE</w:t>
      </w:r>
    </w:p>
    <w:p>
      <w:pPr>
        <w:spacing w:after="0" w:line="2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This Long-Term Incentive Awards Summary Schedule (this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provides certain information related to the Restricted Stock Units you were granted by Versant Media Group, Inc. on the Date of Grant (as described below). </w:t>
      </w:r>
      <w:r>
        <w:rPr>
          <w:rFonts w:ascii="Times New Roman" w:cs="Times New Roman" w:eastAsia="Times New Roman" w:hAnsi="Times New Roman"/>
          <w:sz w:val="20"/>
          <w:szCs w:val="20"/>
          <w:b w:val="1"/>
          <w:bCs w:val="1"/>
          <w:color w:val="auto"/>
        </w:rPr>
        <w:t>This Schedule is intended to be, and shall at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times be interpreted as, a part of your Versant Media Group, Inc. Restricted Stock Unit Award document.</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26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Grantee:</w:t>
            </w:r>
          </w:p>
        </w:tc>
        <w:tc>
          <w:tcPr>
            <w:tcW w:w="20" w:type="dxa"/>
            <w:vAlign w:val="bottom"/>
            <w:tcBorders>
              <w:top w:val="single" w:sz="8" w:color="auto"/>
            </w:tcBorders>
          </w:tcPr>
          <w:p>
            <w:pPr>
              <w:spacing w:after="0"/>
              <w:rPr>
                <w:sz w:val="23"/>
                <w:szCs w:val="23"/>
                <w:color w:val="auto"/>
              </w:rPr>
            </w:pPr>
          </w:p>
        </w:tc>
        <w:tc>
          <w:tcPr>
            <w:tcW w:w="8580" w:type="dxa"/>
            <w:vAlign w:val="bottom"/>
            <w:tcBorders>
              <w:top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Date of Grant:</w:t>
            </w:r>
          </w:p>
        </w:tc>
        <w:tc>
          <w:tcPr>
            <w:tcW w:w="20" w:type="dxa"/>
            <w:vAlign w:val="bottom"/>
          </w:tcPr>
          <w:p>
            <w:pPr>
              <w:spacing w:after="0"/>
              <w:rPr>
                <w:sz w:val="21"/>
                <w:szCs w:val="21"/>
                <w:color w:val="auto"/>
              </w:rPr>
            </w:pPr>
          </w:p>
        </w:tc>
        <w:tc>
          <w:tcPr>
            <w:tcW w:w="85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rPr>
              <w:t>January 9, 2026</w:t>
            </w:r>
          </w:p>
        </w:tc>
        <w:tc>
          <w:tcPr>
            <w:tcW w:w="0" w:type="dxa"/>
            <w:vAlign w:val="bottom"/>
          </w:tcPr>
          <w:p>
            <w:pPr>
              <w:spacing w:after="0"/>
              <w:rPr>
                <w:sz w:val="1"/>
                <w:szCs w:val="1"/>
                <w:color w:val="auto"/>
              </w:rPr>
            </w:pPr>
          </w:p>
        </w:tc>
      </w:tr>
      <w:tr>
        <w:trPr>
          <w:trHeight w:val="214"/>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Vesting Commencement Date:</w:t>
            </w:r>
          </w:p>
        </w:tc>
        <w:tc>
          <w:tcPr>
            <w:tcW w:w="20" w:type="dxa"/>
            <w:vAlign w:val="bottom"/>
          </w:tcPr>
          <w:p>
            <w:pPr>
              <w:spacing w:after="0"/>
              <w:rPr>
                <w:sz w:val="21"/>
                <w:szCs w:val="21"/>
                <w:color w:val="auto"/>
              </w:rPr>
            </w:pPr>
          </w:p>
        </w:tc>
        <w:tc>
          <w:tcPr>
            <w:tcW w:w="85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rPr>
              <w:t>January 9, 2026</w:t>
            </w:r>
          </w:p>
        </w:tc>
        <w:tc>
          <w:tcPr>
            <w:tcW w:w="0" w:type="dxa"/>
            <w:vAlign w:val="bottom"/>
          </w:tcPr>
          <w:p>
            <w:pPr>
              <w:spacing w:after="0"/>
              <w:rPr>
                <w:sz w:val="1"/>
                <w:szCs w:val="1"/>
                <w:color w:val="auto"/>
              </w:rPr>
            </w:pPr>
          </w:p>
        </w:tc>
      </w:tr>
      <w:tr>
        <w:trPr>
          <w:trHeight w:val="214"/>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Common Stock:</w:t>
            </w:r>
          </w:p>
        </w:tc>
        <w:tc>
          <w:tcPr>
            <w:tcW w:w="20" w:type="dxa"/>
            <w:vAlign w:val="bottom"/>
          </w:tcPr>
          <w:p>
            <w:pPr>
              <w:spacing w:after="0"/>
              <w:rPr>
                <w:sz w:val="21"/>
                <w:szCs w:val="21"/>
                <w:color w:val="auto"/>
              </w:rPr>
            </w:pPr>
          </w:p>
        </w:tc>
        <w:tc>
          <w:tcPr>
            <w:tcW w:w="85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rPr>
              <w:t>Versant Media Group, Inc. Class A Common Stock</w:t>
            </w:r>
          </w:p>
        </w:tc>
        <w:tc>
          <w:tcPr>
            <w:tcW w:w="0" w:type="dxa"/>
            <w:vAlign w:val="bottom"/>
          </w:tcPr>
          <w:p>
            <w:pPr>
              <w:spacing w:after="0"/>
              <w:rPr>
                <w:sz w:val="1"/>
                <w:szCs w:val="1"/>
                <w:color w:val="auto"/>
              </w:rPr>
            </w:pPr>
          </w:p>
        </w:tc>
      </w:tr>
      <w:tr>
        <w:trPr>
          <w:trHeight w:val="214"/>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66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Number of Restricted Stock</w:t>
            </w:r>
          </w:p>
        </w:tc>
        <w:tc>
          <w:tcPr>
            <w:tcW w:w="20" w:type="dxa"/>
            <w:vAlign w:val="bottom"/>
          </w:tcPr>
          <w:p>
            <w:pPr>
              <w:spacing w:after="0"/>
              <w:rPr>
                <w:sz w:val="16"/>
                <w:szCs w:val="16"/>
                <w:color w:val="auto"/>
              </w:rPr>
            </w:pPr>
          </w:p>
        </w:tc>
        <w:tc>
          <w:tcPr>
            <w:tcW w:w="85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0"/>
        </w:trPr>
        <w:tc>
          <w:tcPr>
            <w:tcW w:w="26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Units Granted:</w:t>
            </w:r>
          </w:p>
        </w:tc>
        <w:tc>
          <w:tcPr>
            <w:tcW w:w="20" w:type="dxa"/>
            <w:vAlign w:val="bottom"/>
          </w:tcPr>
          <w:p>
            <w:pPr>
              <w:spacing w:after="0"/>
              <w:rPr>
                <w:sz w:val="13"/>
                <w:szCs w:val="13"/>
                <w:color w:val="auto"/>
              </w:rPr>
            </w:pPr>
          </w:p>
        </w:tc>
        <w:tc>
          <w:tcPr>
            <w:tcW w:w="8580" w:type="dxa"/>
            <w:vAlign w:val="bottom"/>
            <w:tcBorders>
              <w:right w:val="single" w:sz="8" w:color="auto"/>
            </w:tcBorders>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0"/>
                <w:szCs w:val="20"/>
                <w:color w:val="auto"/>
              </w:rPr>
              <w:t>Service Vesting Date of</w:t>
            </w:r>
          </w:p>
        </w:tc>
        <w:tc>
          <w:tcPr>
            <w:tcW w:w="20" w:type="dxa"/>
            <w:vAlign w:val="bottom"/>
          </w:tcPr>
          <w:p>
            <w:pPr>
              <w:spacing w:after="0"/>
              <w:rPr>
                <w:sz w:val="18"/>
                <w:szCs w:val="18"/>
                <w:color w:val="auto"/>
              </w:rPr>
            </w:pPr>
          </w:p>
        </w:tc>
        <w:tc>
          <w:tcPr>
            <w:tcW w:w="752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w w:val="98"/>
              </w:rPr>
              <w:t>The Restricted Stock Units shall vest in full on the third anniversary of the Date of Grant (the “</w:t>
            </w:r>
          </w:p>
        </w:tc>
        <w:tc>
          <w:tcPr>
            <w:tcW w:w="6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0"/>
                <w:szCs w:val="20"/>
                <w:color w:val="auto"/>
                <w:w w:val="96"/>
              </w:rPr>
              <w:t>Service</w:t>
            </w: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Restricted Stock Units:</w:t>
            </w:r>
          </w:p>
        </w:tc>
        <w:tc>
          <w:tcPr>
            <w:tcW w:w="20" w:type="dxa"/>
            <w:vAlign w:val="bottom"/>
          </w:tcPr>
          <w:p>
            <w:pPr>
              <w:spacing w:after="0"/>
              <w:rPr>
                <w:sz w:val="19"/>
                <w:szCs w:val="19"/>
                <w:color w:val="auto"/>
              </w:rPr>
            </w:pPr>
          </w:p>
        </w:tc>
        <w:tc>
          <w:tcPr>
            <w:tcW w:w="8580" w:type="dxa"/>
            <w:vAlign w:val="bottom"/>
            <w:tcBorders>
              <w:right w:val="single" w:sz="8" w:color="auto"/>
            </w:tcBorders>
            <w:gridSpan w:val="6"/>
          </w:tcPr>
          <w:p>
            <w:pPr>
              <w:spacing w:after="0" w:line="223" w:lineRule="exact"/>
              <w:rPr>
                <w:sz w:val="20"/>
                <w:szCs w:val="20"/>
                <w:color w:val="auto"/>
              </w:rPr>
            </w:pPr>
            <w:r>
              <w:rPr>
                <w:rFonts w:ascii="Times New Roman" w:cs="Times New Roman" w:eastAsia="Times New Roman" w:hAnsi="Times New Roman"/>
                <w:sz w:val="20"/>
                <w:szCs w:val="20"/>
                <w:color w:val="auto"/>
              </w:rPr>
              <w:t>Vesting Date”), subject to Grantee’s satisfaction of the Service Condition.</w:t>
            </w:r>
          </w:p>
        </w:tc>
        <w:tc>
          <w:tcPr>
            <w:tcW w:w="0" w:type="dxa"/>
            <w:vAlign w:val="bottom"/>
          </w:tcPr>
          <w:p>
            <w:pPr>
              <w:spacing w:after="0"/>
              <w:rPr>
                <w:sz w:val="1"/>
                <w:szCs w:val="1"/>
                <w:color w:val="auto"/>
              </w:rPr>
            </w:pPr>
          </w:p>
        </w:tc>
      </w:tr>
      <w:tr>
        <w:trPr>
          <w:trHeight w:val="263"/>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5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66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5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rPr>
              <w:t>Except as otherwise provided in Paragraph 4 of the Restricted Stock Unit Award Agreement, Grantee will</w:t>
            </w:r>
          </w:p>
        </w:tc>
        <w:tc>
          <w:tcPr>
            <w:tcW w:w="0" w:type="dxa"/>
            <w:vAlign w:val="bottom"/>
          </w:tcPr>
          <w:p>
            <w:pPr>
              <w:spacing w:after="0"/>
              <w:rPr>
                <w:sz w:val="1"/>
                <w:szCs w:val="1"/>
                <w:color w:val="auto"/>
              </w:rPr>
            </w:pPr>
          </w:p>
        </w:tc>
      </w:tr>
      <w:tr>
        <w:trPr>
          <w:trHeight w:val="212"/>
        </w:trPr>
        <w:tc>
          <w:tcPr>
            <w:tcW w:w="2660" w:type="dxa"/>
            <w:vAlign w:val="bottom"/>
            <w:tcBorders>
              <w:left w:val="single" w:sz="8" w:color="auto"/>
              <w:right w:val="single" w:sz="8" w:color="auto"/>
            </w:tcBorders>
          </w:tcPr>
          <w:p>
            <w:pPr>
              <w:ind w:left="80"/>
              <w:spacing w:after="0" w:line="212" w:lineRule="exact"/>
              <w:rPr>
                <w:sz w:val="20"/>
                <w:szCs w:val="20"/>
                <w:color w:val="auto"/>
              </w:rPr>
            </w:pPr>
            <w:r>
              <w:rPr>
                <w:rFonts w:ascii="Times New Roman" w:cs="Times New Roman" w:eastAsia="Times New Roman" w:hAnsi="Times New Roman"/>
                <w:sz w:val="20"/>
                <w:szCs w:val="20"/>
                <w:color w:val="auto"/>
              </w:rPr>
              <w:t>Service Condition:</w:t>
            </w:r>
          </w:p>
        </w:tc>
        <w:tc>
          <w:tcPr>
            <w:tcW w:w="20" w:type="dxa"/>
            <w:vAlign w:val="bottom"/>
          </w:tcPr>
          <w:p>
            <w:pPr>
              <w:spacing w:after="0"/>
              <w:rPr>
                <w:sz w:val="18"/>
                <w:szCs w:val="18"/>
                <w:color w:val="auto"/>
              </w:rPr>
            </w:pPr>
          </w:p>
        </w:tc>
        <w:tc>
          <w:tcPr>
            <w:tcW w:w="8580" w:type="dxa"/>
            <w:vAlign w:val="bottom"/>
            <w:tcBorders>
              <w:right w:val="single" w:sz="8" w:color="auto"/>
            </w:tcBorders>
            <w:gridSpan w:val="6"/>
          </w:tcPr>
          <w:p>
            <w:pPr>
              <w:spacing w:after="0" w:line="212" w:lineRule="exact"/>
              <w:rPr>
                <w:sz w:val="20"/>
                <w:szCs w:val="20"/>
                <w:color w:val="auto"/>
              </w:rPr>
            </w:pPr>
            <w:r>
              <w:rPr>
                <w:rFonts w:ascii="Times New Roman" w:cs="Times New Roman" w:eastAsia="Times New Roman" w:hAnsi="Times New Roman"/>
                <w:sz w:val="20"/>
                <w:szCs w:val="20"/>
                <w:color w:val="auto"/>
              </w:rPr>
              <w:t>satisfy the “Service Condition” applicable to the Restricted Stock Units on the Service Vesting Date as set</w:t>
            </w:r>
          </w:p>
        </w:tc>
        <w:tc>
          <w:tcPr>
            <w:tcW w:w="0" w:type="dxa"/>
            <w:vAlign w:val="bottom"/>
          </w:tcPr>
          <w:p>
            <w:pPr>
              <w:spacing w:after="0"/>
              <w:rPr>
                <w:sz w:val="1"/>
                <w:szCs w:val="1"/>
                <w:color w:val="auto"/>
              </w:rPr>
            </w:pPr>
          </w:p>
        </w:tc>
      </w:tr>
      <w:tr>
        <w:trPr>
          <w:trHeight w:val="20"/>
        </w:trPr>
        <w:tc>
          <w:tcPr>
            <w:tcW w:w="266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620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5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rPr>
              <w:t>forth above, subject to Grantee’s continued employment through the Service Vesting Date.</w:t>
            </w:r>
          </w:p>
        </w:tc>
        <w:tc>
          <w:tcPr>
            <w:tcW w:w="0" w:type="dxa"/>
            <w:vAlign w:val="bottom"/>
          </w:tcPr>
          <w:p>
            <w:pPr>
              <w:spacing w:after="0"/>
              <w:rPr>
                <w:sz w:val="1"/>
                <w:szCs w:val="1"/>
                <w:color w:val="auto"/>
              </w:rPr>
            </w:pPr>
          </w:p>
        </w:tc>
      </w:tr>
      <w:tr>
        <w:trPr>
          <w:trHeight w:val="237"/>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09" w:right="3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VERSANT MEDIA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UNITS</w:t>
      </w:r>
    </w:p>
    <w:p>
      <w:pPr>
        <w:spacing w:after="0" w:line="200"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This Performance Stock Unit Award Agreement dated as of the Date of Grant (together with all schedules hereto,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by and between Versant Media Group,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Grantee.</w:t>
      </w:r>
    </w:p>
    <w:p>
      <w:pPr>
        <w:spacing w:after="0" w:line="133" w:lineRule="exact"/>
        <w:rPr>
          <w:sz w:val="20"/>
          <w:szCs w:val="20"/>
          <w:color w:val="auto"/>
        </w:rPr>
      </w:pPr>
    </w:p>
    <w:p>
      <w:pPr>
        <w:ind w:right="800" w:firstLine="1304"/>
        <w:spacing w:after="0"/>
        <w:tabs>
          <w:tab w:leader="none" w:pos="1993"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terms have the meanings ascribed to them below. Capitalized terms used in this Agreement but not defined herein have the meanings given to them in the Plan.</w:t>
      </w:r>
    </w:p>
    <w:p>
      <w:pPr>
        <w:spacing w:after="0" w:line="161"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means the award of Performance Stock Units granted pursuant to this Agreement.</w:t>
      </w:r>
    </w:p>
    <w:p>
      <w:pPr>
        <w:spacing w:after="0" w:line="175" w:lineRule="exact"/>
        <w:rPr>
          <w:rFonts w:ascii="Times New Roman" w:cs="Times New Roman" w:eastAsia="Times New Roman" w:hAnsi="Times New Roman"/>
          <w:sz w:val="20"/>
          <w:szCs w:val="20"/>
          <w:color w:val="auto"/>
        </w:rPr>
      </w:pPr>
    </w:p>
    <w:p>
      <w:pPr>
        <w:ind w:right="120" w:firstLine="1952"/>
        <w:spacing w:after="0" w:line="230" w:lineRule="auto"/>
        <w:tabs>
          <w:tab w:leader="none" w:pos="2629"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has the meaning set forth in Grantee’s employment agreement with the Company, or, if no such agreement exists or such employment agreement has expired or otherwise been terminated prior to such time, then “Cause” has the meaning set forth in the Plan.</w:t>
      </w:r>
    </w:p>
    <w:p>
      <w:pPr>
        <w:spacing w:after="0" w:line="148"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183"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means the grant date identified on the attached Long-Term Incentive Awards Summary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w:t>
      </w:r>
    </w:p>
    <w:p>
      <w:pPr>
        <w:spacing w:after="0" w:line="153"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Earned PSUs</w:t>
      </w:r>
      <w:r>
        <w:rPr>
          <w:rFonts w:ascii="Times New Roman" w:cs="Times New Roman" w:eastAsia="Times New Roman" w:hAnsi="Times New Roman"/>
          <w:sz w:val="19"/>
          <w:szCs w:val="19"/>
          <w:color w:val="auto"/>
        </w:rPr>
        <w:t>” has the meaning set forth in the attached Long-Term Incentive Awards Summary Schedule.</w:t>
      </w:r>
    </w:p>
    <w:p>
      <w:pPr>
        <w:spacing w:after="0" w:line="200" w:lineRule="exact"/>
        <w:rPr>
          <w:rFonts w:ascii="Times New Roman" w:cs="Times New Roman" w:eastAsia="Times New Roman" w:hAnsi="Times New Roman"/>
          <w:sz w:val="19"/>
          <w:szCs w:val="19"/>
          <w:color w:val="auto"/>
        </w:rPr>
      </w:pPr>
    </w:p>
    <w:p>
      <w:pPr>
        <w:ind w:right="260" w:firstLine="1952"/>
        <w:spacing w:after="0"/>
        <w:tabs>
          <w:tab w:leader="none" w:pos="2637"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means the Company, a Participating Company, or any of their respective Affiliates for which Grantee is performing services on the applicable Vesting Date.</w:t>
      </w:r>
    </w:p>
    <w:p>
      <w:pPr>
        <w:spacing w:after="0" w:line="147" w:lineRule="exact"/>
        <w:rPr>
          <w:rFonts w:ascii="Times New Roman" w:cs="Times New Roman" w:eastAsia="Times New Roman" w:hAnsi="Times New Roman"/>
          <w:sz w:val="20"/>
          <w:szCs w:val="20"/>
          <w:color w:val="auto"/>
        </w:rPr>
      </w:pPr>
    </w:p>
    <w:p>
      <w:pPr>
        <w:ind w:right="40" w:firstLine="1952"/>
        <w:spacing w:after="0" w:line="213" w:lineRule="auto"/>
        <w:tabs>
          <w:tab w:leader="none" w:pos="2629"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xml:space="preserve">” has the meaning set forth in Grantee’s employment agreement with the Company, or, if no such agreement exists or such employment agreement has expired or otherwise been terminated prior to such time, then “Good Reason” shall mean the occurrence of any of the following without the prior consent of Grantee (i) an involuntary change in Grantee’s title to one that conveys materially less responsibility or (ii) an involuntary change of Grantee’s primary work location by more than thirty (30) miles;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Grantee has provided the Company with reasonably detailed written notice of such alleged Good Reason event within ninety</w:t>
      </w:r>
    </w:p>
    <w:p>
      <w:pPr>
        <w:ind w:right="280" w:firstLine="8"/>
        <w:spacing w:after="0" w:line="221" w:lineRule="auto"/>
        <w:tabs>
          <w:tab w:leader="none" w:pos="37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the occurrence thereof and the Company has failed to remedy such event within the sixty (60)-day period following receipt of such notice.</w:t>
      </w:r>
    </w:p>
    <w:p>
      <w:pPr>
        <w:spacing w:after="0" w:line="161" w:lineRule="exact"/>
        <w:rPr>
          <w:rFonts w:ascii="Times New Roman" w:cs="Times New Roman" w:eastAsia="Times New Roman" w:hAnsi="Times New Roman"/>
          <w:sz w:val="20"/>
          <w:szCs w:val="20"/>
          <w:color w:val="auto"/>
        </w:rPr>
      </w:pPr>
    </w:p>
    <w:p>
      <w:pPr>
        <w:ind w:right="260" w:firstLine="1952"/>
        <w:spacing w:after="0"/>
        <w:tabs>
          <w:tab w:leader="none" w:pos="2629"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means the individual to whom this Award has been granted as identified on the attached Long-Term Incentive Awards Summary Schedule.</w:t>
      </w:r>
    </w:p>
    <w:p>
      <w:pPr>
        <w:spacing w:after="0" w:line="147" w:lineRule="exact"/>
        <w:rPr>
          <w:rFonts w:ascii="Times New Roman" w:cs="Times New Roman" w:eastAsia="Times New Roman" w:hAnsi="Times New Roman"/>
          <w:sz w:val="20"/>
          <w:szCs w:val="20"/>
          <w:color w:val="auto"/>
        </w:rPr>
      </w:pPr>
    </w:p>
    <w:p>
      <w:pPr>
        <w:ind w:right="20" w:firstLine="1952"/>
        <w:spacing w:after="0" w:line="226" w:lineRule="auto"/>
        <w:tabs>
          <w:tab w:leader="none" w:pos="2639"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Long-Term Incentive Awards Summary Schedule</w:t>
      </w:r>
      <w:r>
        <w:rPr>
          <w:rFonts w:ascii="Times New Roman" w:cs="Times New Roman" w:eastAsia="Times New Roman" w:hAnsi="Times New Roman"/>
          <w:sz w:val="20"/>
          <w:szCs w:val="20"/>
          <w:color w:val="auto"/>
        </w:rPr>
        <w:t>” means the schedule attached hereto, which sets forth specific information relating to the grant and vesting of this Award (including the Service Condition and Performance Condition applicable to this Award).</w:t>
      </w:r>
    </w:p>
    <w:p>
      <w:pPr>
        <w:spacing w:after="0" w:line="160" w:lineRule="exact"/>
        <w:rPr>
          <w:rFonts w:ascii="Times New Roman" w:cs="Times New Roman" w:eastAsia="Times New Roman" w:hAnsi="Times New Roman"/>
          <w:sz w:val="20"/>
          <w:szCs w:val="20"/>
          <w:color w:val="auto"/>
        </w:rPr>
      </w:pPr>
    </w:p>
    <w:p>
      <w:pPr>
        <w:ind w:right="40" w:firstLine="1952"/>
        <w:spacing w:after="0"/>
        <w:tabs>
          <w:tab w:leader="none" w:pos="2639"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the Versant Media Group, Inc. Omnibus Equity Incentive Plan (as amended from time to time and including any successor plan thereto), which is incorporated herein by reference.</w:t>
      </w:r>
    </w:p>
    <w:p>
      <w:pPr>
        <w:spacing w:after="0" w:line="147"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Condition</w:t>
      </w:r>
      <w:r>
        <w:rPr>
          <w:rFonts w:ascii="Times New Roman" w:cs="Times New Roman" w:eastAsia="Times New Roman" w:hAnsi="Times New Roman"/>
          <w:sz w:val="19"/>
          <w:szCs w:val="19"/>
          <w:color w:val="auto"/>
        </w:rPr>
        <w:t>” has the meaning set forth on the attached Long-Term Incentive Awards Summary</w:t>
      </w:r>
    </w:p>
    <w:p>
      <w:pPr>
        <w:spacing w:after="0" w:line="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Schedule.</w:t>
      </w:r>
    </w:p>
    <w:p>
      <w:pPr>
        <w:spacing w:after="0" w:line="166" w:lineRule="exact"/>
        <w:rPr>
          <w:rFonts w:ascii="Times New Roman" w:cs="Times New Roman" w:eastAsia="Times New Roman" w:hAnsi="Times New Roman"/>
          <w:sz w:val="19"/>
          <w:szCs w:val="19"/>
          <w:color w:val="auto"/>
        </w:rPr>
      </w:pPr>
    </w:p>
    <w:p>
      <w:pPr>
        <w:ind w:right="140" w:firstLine="1952"/>
        <w:spacing w:after="0" w:line="226" w:lineRule="auto"/>
        <w:tabs>
          <w:tab w:leader="none" w:pos="2639"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Stock Units</w:t>
      </w:r>
      <w:r>
        <w:rPr>
          <w:rFonts w:ascii="Times New Roman" w:cs="Times New Roman" w:eastAsia="Times New Roman" w:hAnsi="Times New Roman"/>
          <w:sz w:val="20"/>
          <w:szCs w:val="20"/>
          <w:color w:val="auto"/>
        </w:rPr>
        <w:t>” means the Performance Stock Units subject to Service Conditions and Performance Conditions granted to Grantee pursuant to this Agreement, as set forth in the Long-Term Incentive Awards Summary Schedule attached hereto.</w:t>
      </w:r>
    </w:p>
    <w:p>
      <w:pPr>
        <w:sectPr>
          <w:pgSz w:w="11900" w:h="16838" w:orient="portrait"/>
          <w:cols w:equalWidth="0" w:num="1">
            <w:col w:w="11240"/>
          </w:cols>
          <w:pgMar w:left="320" w:top="94" w:right="339" w:bottom="1440" w:gutter="0" w:footer="0" w:header="0"/>
        </w:sectPr>
      </w:pPr>
    </w:p>
    <w:bookmarkStart w:id="120" w:name="page121"/>
    <w:bookmarkEnd w:id="120"/>
    <w:p>
      <w:pPr>
        <w:ind w:right="160" w:firstLine="1952"/>
        <w:spacing w:after="0"/>
        <w:tabs>
          <w:tab w:leader="none" w:pos="263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means, with respect to each Performance Stock Unit, the period beginning on the Date of Grant and ending on the Vesting Date.</w:t>
      </w:r>
    </w:p>
    <w:p>
      <w:pPr>
        <w:spacing w:after="0" w:line="147"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16b-3</w:t>
      </w:r>
      <w:r>
        <w:rPr>
          <w:rFonts w:ascii="Times New Roman" w:cs="Times New Roman" w:eastAsia="Times New Roman" w:hAnsi="Times New Roman"/>
          <w:sz w:val="20"/>
          <w:szCs w:val="20"/>
          <w:color w:val="auto"/>
        </w:rPr>
        <w:t>” means Rule 16b-3 promulgated under the 1934 Act, as in effect from time to time.</w:t>
      </w:r>
    </w:p>
    <w:p>
      <w:pPr>
        <w:spacing w:after="0" w:line="183"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Condition</w:t>
      </w:r>
      <w:r>
        <w:rPr>
          <w:rFonts w:ascii="Times New Roman" w:cs="Times New Roman" w:eastAsia="Times New Roman" w:hAnsi="Times New Roman"/>
          <w:sz w:val="20"/>
          <w:szCs w:val="20"/>
          <w:color w:val="auto"/>
        </w:rPr>
        <w:t>” has the meaning set forth on the attached Long-Term Incentive Awards Summary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w:t>
      </w:r>
    </w:p>
    <w:p>
      <w:pPr>
        <w:spacing w:after="0" w:line="147"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Vesting Date</w:t>
      </w:r>
      <w:r>
        <w:rPr>
          <w:rFonts w:ascii="Times New Roman" w:cs="Times New Roman" w:eastAsia="Times New Roman" w:hAnsi="Times New Roman"/>
          <w:sz w:val="20"/>
          <w:szCs w:val="20"/>
          <w:color w:val="auto"/>
        </w:rPr>
        <w:t>” has the meaning set forth on the attached Long-Term Incentive Awards Summary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w:t>
      </w:r>
    </w:p>
    <w:p>
      <w:pPr>
        <w:spacing w:after="0" w:line="166"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mean shares of the Company’s Class A Common Stock, par value $0.01 per share.</w:t>
      </w:r>
    </w:p>
    <w:p>
      <w:pPr>
        <w:spacing w:after="0" w:line="175" w:lineRule="exact"/>
        <w:rPr>
          <w:rFonts w:ascii="Times New Roman" w:cs="Times New Roman" w:eastAsia="Times New Roman" w:hAnsi="Times New Roman"/>
          <w:sz w:val="20"/>
          <w:szCs w:val="20"/>
          <w:color w:val="auto"/>
        </w:rPr>
      </w:pPr>
    </w:p>
    <w:p>
      <w:pPr>
        <w:ind w:right="280" w:firstLine="1952"/>
        <w:spacing w:after="0" w:line="230" w:lineRule="auto"/>
        <w:tabs>
          <w:tab w:leader="none" w:pos="2637"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means the date(s) on which both of the Service Condition and the Performance Condition applicable to any Performance Stock Units is satisfied (or deemed satisfied) pursuant to the terms of this Agreement (including the Long-Term Incentive Awards Summary Schedule).</w:t>
      </w:r>
    </w:p>
    <w:p>
      <w:pPr>
        <w:spacing w:after="0" w:line="148"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1934 Act</w:t>
      </w:r>
      <w:r>
        <w:rPr>
          <w:rFonts w:ascii="Times New Roman" w:cs="Times New Roman" w:eastAsia="Times New Roman" w:hAnsi="Times New Roman"/>
          <w:sz w:val="20"/>
          <w:szCs w:val="20"/>
          <w:color w:val="auto"/>
        </w:rPr>
        <w:t>” means the Securities Exchange Act of 1934, as amended.</w:t>
      </w:r>
    </w:p>
    <w:p>
      <w:pPr>
        <w:spacing w:after="0" w:line="188" w:lineRule="exact"/>
        <w:rPr>
          <w:rFonts w:ascii="Times New Roman" w:cs="Times New Roman" w:eastAsia="Times New Roman" w:hAnsi="Times New Roman"/>
          <w:sz w:val="20"/>
          <w:szCs w:val="20"/>
          <w:color w:val="auto"/>
        </w:rPr>
      </w:pPr>
    </w:p>
    <w:p>
      <w:pPr>
        <w:ind w:right="160" w:firstLine="1304"/>
        <w:spacing w:after="0" w:line="216" w:lineRule="auto"/>
        <w:tabs>
          <w:tab w:leader="none" w:pos="199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Performance Stock Units</w:t>
      </w:r>
      <w:r>
        <w:rPr>
          <w:rFonts w:ascii="Times New Roman" w:cs="Times New Roman" w:eastAsia="Times New Roman" w:hAnsi="Times New Roman"/>
          <w:sz w:val="20"/>
          <w:szCs w:val="20"/>
          <w:color w:val="auto"/>
        </w:rPr>
        <w:t>. Subject to the terms and conditions set forth in this Agreement and in the Plan, the Company hereby grants to Grantee the Performance Stock Units, as set forth in the Long-Term Incentive Awards Summary Schedule attached hereto. Each Performance Stock Unit represents the right to receive between 0% and 200% of a Share based on achievement of the Performance Condition, as set forth in the Long-Term Incentive Awards Summary Schedule, subject to the terms and conditions set forth in this Agreement and in the Plan, including the satisfaction of the applicable Service Condition. Notwithstanding anything to the contrary in this Agreement, in no event will the Earned PSUs exceed 200% of the Target PSUs.</w:t>
      </w:r>
    </w:p>
    <w:p>
      <w:pPr>
        <w:spacing w:after="0" w:line="162"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firstLine="1952"/>
        <w:spacing w:after="0" w:line="222" w:lineRule="auto"/>
        <w:tabs>
          <w:tab w:leader="none" w:pos="2631"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Stock Units are granted with dividend equivalent rights. If the Company declares a cash dividend on the Shares, an amount equivalent to such dividend will be credited to an unfunded bookkeeping account on the dividend payment date with respect to each Performance Stock Unit that is outstanding and unvested as of the record date of such dividend (the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Equivalent Amount</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120" w:firstLine="1952"/>
        <w:spacing w:after="0" w:line="220" w:lineRule="auto"/>
        <w:tabs>
          <w:tab w:leader="none" w:pos="262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Dividend Equivalent Amount will be credited as cash, without interest, and, unless otherwise determined by the Committee, will not be converted to Shares. The Dividend Equivalent Amount will be payable in cash, but subject to and only upon the applicable Vesting Date(s) of the underlying Performance Stock Units as determined in accordance with Paragraph 4, and will be cancelled and forfeited if the underlying Performance Stock Units are cancelled or forfeited (including as a result of failing to satisfy the applicable Service Condition or Performance Condition), determined in accordance with Paragraph 5.</w:t>
      </w:r>
    </w:p>
    <w:p>
      <w:pPr>
        <w:spacing w:after="0" w:line="147"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Performance Stock Units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right="40" w:firstLine="1952"/>
        <w:spacing w:after="0" w:line="226" w:lineRule="auto"/>
        <w:tabs>
          <w:tab w:leader="none" w:pos="2631"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in this Agreement and in the Plan, the Performance Stock Units shall vest in accordance with the terms and conditions set forth on the attached Long-Term Incentive Awards Summary Schedule. As of the applicable Vesting Date, Grantee shall be entitled to the delivery of Shares with respect to the applicable Earned PSUs.</w:t>
      </w:r>
    </w:p>
    <w:p>
      <w:pPr>
        <w:spacing w:after="0" w:line="160" w:lineRule="exact"/>
        <w:rPr>
          <w:rFonts w:ascii="Times New Roman" w:cs="Times New Roman" w:eastAsia="Times New Roman" w:hAnsi="Times New Roman"/>
          <w:sz w:val="20"/>
          <w:szCs w:val="20"/>
          <w:color w:val="auto"/>
        </w:rPr>
      </w:pPr>
    </w:p>
    <w:p>
      <w:pPr>
        <w:ind w:right="800" w:firstLine="1952"/>
        <w:spacing w:after="0" w:line="226" w:lineRule="auto"/>
        <w:tabs>
          <w:tab w:leader="none" w:pos="262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the Plan, in the event of Grantee’s Termination of Service due to Grantee’s death, (i) the Service Condition applicable to the Performance Stock Units shall be deemed immediately satisfied and (ii) the Performance</w:t>
      </w:r>
    </w:p>
    <w:p>
      <w:pPr>
        <w:sectPr>
          <w:pgSz w:w="11900" w:h="16838" w:orient="portrait"/>
          <w:cols w:equalWidth="0" w:num="1">
            <w:col w:w="11240"/>
          </w:cols>
          <w:pgMar w:left="320" w:top="139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color w:val="auto"/>
        </w:rPr>
        <w:t>Condition shall be deemed immediately satisfied at one hundred percent (100%) of the target performance level.</w:t>
      </w:r>
    </w:p>
    <w:p>
      <w:pPr>
        <w:spacing w:after="0" w:line="189" w:lineRule="exact"/>
        <w:rPr>
          <w:sz w:val="20"/>
          <w:szCs w:val="20"/>
          <w:color w:val="auto"/>
        </w:rPr>
      </w:pPr>
    </w:p>
    <w:p>
      <w:pPr>
        <w:ind w:right="60" w:firstLine="1952"/>
        <w:spacing w:after="0" w:line="217" w:lineRule="auto"/>
        <w:tabs>
          <w:tab w:leader="none" w:pos="2631"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the Plan, in the event of Grantee’s Termination of Service due to Grantee’s Disability, the Performance Stock Units shall remain outstanding and remain eligible to vest, subject to achievement of the Performance Conditions, on the originally scheduled Service Vesting Date in accordance with the terms and conditions set forth on the attached Long-Term Incentive Awards Summary Schedule as if Grantee remained in continuous employment through the Service Vesting Date.</w:t>
      </w:r>
    </w:p>
    <w:p>
      <w:pPr>
        <w:spacing w:after="0" w:line="161"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of Performance Stock Units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right="240" w:firstLine="1952"/>
        <w:spacing w:after="0" w:line="217" w:lineRule="auto"/>
        <w:tabs>
          <w:tab w:leader="none" w:pos="2631"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in this Agreement and in the Plan, in the event of Grantee’s Termination of Service during the Restricted Period, except as otherwise specifically set forth in Paragraph 4, Grantee shall forfeit the Performance Stock Units effective as of such Termination of Service. Upon a forfeiture of the Performance Stock Units as provided in this Paragraph 5, the Performance Stock Units shall be deemed automatically canceled. The provisions of this Paragraph 5(a) shall not apply to Shares issued in respect of the Performance Stock Units as to which a Vesting Date has occurred.</w:t>
      </w:r>
    </w:p>
    <w:p>
      <w:pPr>
        <w:spacing w:after="0" w:line="161" w:lineRule="exact"/>
        <w:rPr>
          <w:rFonts w:ascii="Times New Roman" w:cs="Times New Roman" w:eastAsia="Times New Roman" w:hAnsi="Times New Roman"/>
          <w:sz w:val="20"/>
          <w:szCs w:val="20"/>
          <w:color w:val="auto"/>
        </w:rPr>
      </w:pPr>
    </w:p>
    <w:p>
      <w:pPr>
        <w:ind w:right="40" w:firstLine="1952"/>
        <w:spacing w:after="0"/>
        <w:tabs>
          <w:tab w:leader="none" w:pos="2629"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Performance Stock Units that do not become Earned PSUs in accordance with this Agreement as of the end of the Performance Period shall be immediately forfeited and cancelled, without the payment of any consideration therefor.</w:t>
      </w:r>
    </w:p>
    <w:p>
      <w:pPr>
        <w:spacing w:after="0" w:line="142"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the foregoing and any other provisions of the Plan to the contrary, in the event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 Change in Control:</w:t>
      </w:r>
    </w:p>
    <w:p>
      <w:pPr>
        <w:spacing w:after="0" w:line="166" w:lineRule="exact"/>
        <w:rPr>
          <w:rFonts w:ascii="Times New Roman" w:cs="Times New Roman" w:eastAsia="Times New Roman" w:hAnsi="Times New Roman"/>
          <w:sz w:val="20"/>
          <w:szCs w:val="20"/>
          <w:color w:val="auto"/>
        </w:rPr>
      </w:pPr>
    </w:p>
    <w:p>
      <w:pPr>
        <w:ind w:firstLine="1952"/>
        <w:spacing w:after="0" w:line="218" w:lineRule="auto"/>
        <w:tabs>
          <w:tab w:leader="none" w:pos="2631"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Conditions shall be deemed achieved at the greater of (i) the target performance level (for the avoidance of doubt, the Final Performance Goal Achievement Percentage shall be deemed to be equal to 100%) and (ii) the actual level of achievement of Performance Conditions through the date of the Change in Control (for the avoidance of doubt, treating the date of the Change in Control as the last day of the Performance Period for purposes of the Long-Term Incentive Award Summary Schedule);</w:t>
      </w:r>
    </w:p>
    <w:p>
      <w:pPr>
        <w:spacing w:after="0" w:line="163" w:lineRule="exact"/>
        <w:rPr>
          <w:rFonts w:ascii="Times New Roman" w:cs="Times New Roman" w:eastAsia="Times New Roman" w:hAnsi="Times New Roman"/>
          <w:sz w:val="20"/>
          <w:szCs w:val="20"/>
          <w:color w:val="auto"/>
        </w:rPr>
      </w:pPr>
    </w:p>
    <w:p>
      <w:pPr>
        <w:ind w:right="20" w:firstLine="1952"/>
        <w:spacing w:after="0" w:line="215" w:lineRule="auto"/>
        <w:tabs>
          <w:tab w:leader="none" w:pos="2629"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this Award is assumed or substituted in connection with such Change in Control in accordance with Section 14 of the Plan, then in the event Grantee experiences a Termination of Service by the Company (or the acquiring entity or its Affiliates) without Cause or by Grantee for Good Reason, in each case within the three (3)-month period immediately preceding such Change in Control or the twenty-four (24) month period immediately following such Change in Control, then the Service Condition applicable to the Performance Stock Units will be deemed fully satisfied as of the date of such Termination of Service, with the level of achievement of the Performance Conditions determined in accordance with Paragraph 6(a);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Grantee delivers to the Company, and does not revoke, a signed release of claims acceptable to the Company in the period prescribed by the Company; and</w:t>
      </w:r>
    </w:p>
    <w:p>
      <w:pPr>
        <w:spacing w:after="0" w:line="164" w:lineRule="exact"/>
        <w:rPr>
          <w:rFonts w:ascii="Times New Roman" w:cs="Times New Roman" w:eastAsia="Times New Roman" w:hAnsi="Times New Roman"/>
          <w:sz w:val="20"/>
          <w:szCs w:val="20"/>
          <w:color w:val="auto"/>
        </w:rPr>
      </w:pPr>
    </w:p>
    <w:p>
      <w:pPr>
        <w:ind w:right="180" w:firstLine="1952"/>
        <w:spacing w:after="0" w:line="237" w:lineRule="auto"/>
        <w:tabs>
          <w:tab w:leader="none" w:pos="2631"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this Award is not assumed or substituted in connection with such Change in Control in accordance with Section 14 of the Plan, then the Service Condition applicable to the Performance Stock Units will be deemed fully satisfied as of the date of such Change in Control, with the level of achievement of the Performance Conditions determined in accordance with Paragraph 6(a).</w:t>
      </w:r>
    </w:p>
    <w:p>
      <w:pPr>
        <w:spacing w:after="0" w:line="162" w:lineRule="exact"/>
        <w:rPr>
          <w:rFonts w:ascii="Times New Roman" w:cs="Times New Roman" w:eastAsia="Times New Roman" w:hAnsi="Times New Roman"/>
          <w:sz w:val="19"/>
          <w:szCs w:val="19"/>
          <w:color w:val="auto"/>
        </w:rPr>
      </w:pPr>
    </w:p>
    <w:p>
      <w:pPr>
        <w:ind w:right="100" w:firstLine="1304"/>
        <w:spacing w:after="0" w:line="216" w:lineRule="auto"/>
        <w:tabs>
          <w:tab w:leader="none" w:pos="1993"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Award</w:t>
      </w:r>
      <w:r>
        <w:rPr>
          <w:rFonts w:ascii="Times New Roman" w:cs="Times New Roman" w:eastAsia="Times New Roman" w:hAnsi="Times New Roman"/>
          <w:sz w:val="20"/>
          <w:szCs w:val="20"/>
          <w:color w:val="auto"/>
        </w:rPr>
        <w:t>. Except as otherwise provided by the Committee, unless and until Grantee has become the holder of record of the Shares issuable hereunder, the Award and any Performance Stock Units hereunder may not be transferred or assigned by Grantee other than by will or the laws of descent and distribution or be exercised during his or her life other than by Grantee or for his benefit by his attorney-in-fact or guardian. Any attempt at assignment, transfer, pledge or disposition of any Performance Stock Units contrary to the provisions hereof or the levy of any execution, attachment or similar process upon the Performance Stock Units shall be null and void and without effect.</w:t>
      </w:r>
    </w:p>
    <w:p>
      <w:pPr>
        <w:sectPr>
          <w:pgSz w:w="11900" w:h="16838" w:orient="portrait"/>
          <w:cols w:equalWidth="0" w:num="1">
            <w:col w:w="11240"/>
          </w:cols>
          <w:pgMar w:left="320" w:top="1399" w:right="339" w:bottom="1440" w:gutter="0" w:footer="0" w:header="0"/>
        </w:sectPr>
      </w:pPr>
    </w:p>
    <w:bookmarkStart w:id="122" w:name="page123"/>
    <w:bookmarkEnd w:id="122"/>
    <w:p>
      <w:pPr>
        <w:ind w:left="-1120" w:right="60" w:firstLine="1304"/>
        <w:spacing w:after="0" w:line="237" w:lineRule="auto"/>
        <w:tabs>
          <w:tab w:leader="none" w:pos="873"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to the Company under this Agreement shall be made in care of the Committee at the Company’s main office in Eaglewood Cliffs, New Jersey. The address for Grantee to which notice, demands and other communications to be given or delivered under or by reason of the provisions hereof shall be Grantee’s address as reflected in the Employer’s personnel records.</w:t>
      </w:r>
    </w:p>
    <w:p>
      <w:pPr>
        <w:spacing w:after="0" w:line="162" w:lineRule="exact"/>
        <w:rPr>
          <w:rFonts w:ascii="Times New Roman" w:cs="Times New Roman" w:eastAsia="Times New Roman" w:hAnsi="Times New Roman"/>
          <w:sz w:val="19"/>
          <w:szCs w:val="19"/>
          <w:color w:val="auto"/>
        </w:rPr>
      </w:pPr>
    </w:p>
    <w:p>
      <w:pPr>
        <w:ind w:left="-1120" w:right="160" w:firstLine="1304"/>
        <w:spacing w:after="0" w:line="226" w:lineRule="auto"/>
        <w:tabs>
          <w:tab w:leader="none" w:pos="873"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The Committee may from time to time impose any conditions on the Shares issuable with respect to Performance Stock Units as it deems necessary or advisable to ensure that the Plan and this Award satisfy the conditions of Rule 16b-3, and that Shares are issued and resold in compliance with the Securities Act of 1933, as amended.</w:t>
      </w:r>
    </w:p>
    <w:p>
      <w:pPr>
        <w:spacing w:after="0" w:line="160" w:lineRule="exact"/>
        <w:rPr>
          <w:rFonts w:ascii="Times New Roman" w:cs="Times New Roman" w:eastAsia="Times New Roman" w:hAnsi="Times New Roman"/>
          <w:sz w:val="20"/>
          <w:szCs w:val="20"/>
          <w:color w:val="auto"/>
        </w:rPr>
      </w:pPr>
    </w:p>
    <w:p>
      <w:pPr>
        <w:ind w:left="-1120" w:right="160" w:firstLine="1304"/>
        <w:spacing w:after="0" w:line="213" w:lineRule="auto"/>
        <w:tabs>
          <w:tab w:leader="none" w:pos="86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Shares</w:t>
      </w:r>
      <w:r>
        <w:rPr>
          <w:rFonts w:ascii="Times New Roman" w:cs="Times New Roman" w:eastAsia="Times New Roman" w:hAnsi="Times New Roman"/>
          <w:sz w:val="20"/>
          <w:szCs w:val="20"/>
          <w:color w:val="auto"/>
        </w:rPr>
        <w:t xml:space="preserve">. Within thirty (30) business days of a Vesting Date, the Company shall, without payment from Grantee, satisfy its obligations to (a) pay the Dividend Equivalent Amount (if any) and (b) deliver Shares underlying the applicable Earned PSUs by arranging for the recording of Grantee’s ownership of Shares issuable under the Plan on a book entry recordkeeping system maintained on behalf of the Company, without any legend or restrictions, except for such restrictions as may be imposed by the Committee, in its sole judgment, under Paragraph 9;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w:t>
      </w:r>
    </w:p>
    <w:p>
      <w:pPr>
        <w:spacing w:after="0" w:line="161" w:lineRule="exact"/>
        <w:rPr>
          <w:rFonts w:ascii="Times New Roman" w:cs="Times New Roman" w:eastAsia="Times New Roman" w:hAnsi="Times New Roman"/>
          <w:sz w:val="20"/>
          <w:szCs w:val="20"/>
          <w:color w:val="auto"/>
        </w:rPr>
      </w:pPr>
    </w:p>
    <w:p>
      <w:pPr>
        <w:ind w:left="-1120" w:firstLine="1304"/>
        <w:spacing w:after="0" w:line="226" w:lineRule="auto"/>
        <w:tabs>
          <w:tab w:leader="none" w:pos="85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Prior to Settlement</w:t>
      </w:r>
      <w:r>
        <w:rPr>
          <w:rFonts w:ascii="Times New Roman" w:cs="Times New Roman" w:eastAsia="Times New Roman" w:hAnsi="Times New Roman"/>
          <w:sz w:val="20"/>
          <w:szCs w:val="20"/>
          <w:color w:val="auto"/>
        </w:rPr>
        <w:t>. Grantee shall not have any right as a shareholder with respect to any Shares subject to his or her Performance Stock Unit until the Performance Stock Unit shall have been settled in accordance with the terms of the Plan and this Agreement, and the Company shall have delivered the Shares.</w:t>
      </w:r>
    </w:p>
    <w:p>
      <w:pPr>
        <w:spacing w:after="0" w:line="160" w:lineRule="exact"/>
        <w:rPr>
          <w:rFonts w:ascii="Times New Roman" w:cs="Times New Roman" w:eastAsia="Times New Roman" w:hAnsi="Times New Roman"/>
          <w:sz w:val="20"/>
          <w:szCs w:val="20"/>
          <w:color w:val="auto"/>
        </w:rPr>
      </w:pPr>
    </w:p>
    <w:p>
      <w:pPr>
        <w:ind w:left="-1120" w:right="20" w:firstLine="1304"/>
        <w:spacing w:after="0" w:line="210" w:lineRule="auto"/>
        <w:tabs>
          <w:tab w:leader="none" w:pos="86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Grantee understands and agrees that this Award and all payments with respect thereto are intended to comply with and/or be exempt from Section 409A of the Code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Agreement shall be interpreted in a manner that is consistent with such intent and the Award shall be operated accordingly. If any provision of the Plan or any term or condition of this Award would otherwise frustrate or conflict with this intent, the provision, term or condition shall be interpreted and deemed amended so as to avoid this conflict. Notwithstanding anything in the Plan or this Agreement to the contrary, if the Committee considers Grantee to be a “specified employee” under Section 409A at the time of Grantee’s “separation from service” (as defined in Section 409A), and any amount hereunder is “deferred compensation” subject to Section 409A, any distribution of such amount that otherwise would be made to Grantee with respect to the Award as a result of such “separation from service” shall not be made until the date that is six months after such “separation from service,” except to the extent that earlier distribution would not result in Grantee incurring interest or additional tax under Section 409A. If the Award includes a “series of installment payments” (within the meaning of Treasury Regulations § 1.409A-2(b)(2)(iii)), Grantee’s right to such series of installment payments shall be treated as a right to a series of separate payments and not as a right to a single payment, and if the Award includes “dividend equivalents” (within the meaning of Treasury Regulations § 1.409A-3(e)), Grantee’s right to such dividend equivalents shall be treated separately from the right to other amounts under the Award. Notwithstanding the foregoing, the tax treatment of the benefits provided under the Plan or this Agreement is not warranted or guaranteed, and in no event shall the Company be liable for all or any portion of any taxes, penalties, interest or other expenses that may be incurred by Grantee on account of non-compliance with Section 409A.</w:t>
      </w:r>
    </w:p>
    <w:p>
      <w:pPr>
        <w:spacing w:after="0" w:line="155" w:lineRule="exact"/>
        <w:rPr>
          <w:rFonts w:ascii="Times New Roman" w:cs="Times New Roman" w:eastAsia="Times New Roman" w:hAnsi="Times New Roman"/>
          <w:sz w:val="20"/>
          <w:szCs w:val="20"/>
          <w:color w:val="auto"/>
        </w:rPr>
      </w:pPr>
    </w:p>
    <w:p>
      <w:pPr>
        <w:ind w:left="-1120" w:right="20" w:firstLine="1304"/>
        <w:spacing w:after="0" w:line="218" w:lineRule="auto"/>
        <w:tabs>
          <w:tab w:leader="none" w:pos="86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and Withholding</w:t>
      </w:r>
      <w:r>
        <w:rPr>
          <w:rFonts w:ascii="Times New Roman" w:cs="Times New Roman" w:eastAsia="Times New Roman" w:hAnsi="Times New Roman"/>
          <w:sz w:val="20"/>
          <w:szCs w:val="20"/>
          <w:color w:val="auto"/>
        </w:rPr>
        <w:t>. Pursuant to rules and procedures that the Company or the Employer establishes, federal, state, local or foreign income or other tax or other withholding obligations arising upon settlement of the Performance Stock Units may be satisfied, in the Committee’s full and sole discretion, (a) by having the Company withhold Shares, (b) by having Grantee tender Shares to the Company, (c) by having the Company or the Employer withhold cash if the Company or the Employer provides for a cash withholding option or (d) pursuant to a broker-assisted “sell-to-cover” program adopted by the Company in connection with the Plan, in each case, in an amount sufficient to satisfy the tax or other withholding obligations. Shares withheld or tendered will be valued using the Fair Market</w:t>
      </w:r>
    </w:p>
    <w:p>
      <w:pPr>
        <w:sectPr>
          <w:pgSz w:w="11900" w:h="16838" w:orient="portrait"/>
          <w:cols w:equalWidth="0" w:num="1">
            <w:col w:w="10100"/>
          </w:cols>
          <w:pgMar w:left="1440" w:top="1399"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color w:val="auto"/>
        </w:rPr>
        <w:t>Value of the Shares on the date the Performance Stock Units are settled, as determined by the Committee. Any withholding or tendering of</w:t>
      </w:r>
    </w:p>
    <w:p>
      <w:pPr>
        <w:spacing w:after="0" w:line="204" w:lineRule="auto"/>
        <w:rPr>
          <w:sz w:val="20"/>
          <w:szCs w:val="20"/>
          <w:color w:val="auto"/>
        </w:rPr>
      </w:pPr>
      <w:r>
        <w:rPr>
          <w:rFonts w:ascii="Times New Roman" w:cs="Times New Roman" w:eastAsia="Times New Roman" w:hAnsi="Times New Roman"/>
          <w:sz w:val="20"/>
          <w:szCs w:val="20"/>
          <w:color w:val="auto"/>
        </w:rPr>
        <w:t>Shares shall comply with the requirements of Financial Accounting Standards Board, Accounting Standards Codification, Topic 718, and any withholding satisfied through a net-settlement of the Performance Stock Units shall be limited to the maximum statutory withholding</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0"/>
          <w:szCs w:val="20"/>
          <w:color w:val="auto"/>
        </w:rPr>
        <w:t>requirements. Grantee acknowledges that, if he or she is subject to taxes in more than one jurisdiction, the Company or the Employer may be required to withhold or account for taxes in more than one jurisdiction.</w:t>
      </w:r>
    </w:p>
    <w:p>
      <w:pPr>
        <w:spacing w:after="0" w:line="149" w:lineRule="exact"/>
        <w:rPr>
          <w:sz w:val="20"/>
          <w:szCs w:val="20"/>
          <w:color w:val="auto"/>
        </w:rPr>
      </w:pPr>
    </w:p>
    <w:p>
      <w:pPr>
        <w:ind w:right="720" w:firstLine="1304"/>
        <w:spacing w:after="0"/>
        <w:tabs>
          <w:tab w:leader="none" w:pos="19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Not to Affect Employment</w:t>
      </w:r>
      <w:r>
        <w:rPr>
          <w:rFonts w:ascii="Times New Roman" w:cs="Times New Roman" w:eastAsia="Times New Roman" w:hAnsi="Times New Roman"/>
          <w:sz w:val="20"/>
          <w:szCs w:val="20"/>
          <w:color w:val="auto"/>
        </w:rPr>
        <w:t>. The Award granted hereunder shall not confer upon Grantee any right to continue in the employment of the Company or any Participating Company or Affiliate of the Company.</w:t>
      </w:r>
    </w:p>
    <w:p>
      <w:pPr>
        <w:spacing w:after="0" w:line="161" w:lineRule="exact"/>
        <w:rPr>
          <w:rFonts w:ascii="Times New Roman" w:cs="Times New Roman" w:eastAsia="Times New Roman" w:hAnsi="Times New Roman"/>
          <w:sz w:val="20"/>
          <w:szCs w:val="20"/>
          <w:color w:val="auto"/>
        </w:rPr>
      </w:pPr>
    </w:p>
    <w:p>
      <w:pPr>
        <w:jc w:val="both"/>
        <w:ind w:right="120" w:firstLine="1304"/>
        <w:spacing w:after="0" w:line="222" w:lineRule="auto"/>
        <w:tabs>
          <w:tab w:leader="none" w:pos="19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Neither the Company or the Employer is providing any tax, legal or financial advice, nor is the Company or the Employer making any recommendations regarding Grantee’s participation in the Plan or acquisition or sale of the underlying Shares. Grantee is hereby advised to consult with his or her own personal tax, legal and financial advisors regarding his or her participation in the Plan before taking any action related to the Plan or the Performance Stock Units.</w:t>
      </w:r>
    </w:p>
    <w:p>
      <w:pPr>
        <w:spacing w:after="0" w:line="148" w:lineRule="exact"/>
        <w:rPr>
          <w:rFonts w:ascii="Times New Roman" w:cs="Times New Roman" w:eastAsia="Times New Roman" w:hAnsi="Times New Roman"/>
          <w:sz w:val="20"/>
          <w:szCs w:val="20"/>
          <w:color w:val="auto"/>
        </w:rPr>
      </w:pPr>
    </w:p>
    <w:p>
      <w:pPr>
        <w:ind w:right="200" w:firstLine="1304"/>
        <w:spacing w:after="0"/>
        <w:tabs>
          <w:tab w:leader="none" w:pos="19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validity, performance, construction and effect of this Award shall be governed by the laws of the Commonwealth of Pennsylvania, without giving effect to principles of conflicts of law.</w:t>
      </w:r>
    </w:p>
    <w:p>
      <w:pPr>
        <w:spacing w:after="0" w:line="161" w:lineRule="exact"/>
        <w:rPr>
          <w:rFonts w:ascii="Times New Roman" w:cs="Times New Roman" w:eastAsia="Times New Roman" w:hAnsi="Times New Roman"/>
          <w:sz w:val="20"/>
          <w:szCs w:val="20"/>
          <w:color w:val="auto"/>
        </w:rPr>
      </w:pPr>
    </w:p>
    <w:p>
      <w:pPr>
        <w:ind w:right="600" w:firstLine="1304"/>
        <w:spacing w:after="0" w:line="233" w:lineRule="auto"/>
        <w:tabs>
          <w:tab w:leader="none" w:pos="19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Protection</w:t>
      </w:r>
      <w:r>
        <w:rPr>
          <w:rFonts w:ascii="Times New Roman" w:cs="Times New Roman" w:eastAsia="Times New Roman" w:hAnsi="Times New Roman"/>
          <w:sz w:val="20"/>
          <w:szCs w:val="20"/>
          <w:color w:val="auto"/>
        </w:rPr>
        <w:t>. Grantee acknowledges that their personal data will be processed in accordance with the data privacy policy, notice and/or agreement that is applicable to them in connection with their employment.</w:t>
      </w:r>
    </w:p>
    <w:p>
      <w:pPr>
        <w:spacing w:after="0" w:line="160" w:lineRule="exact"/>
        <w:rPr>
          <w:rFonts w:ascii="Times New Roman" w:cs="Times New Roman" w:eastAsia="Times New Roman" w:hAnsi="Times New Roman"/>
          <w:sz w:val="20"/>
          <w:szCs w:val="20"/>
          <w:color w:val="auto"/>
        </w:rPr>
      </w:pPr>
    </w:p>
    <w:p>
      <w:pPr>
        <w:ind w:right="80" w:firstLine="1304"/>
        <w:spacing w:after="0"/>
        <w:tabs>
          <w:tab w:leader="none" w:pos="19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w:t>
      </w:r>
      <w:r>
        <w:rPr>
          <w:rFonts w:ascii="Times New Roman" w:cs="Times New Roman" w:eastAsia="Times New Roman" w:hAnsi="Times New Roman"/>
          <w:sz w:val="20"/>
          <w:szCs w:val="20"/>
          <w:color w:val="auto"/>
        </w:rPr>
        <w:t>. This Award is subject to all applicable provisions set out in Appendix A to this Agreement, titled ‘Global Appendix’, including any provisions that are specific to Grantee’s jurisdiction, if any.</w:t>
      </w:r>
    </w:p>
    <w:p>
      <w:pPr>
        <w:spacing w:after="0" w:line="147" w:lineRule="exact"/>
        <w:rPr>
          <w:rFonts w:ascii="Times New Roman" w:cs="Times New Roman" w:eastAsia="Times New Roman" w:hAnsi="Times New Roman"/>
          <w:sz w:val="20"/>
          <w:szCs w:val="20"/>
          <w:color w:val="auto"/>
        </w:rPr>
      </w:pPr>
    </w:p>
    <w:p>
      <w:pPr>
        <w:ind w:firstLine="1304"/>
        <w:spacing w:after="0" w:line="211" w:lineRule="auto"/>
        <w:tabs>
          <w:tab w:leader="none" w:pos="19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Cancellation/Clawback</w:t>
      </w:r>
      <w:r>
        <w:rPr>
          <w:rFonts w:ascii="Times New Roman" w:cs="Times New Roman" w:eastAsia="Times New Roman" w:hAnsi="Times New Roman"/>
          <w:sz w:val="20"/>
          <w:szCs w:val="20"/>
          <w:color w:val="auto"/>
        </w:rPr>
        <w:t>. Grantee hereby acknowledges and agrees that Grantee and the Award are subject to the terms and conditions of Section 15 (Repayment) of the Plan. Without limiting the foregoing, Grantee hereby acknowledges and agrees that the Award and any Shares issued pursuant to the Earned PSUs are subject to recoupment in accordance with any recoupment policy that the Company may adopt from time to time, to the extent any such policy is applicable to the Grantee and to such compensation, including the Company’s Recoupment Policy (as amended from time to time), designed to comply with the requirements of Rule 10D-1 promulgated under the 1934 Act, as well as any recoupment provisions required under applicable law. For purposes of the foregoing, the Grantee expressly and explicitly authorizes (x) the Company to issue instructions, on the Grantee’s behalf, to any brokerage firm and/or third party administrator engaged by the Company to hold Shares and other 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Grantee. The Grantee further agrees to comply with any request or demand for repayment by any affiliate of the Company in order to comply with such policies or applicable law.</w:t>
      </w:r>
    </w:p>
    <w:p>
      <w:pPr>
        <w:spacing w:after="0" w:line="165" w:lineRule="exact"/>
        <w:rPr>
          <w:rFonts w:ascii="Times New Roman" w:cs="Times New Roman" w:eastAsia="Times New Roman" w:hAnsi="Times New Roman"/>
          <w:sz w:val="20"/>
          <w:szCs w:val="20"/>
          <w:color w:val="auto"/>
        </w:rPr>
      </w:pPr>
    </w:p>
    <w:p>
      <w:pPr>
        <w:ind w:right="20" w:firstLine="1304"/>
        <w:spacing w:after="0" w:line="222" w:lineRule="auto"/>
        <w:tabs>
          <w:tab w:leader="none" w:pos="19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Plan Control</w:t>
      </w:r>
      <w:r>
        <w:rPr>
          <w:rFonts w:ascii="Times New Roman" w:cs="Times New Roman" w:eastAsia="Times New Roman" w:hAnsi="Times New Roman"/>
          <w:sz w:val="20"/>
          <w:szCs w:val="20"/>
          <w:color w:val="auto"/>
        </w:rPr>
        <w:t>. This Agreement is subject to all the terms, conditions and provisions of the Plan, including the amendment provisions thereof, and to such rules, regulations and interpretations relating to the Plan as may be adopted by the Committee and as may be in effect from time to time. The terms of the Plan are incorporated herein by reference. If and to the extent that this Agreement conflicts with the Plan, the Plan shall control, and this Agreement shall be deemed to be modified accordingly.</w:t>
      </w:r>
    </w:p>
    <w:p>
      <w:pPr>
        <w:spacing w:after="0" w:line="161" w:lineRule="exact"/>
        <w:rPr>
          <w:rFonts w:ascii="Times New Roman" w:cs="Times New Roman" w:eastAsia="Times New Roman" w:hAnsi="Times New Roman"/>
          <w:sz w:val="20"/>
          <w:szCs w:val="20"/>
          <w:color w:val="auto"/>
        </w:rPr>
      </w:pPr>
    </w:p>
    <w:p>
      <w:pPr>
        <w:ind w:right="80" w:firstLine="1304"/>
        <w:spacing w:after="0" w:line="222" w:lineRule="auto"/>
        <w:tabs>
          <w:tab w:leader="none" w:pos="19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Plan and any other agreements, schedules, exhibits and other 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w:t>
      </w:r>
    </w:p>
    <w:p>
      <w:pPr>
        <w:sectPr>
          <w:pgSz w:w="11900" w:h="16838" w:orient="portrait"/>
          <w:cols w:equalWidth="0" w:num="1">
            <w:col w:w="11220"/>
          </w:cols>
          <w:pgMar w:left="320" w:top="1394" w:right="359" w:bottom="1440" w:gutter="0" w:footer="0" w:header="0"/>
        </w:sectPr>
      </w:pPr>
    </w:p>
    <w:bookmarkStart w:id="124" w:name="page125"/>
    <w:bookmarkEnd w:id="124"/>
    <w:p>
      <w:pPr>
        <w:ind w:left="-1120" w:right="40" w:firstLine="1304"/>
        <w:spacing w:after="0" w:line="220" w:lineRule="auto"/>
        <w:tabs>
          <w:tab w:leader="none" w:pos="86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is or becomes or is deemed to be invalid, illegal or unenforceable in any jurisdiction, or would disqualify the Plan or this Agreement under any law deemed applicable by the Committee, such provision shall be construed or deemed amended to conform to applicable laws, or if it cannot be so construed or deemed amended without, in the determination of the Committee, materially altering the intent of this Agreement, such provision shall be stricken as to such jurisdiction, and the remainder of this Agreement shall remain in full force and effect.</w:t>
      </w:r>
    </w:p>
    <w:p>
      <w:pPr>
        <w:spacing w:after="0" w:line="147" w:lineRule="exact"/>
        <w:rPr>
          <w:rFonts w:ascii="Times New Roman" w:cs="Times New Roman" w:eastAsia="Times New Roman" w:hAnsi="Times New Roman"/>
          <w:sz w:val="20"/>
          <w:szCs w:val="20"/>
          <w:color w:val="auto"/>
        </w:rPr>
      </w:pPr>
    </w:p>
    <w:p>
      <w:pPr>
        <w:ind w:left="-1120" w:firstLine="1304"/>
        <w:spacing w:after="0" w:line="222" w:lineRule="auto"/>
        <w:tabs>
          <w:tab w:leader="none" w:pos="86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No Third-Party Beneficiaries</w:t>
      </w:r>
      <w:r>
        <w:rPr>
          <w:rFonts w:ascii="Times New Roman" w:cs="Times New Roman" w:eastAsia="Times New Roman" w:hAnsi="Times New Roman"/>
          <w:sz w:val="20"/>
          <w:szCs w:val="20"/>
          <w:color w:val="auto"/>
        </w:rPr>
        <w:t>. This Agreement shall inure to the benefit of and be binding upon the Company and Grantee and their respective heirs, successors, legal representatives and permitted assigns. Nothing in this Agreement, express or implied, is intended to confer on any Person other than the Company and Grantee, and their respective heirs, successors, legal representatives and permitted assigns, any rights, remedies, obligations or liabilities under or by reason of this Agreement.</w:t>
      </w:r>
    </w:p>
    <w:p>
      <w:pPr>
        <w:spacing w:after="0" w:line="161" w:lineRule="exact"/>
        <w:rPr>
          <w:rFonts w:ascii="Times New Roman" w:cs="Times New Roman" w:eastAsia="Times New Roman" w:hAnsi="Times New Roman"/>
          <w:sz w:val="20"/>
          <w:szCs w:val="20"/>
          <w:color w:val="auto"/>
        </w:rPr>
      </w:pPr>
    </w:p>
    <w:p>
      <w:pPr>
        <w:ind w:left="-1120" w:right="100" w:firstLine="1304"/>
        <w:spacing w:after="0" w:line="220" w:lineRule="auto"/>
        <w:tabs>
          <w:tab w:leader="none" w:pos="86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 and Grantee Undertaking</w:t>
      </w:r>
      <w:r>
        <w:rPr>
          <w:rFonts w:ascii="Times New Roman" w:cs="Times New Roman" w:eastAsia="Times New Roman" w:hAnsi="Times New Roman"/>
          <w:sz w:val="20"/>
          <w:szCs w:val="20"/>
          <w:color w:val="auto"/>
        </w:rPr>
        <w:t>. The Company reserves the right to impose other requirements on Grantee’s participation in the Plan, on the Award and on any Shares to be issued upon settlement of the Award, to the extent the Company determines it is necessary or advisable for legal or administrative reasons. Grantee agrees to take whatever additional action and execute whatever additional documents the Company may deem necessary or advisable to accomplish the foregoing or to carry out or give effect to any of the obligations or restrictions imposed on either Grantee or the Award pursuant to this Agreement.</w:t>
      </w:r>
    </w:p>
    <w:p>
      <w:pPr>
        <w:spacing w:after="0" w:line="160" w:lineRule="exact"/>
        <w:rPr>
          <w:rFonts w:ascii="Times New Roman" w:cs="Times New Roman" w:eastAsia="Times New Roman" w:hAnsi="Times New Roman"/>
          <w:sz w:val="20"/>
          <w:szCs w:val="20"/>
          <w:color w:val="auto"/>
        </w:rPr>
      </w:pPr>
    </w:p>
    <w:p>
      <w:pPr>
        <w:ind w:left="-1120" w:right="60" w:firstLine="1304"/>
        <w:spacing w:after="0" w:line="261" w:lineRule="auto"/>
        <w:tabs>
          <w:tab w:leader="none" w:pos="86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References herein to rights and obligations of Grantee shall apply, where appropriate, to Grantee’s legal representative or estate without regard to whether specific reference to such legal representative or estate is contained in a particular provision of this Agreement.</w:t>
      </w:r>
    </w:p>
    <w:p>
      <w:pPr>
        <w:sectPr>
          <w:pgSz w:w="11900" w:h="16838" w:orient="portrait"/>
          <w:cols w:equalWidth="0" w:num="1">
            <w:col w:w="10120"/>
          </w:cols>
          <w:pgMar w:left="1440" w:top="139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9"/>
          <w:szCs w:val="19"/>
          <w:color w:val="auto"/>
        </w:rPr>
        <w:t>IN WITNESS WHEREOF, the Company has granted this Award on the Date of Grant.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VERSANT MEDIA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w:t>
      </w:r>
    </w:p>
    <w:p>
      <w:pPr>
        <w:sectPr>
          <w:pgSz w:w="11900" w:h="16838" w:orient="portrait"/>
          <w:cols w:equalWidth="0" w:num="1">
            <w:col w:w="9479"/>
          </w:cols>
          <w:pgMar w:left="980" w:top="1413" w:right="1440" w:bottom="1440" w:gutter="0" w:footer="0" w:header="0"/>
        </w:sectPr>
      </w:pPr>
    </w:p>
    <w:bookmarkStart w:id="126" w:name="page127"/>
    <w:bookmarkEnd w:id="126"/>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LONG-TERM INCENTIVE AWARDS SUMMARY SCHEDULE</w:t>
      </w:r>
    </w:p>
    <w:p>
      <w:pPr>
        <w:spacing w:after="0" w:line="2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This Long-Term Incentive Awards Summary Schedule (this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provides certain information related to the Performance Stock Units that Grantee was granted by the Company on the Date of Grant pursuant to the Performance Stock Unit Award Agreement to which this Schedule is attached.</w:t>
      </w:r>
    </w:p>
    <w:p>
      <w:pPr>
        <w:spacing w:after="0" w:line="16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Capitalized terms that are not otherwise defined in this Schedule shall have the meanings given to them in the applicable Performance Stock Unit Award Agreement or in the Plan.</w:t>
      </w:r>
    </w:p>
    <w:p>
      <w:pPr>
        <w:spacing w:after="0" w:line="156"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20"/>
          <w:szCs w:val="20"/>
          <w:b w:val="1"/>
          <w:bCs w:val="1"/>
          <w:color w:val="auto"/>
        </w:rPr>
        <w:t>This Schedule is intended to be, and shall at all times be interpreted as, a part of the Performance Stock Unit Award Agreement to which it relates.</w:t>
      </w:r>
    </w:p>
    <w:p>
      <w:pPr>
        <w:sectPr>
          <w:pgSz w:w="11900" w:h="16838" w:orient="portrait"/>
          <w:cols w:equalWidth="0" w:num="1">
            <w:col w:w="11180"/>
          </w:cols>
          <w:pgMar w:left="320" w:top="1409" w:right="399" w:bottom="1440" w:gutter="0" w:footer="0" w:header="0"/>
        </w:sectPr>
      </w:pPr>
    </w:p>
    <w:bookmarkStart w:id="127" w:name="page128"/>
    <w:bookmarkEnd w:id="12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5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Grantee:</w:t>
            </w:r>
          </w:p>
        </w:tc>
        <w:tc>
          <w:tcPr>
            <w:tcW w:w="60" w:type="dxa"/>
            <w:vAlign w:val="bottom"/>
            <w:tcBorders>
              <w:top w:val="single" w:sz="8" w:color="auto"/>
            </w:tcBorders>
          </w:tcPr>
          <w:p>
            <w:pPr>
              <w:spacing w:after="0"/>
              <w:rPr>
                <w:sz w:val="23"/>
                <w:szCs w:val="23"/>
                <w:color w:val="auto"/>
              </w:rPr>
            </w:pPr>
          </w:p>
        </w:tc>
        <w:tc>
          <w:tcPr>
            <w:tcW w:w="8700" w:type="dxa"/>
            <w:vAlign w:val="bottom"/>
            <w:tcBorders>
              <w:top w:val="single" w:sz="8" w:color="auto"/>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Date of Grant:</w:t>
            </w:r>
          </w:p>
        </w:tc>
        <w:tc>
          <w:tcPr>
            <w:tcW w:w="60" w:type="dxa"/>
            <w:vAlign w:val="bottom"/>
          </w:tcPr>
          <w:p>
            <w:pPr>
              <w:spacing w:after="0"/>
              <w:rPr>
                <w:sz w:val="22"/>
                <w:szCs w:val="22"/>
                <w:color w:val="auto"/>
              </w:rPr>
            </w:pPr>
          </w:p>
        </w:tc>
        <w:tc>
          <w:tcPr>
            <w:tcW w:w="87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50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b w:val="1"/>
                <w:bCs w:val="1"/>
                <w:color w:val="auto"/>
              </w:rPr>
              <w:t>Number of Target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Performance Stock Units</w:t>
            </w:r>
          </w:p>
        </w:tc>
        <w:tc>
          <w:tcPr>
            <w:tcW w:w="8760" w:type="dxa"/>
            <w:vAlign w:val="bottom"/>
            <w:tcBorders>
              <w:right w:val="single" w:sz="8" w:color="auto"/>
            </w:tcBorders>
            <w:gridSpan w:val="16"/>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Performance Stock Units (“Target PSUs”)</w:t>
            </w:r>
          </w:p>
        </w:tc>
        <w:tc>
          <w:tcPr>
            <w:tcW w:w="0" w:type="dxa"/>
            <w:vAlign w:val="bottom"/>
          </w:tcPr>
          <w:p>
            <w:pPr>
              <w:spacing w:after="0"/>
              <w:rPr>
                <w:sz w:val="1"/>
                <w:szCs w:val="1"/>
                <w:color w:val="auto"/>
              </w:rPr>
            </w:pPr>
          </w:p>
        </w:tc>
      </w:tr>
      <w:tr>
        <w:trPr>
          <w:trHeight w:val="235"/>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Granted:</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500" w:type="dxa"/>
            <w:vAlign w:val="bottom"/>
            <w:tcBorders>
              <w:left w:val="single" w:sz="8" w:color="auto"/>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0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b w:val="1"/>
                <w:bCs w:val="1"/>
                <w:color w:val="auto"/>
              </w:rPr>
              <w:t>Vesting of Performance</w:t>
            </w:r>
          </w:p>
        </w:tc>
        <w:tc>
          <w:tcPr>
            <w:tcW w:w="60" w:type="dxa"/>
            <w:vAlign w:val="bottom"/>
          </w:tcPr>
          <w:p>
            <w:pPr>
              <w:spacing w:after="0"/>
              <w:rPr>
                <w:sz w:val="15"/>
                <w:szCs w:val="15"/>
                <w:color w:val="auto"/>
              </w:rPr>
            </w:pPr>
          </w:p>
        </w:tc>
        <w:tc>
          <w:tcPr>
            <w:tcW w:w="8700" w:type="dxa"/>
            <w:vAlign w:val="bottom"/>
            <w:tcBorders>
              <w:right w:val="single" w:sz="8" w:color="auto"/>
            </w:tcBorders>
            <w:gridSpan w:val="15"/>
          </w:tcPr>
          <w:p>
            <w:pPr>
              <w:spacing w:after="0" w:line="183" w:lineRule="exact"/>
              <w:rPr>
                <w:sz w:val="20"/>
                <w:szCs w:val="20"/>
                <w:color w:val="auto"/>
              </w:rPr>
            </w:pPr>
            <w:r>
              <w:rPr>
                <w:rFonts w:ascii="Times New Roman" w:cs="Times New Roman" w:eastAsia="Times New Roman" w:hAnsi="Times New Roman"/>
                <w:sz w:val="20"/>
                <w:szCs w:val="20"/>
                <w:color w:val="auto"/>
              </w:rPr>
              <w:t>The Performance Stock Units will vest upon the satisfaction of both of the Service Condition and the</w:t>
            </w:r>
          </w:p>
        </w:tc>
        <w:tc>
          <w:tcPr>
            <w:tcW w:w="0" w:type="dxa"/>
            <w:vAlign w:val="bottom"/>
          </w:tcPr>
          <w:p>
            <w:pPr>
              <w:spacing w:after="0"/>
              <w:rPr>
                <w:sz w:val="1"/>
                <w:szCs w:val="1"/>
                <w:color w:val="auto"/>
              </w:rPr>
            </w:pPr>
          </w:p>
        </w:tc>
      </w:tr>
      <w:tr>
        <w:trPr>
          <w:trHeight w:val="262"/>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Stock Units:</w:t>
            </w:r>
          </w:p>
        </w:tc>
        <w:tc>
          <w:tcPr>
            <w:tcW w:w="60" w:type="dxa"/>
            <w:vAlign w:val="bottom"/>
          </w:tcPr>
          <w:p>
            <w:pPr>
              <w:spacing w:after="0"/>
              <w:rPr>
                <w:sz w:val="22"/>
                <w:szCs w:val="22"/>
                <w:color w:val="auto"/>
              </w:rPr>
            </w:pPr>
          </w:p>
        </w:tc>
        <w:tc>
          <w:tcPr>
            <w:tcW w:w="87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Performance Condition applicable to the Performance Stock Units, as set forth in more detail below.</w:t>
            </w:r>
          </w:p>
        </w:tc>
        <w:tc>
          <w:tcPr>
            <w:tcW w:w="0" w:type="dxa"/>
            <w:vAlign w:val="bottom"/>
          </w:tcPr>
          <w:p>
            <w:pPr>
              <w:spacing w:after="0"/>
              <w:rPr>
                <w:sz w:val="1"/>
                <w:szCs w:val="1"/>
                <w:color w:val="auto"/>
              </w:rPr>
            </w:pPr>
          </w:p>
        </w:tc>
      </w:tr>
      <w:tr>
        <w:trPr>
          <w:trHeight w:val="210"/>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left w:val="single" w:sz="8" w:color="auto"/>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0"/>
                <w:szCs w:val="20"/>
                <w:b w:val="1"/>
                <w:bCs w:val="1"/>
                <w:color w:val="auto"/>
              </w:rPr>
              <w:t>Performance Condition:</w:t>
            </w:r>
          </w:p>
        </w:tc>
        <w:tc>
          <w:tcPr>
            <w:tcW w:w="60" w:type="dxa"/>
            <w:vAlign w:val="bottom"/>
          </w:tcPr>
          <w:p>
            <w:pPr>
              <w:spacing w:after="0"/>
              <w:rPr>
                <w:sz w:val="18"/>
                <w:szCs w:val="18"/>
                <w:color w:val="auto"/>
              </w:rPr>
            </w:pPr>
          </w:p>
        </w:tc>
        <w:tc>
          <w:tcPr>
            <w:tcW w:w="8700" w:type="dxa"/>
            <w:vAlign w:val="bottom"/>
            <w:tcBorders>
              <w:right w:val="single" w:sz="8" w:color="auto"/>
            </w:tcBorders>
            <w:gridSpan w:val="15"/>
          </w:tcPr>
          <w:p>
            <w:pPr>
              <w:spacing w:after="0" w:line="209" w:lineRule="exact"/>
              <w:rPr>
                <w:sz w:val="20"/>
                <w:szCs w:val="20"/>
                <w:color w:val="auto"/>
              </w:rPr>
            </w:pPr>
            <w:r>
              <w:rPr>
                <w:rFonts w:ascii="Times New Roman" w:cs="Times New Roman" w:eastAsia="Times New Roman" w:hAnsi="Times New Roman"/>
                <w:sz w:val="20"/>
                <w:szCs w:val="20"/>
                <w:color w:val="auto"/>
              </w:rPr>
              <w:t>The satisfaction of the “Performance Condition” will be [●].</w:t>
            </w:r>
          </w:p>
        </w:tc>
        <w:tc>
          <w:tcPr>
            <w:tcW w:w="0" w:type="dxa"/>
            <w:vAlign w:val="bottom"/>
          </w:tcPr>
          <w:p>
            <w:pPr>
              <w:spacing w:after="0"/>
              <w:rPr>
                <w:sz w:val="1"/>
                <w:szCs w:val="1"/>
                <w:color w:val="auto"/>
              </w:rPr>
            </w:pPr>
          </w:p>
        </w:tc>
      </w:tr>
      <w:tr>
        <w:trPr>
          <w:trHeight w:val="20"/>
        </w:trPr>
        <w:tc>
          <w:tcPr>
            <w:tcW w:w="250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5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7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The number of Performance Stock Units earned and eligible to vest and convert to Shares (the “Earned</w:t>
            </w:r>
          </w:p>
        </w:tc>
        <w:tc>
          <w:tcPr>
            <w:tcW w:w="0" w:type="dxa"/>
            <w:vAlign w:val="bottom"/>
          </w:tcPr>
          <w:p>
            <w:pPr>
              <w:spacing w:after="0"/>
              <w:rPr>
                <w:sz w:val="1"/>
                <w:szCs w:val="1"/>
                <w:color w:val="auto"/>
              </w:rPr>
            </w:pPr>
          </w:p>
        </w:tc>
      </w:tr>
      <w:tr>
        <w:trPr>
          <w:trHeight w:val="20"/>
        </w:trPr>
        <w:tc>
          <w:tcPr>
            <w:tcW w:w="250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00" w:type="dxa"/>
            <w:vAlign w:val="bottom"/>
            <w:tcBorders>
              <w:right w:val="single" w:sz="8" w:color="auto"/>
            </w:tcBorders>
            <w:gridSpan w:val="15"/>
          </w:tcPr>
          <w:p>
            <w:pPr>
              <w:spacing w:after="0" w:line="209" w:lineRule="exact"/>
              <w:rPr>
                <w:sz w:val="20"/>
                <w:szCs w:val="20"/>
                <w:color w:val="auto"/>
              </w:rPr>
            </w:pPr>
            <w:r>
              <w:rPr>
                <w:rFonts w:ascii="Times New Roman" w:cs="Times New Roman" w:eastAsia="Times New Roman" w:hAnsi="Times New Roman"/>
                <w:sz w:val="20"/>
                <w:szCs w:val="20"/>
                <w:color w:val="auto"/>
              </w:rPr>
              <w:t xml:space="preserve">PSUs”) will be equal to (i) the number of Target PSUs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(ii) the Final Performance Goal</w:t>
            </w:r>
          </w:p>
        </w:tc>
        <w:tc>
          <w:tcPr>
            <w:tcW w:w="0" w:type="dxa"/>
            <w:vAlign w:val="bottom"/>
          </w:tcPr>
          <w:p>
            <w:pPr>
              <w:spacing w:after="0"/>
              <w:rPr>
                <w:sz w:val="1"/>
                <w:szCs w:val="1"/>
                <w:color w:val="auto"/>
              </w:rPr>
            </w:pPr>
          </w:p>
        </w:tc>
      </w:tr>
      <w:tr>
        <w:trPr>
          <w:trHeight w:val="20"/>
        </w:trPr>
        <w:tc>
          <w:tcPr>
            <w:tcW w:w="250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7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Achievement Percentage (as defined below).</w:t>
            </w:r>
          </w:p>
        </w:tc>
        <w:tc>
          <w:tcPr>
            <w:tcW w:w="0" w:type="dxa"/>
            <w:vAlign w:val="bottom"/>
          </w:tcPr>
          <w:p>
            <w:pPr>
              <w:spacing w:after="0"/>
              <w:rPr>
                <w:sz w:val="1"/>
                <w:szCs w:val="1"/>
                <w:color w:val="auto"/>
              </w:rPr>
            </w:pPr>
          </w:p>
        </w:tc>
      </w:tr>
      <w:tr>
        <w:trPr>
          <w:trHeight w:val="430"/>
        </w:trPr>
        <w:tc>
          <w:tcPr>
            <w:tcW w:w="25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7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Following the end of the Performance Period, the Committee shall determine, in its sole discretion, whether</w:t>
            </w:r>
          </w:p>
        </w:tc>
        <w:tc>
          <w:tcPr>
            <w:tcW w:w="0" w:type="dxa"/>
            <w:vAlign w:val="bottom"/>
          </w:tcPr>
          <w:p>
            <w:pPr>
              <w:spacing w:after="0"/>
              <w:rPr>
                <w:sz w:val="1"/>
                <w:szCs w:val="1"/>
                <w:color w:val="auto"/>
              </w:rPr>
            </w:pPr>
          </w:p>
        </w:tc>
      </w:tr>
      <w:tr>
        <w:trPr>
          <w:trHeight w:val="258"/>
        </w:trPr>
        <w:tc>
          <w:tcPr>
            <w:tcW w:w="250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w w:val="99"/>
              </w:rPr>
              <w:t>and to what extent the Performance Goals have been satisfied and shall certify such determination in writing.</w:t>
            </w: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50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0"/>
                <w:szCs w:val="20"/>
                <w:b w:val="1"/>
                <w:bCs w:val="1"/>
                <w:color w:val="auto"/>
              </w:rPr>
              <w:t>Performance Goals:</w:t>
            </w:r>
          </w:p>
        </w:tc>
        <w:tc>
          <w:tcPr>
            <w:tcW w:w="60" w:type="dxa"/>
            <w:vAlign w:val="bottom"/>
          </w:tcPr>
          <w:p>
            <w:pPr>
              <w:spacing w:after="0"/>
              <w:rPr>
                <w:sz w:val="17"/>
                <w:szCs w:val="17"/>
                <w:color w:val="auto"/>
              </w:rPr>
            </w:pPr>
          </w:p>
        </w:tc>
        <w:tc>
          <w:tcPr>
            <w:tcW w:w="8700" w:type="dxa"/>
            <w:vAlign w:val="bottom"/>
            <w:tcBorders>
              <w:right w:val="single" w:sz="8" w:color="auto"/>
            </w:tcBorders>
            <w:gridSpan w:val="15"/>
          </w:tcPr>
          <w:p>
            <w:pPr>
              <w:spacing w:after="0" w:line="19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50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0"/>
                <w:szCs w:val="20"/>
                <w:b w:val="1"/>
                <w:bCs w:val="1"/>
                <w:color w:val="auto"/>
              </w:rPr>
              <w:t>Final Performance Goal</w:t>
            </w:r>
          </w:p>
        </w:tc>
        <w:tc>
          <w:tcPr>
            <w:tcW w:w="60" w:type="dxa"/>
            <w:vAlign w:val="bottom"/>
          </w:tcPr>
          <w:p>
            <w:pPr>
              <w:spacing w:after="0"/>
              <w:rPr>
                <w:sz w:val="17"/>
                <w:szCs w:val="17"/>
                <w:color w:val="auto"/>
              </w:rPr>
            </w:pPr>
          </w:p>
        </w:tc>
        <w:tc>
          <w:tcPr>
            <w:tcW w:w="8700" w:type="dxa"/>
            <w:vAlign w:val="bottom"/>
            <w:tcBorders>
              <w:right w:val="single" w:sz="8" w:color="auto"/>
            </w:tcBorders>
            <w:gridSpan w:val="15"/>
          </w:tcPr>
          <w:p>
            <w:pPr>
              <w:spacing w:after="0" w:line="196" w:lineRule="exact"/>
              <w:rPr>
                <w:sz w:val="20"/>
                <w:szCs w:val="20"/>
                <w:color w:val="auto"/>
              </w:rPr>
            </w:pPr>
            <w:r>
              <w:rPr>
                <w:rFonts w:ascii="Times New Roman" w:cs="Times New Roman" w:eastAsia="Times New Roman" w:hAnsi="Times New Roman"/>
                <w:sz w:val="20"/>
                <w:szCs w:val="20"/>
                <w:color w:val="auto"/>
              </w:rPr>
              <w:t>The “Final Performance Goal Achievement Percentage” means [●].</w:t>
            </w:r>
          </w:p>
        </w:tc>
        <w:tc>
          <w:tcPr>
            <w:tcW w:w="0" w:type="dxa"/>
            <w:vAlign w:val="bottom"/>
          </w:tcPr>
          <w:p>
            <w:pPr>
              <w:spacing w:after="0"/>
              <w:rPr>
                <w:sz w:val="1"/>
                <w:szCs w:val="1"/>
                <w:color w:val="auto"/>
              </w:rPr>
            </w:pPr>
          </w:p>
        </w:tc>
      </w:tr>
      <w:tr>
        <w:trPr>
          <w:trHeight w:val="27"/>
        </w:trPr>
        <w:tc>
          <w:tcPr>
            <w:tcW w:w="25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Achievement Percentage:</w:t>
            </w: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500" w:type="dxa"/>
            <w:vAlign w:val="bottom"/>
            <w:tcBorders>
              <w:left w:val="single" w:sz="8" w:color="auto"/>
              <w:right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Borders>
              <w:right w:val="single" w:sz="8" w:color="auto"/>
            </w:tcBorders>
            <w:gridSpan w:val="15"/>
            <w:vMerge w:val="restart"/>
          </w:tcPr>
          <w:p>
            <w:pPr>
              <w:spacing w:after="0"/>
              <w:rPr>
                <w:sz w:val="20"/>
                <w:szCs w:val="20"/>
                <w:color w:val="auto"/>
              </w:rPr>
            </w:pPr>
            <w:r>
              <w:rPr>
                <w:rFonts w:ascii="Times New Roman" w:cs="Times New Roman" w:eastAsia="Times New Roman" w:hAnsi="Times New Roman"/>
                <w:sz w:val="20"/>
                <w:szCs w:val="20"/>
                <w:color w:val="auto"/>
              </w:rPr>
              <w:t>For the avoidance of doubt, in no event shall the Final Performance Achievement Percentage exceed 200%.</w:t>
            </w:r>
          </w:p>
        </w:tc>
        <w:tc>
          <w:tcPr>
            <w:tcW w:w="0" w:type="dxa"/>
            <w:vAlign w:val="bottom"/>
          </w:tcPr>
          <w:p>
            <w:pPr>
              <w:spacing w:after="0"/>
              <w:rPr>
                <w:sz w:val="1"/>
                <w:szCs w:val="1"/>
                <w:color w:val="auto"/>
              </w:rPr>
            </w:pPr>
          </w:p>
        </w:tc>
      </w:tr>
      <w:tr>
        <w:trPr>
          <w:trHeight w:val="257"/>
        </w:trPr>
        <w:tc>
          <w:tcPr>
            <w:tcW w:w="250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Borders>
              <w:right w:val="single" w:sz="8" w:color="auto"/>
            </w:tcBorders>
            <w:gridSpan w:val="1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00" w:type="dxa"/>
            <w:vAlign w:val="bottom"/>
            <w:tcBorders>
              <w:left w:val="single" w:sz="8" w:color="auto"/>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0"/>
                <w:szCs w:val="20"/>
                <w:b w:val="1"/>
                <w:bCs w:val="1"/>
                <w:color w:val="auto"/>
              </w:rPr>
              <w:t>Performance Period:</w:t>
            </w:r>
          </w:p>
        </w:tc>
        <w:tc>
          <w:tcPr>
            <w:tcW w:w="60" w:type="dxa"/>
            <w:vAlign w:val="bottom"/>
          </w:tcPr>
          <w:p>
            <w:pPr>
              <w:spacing w:after="0"/>
              <w:rPr>
                <w:sz w:val="18"/>
                <w:szCs w:val="18"/>
                <w:color w:val="auto"/>
              </w:rPr>
            </w:pPr>
          </w:p>
        </w:tc>
        <w:tc>
          <w:tcPr>
            <w:tcW w:w="8700" w:type="dxa"/>
            <w:vAlign w:val="bottom"/>
            <w:tcBorders>
              <w:right w:val="single" w:sz="8" w:color="auto"/>
            </w:tcBorders>
            <w:gridSpan w:val="15"/>
          </w:tcPr>
          <w:p>
            <w:pPr>
              <w:spacing w:after="0" w:line="209" w:lineRule="exact"/>
              <w:rPr>
                <w:sz w:val="20"/>
                <w:szCs w:val="20"/>
                <w:color w:val="auto"/>
              </w:rPr>
            </w:pPr>
            <w:r>
              <w:rPr>
                <w:rFonts w:ascii="Times New Roman" w:cs="Times New Roman" w:eastAsia="Times New Roman" w:hAnsi="Times New Roman"/>
                <w:sz w:val="20"/>
                <w:szCs w:val="20"/>
                <w:color w:val="auto"/>
              </w:rPr>
              <w:t>The “Performance Period” means [●].</w:t>
            </w:r>
          </w:p>
        </w:tc>
        <w:tc>
          <w:tcPr>
            <w:tcW w:w="0" w:type="dxa"/>
            <w:vAlign w:val="bottom"/>
          </w:tcPr>
          <w:p>
            <w:pPr>
              <w:spacing w:after="0"/>
              <w:rPr>
                <w:sz w:val="1"/>
                <w:szCs w:val="1"/>
                <w:color w:val="auto"/>
              </w:rPr>
            </w:pPr>
          </w:p>
        </w:tc>
      </w:tr>
      <w:tr>
        <w:trPr>
          <w:trHeight w:val="277"/>
        </w:trPr>
        <w:tc>
          <w:tcPr>
            <w:tcW w:w="25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Service Condition:</w:t>
            </w:r>
          </w:p>
        </w:tc>
        <w:tc>
          <w:tcPr>
            <w:tcW w:w="60" w:type="dxa"/>
            <w:vAlign w:val="bottom"/>
          </w:tcPr>
          <w:p>
            <w:pPr>
              <w:spacing w:after="0"/>
              <w:rPr>
                <w:sz w:val="20"/>
                <w:szCs w:val="20"/>
                <w:color w:val="auto"/>
              </w:rPr>
            </w:pPr>
          </w:p>
        </w:tc>
        <w:tc>
          <w:tcPr>
            <w:tcW w:w="87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Except as otherwise provided in Paragraph 4 of Performance Stock Unit Award Agreement, Grantee will</w:t>
            </w:r>
          </w:p>
        </w:tc>
        <w:tc>
          <w:tcPr>
            <w:tcW w:w="0" w:type="dxa"/>
            <w:vAlign w:val="bottom"/>
          </w:tcPr>
          <w:p>
            <w:pPr>
              <w:spacing w:after="0"/>
              <w:rPr>
                <w:sz w:val="1"/>
                <w:szCs w:val="1"/>
                <w:color w:val="auto"/>
              </w:rPr>
            </w:pPr>
          </w:p>
        </w:tc>
      </w:tr>
      <w:tr>
        <w:trPr>
          <w:trHeight w:val="212"/>
        </w:trPr>
        <w:tc>
          <w:tcPr>
            <w:tcW w:w="250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00" w:type="dxa"/>
            <w:vAlign w:val="bottom"/>
            <w:tcBorders>
              <w:right w:val="single" w:sz="8" w:color="auto"/>
            </w:tcBorders>
            <w:gridSpan w:val="15"/>
          </w:tcPr>
          <w:p>
            <w:pPr>
              <w:spacing w:after="0" w:line="212" w:lineRule="exact"/>
              <w:rPr>
                <w:sz w:val="20"/>
                <w:szCs w:val="20"/>
                <w:color w:val="auto"/>
              </w:rPr>
            </w:pPr>
            <w:r>
              <w:rPr>
                <w:rFonts w:ascii="Times New Roman" w:cs="Times New Roman" w:eastAsia="Times New Roman" w:hAnsi="Times New Roman"/>
                <w:sz w:val="20"/>
                <w:szCs w:val="20"/>
                <w:color w:val="auto"/>
              </w:rPr>
              <w:t>satisfy the “Service Condition” applicable to the Earned PSUs on the payment date of the Earned PSUs in</w:t>
            </w:r>
          </w:p>
        </w:tc>
        <w:tc>
          <w:tcPr>
            <w:tcW w:w="0" w:type="dxa"/>
            <w:vAlign w:val="bottom"/>
          </w:tcPr>
          <w:p>
            <w:pPr>
              <w:spacing w:after="0"/>
              <w:rPr>
                <w:sz w:val="1"/>
                <w:szCs w:val="1"/>
                <w:color w:val="auto"/>
              </w:rPr>
            </w:pPr>
          </w:p>
        </w:tc>
      </w:tr>
      <w:tr>
        <w:trPr>
          <w:trHeight w:val="20"/>
        </w:trPr>
        <w:tc>
          <w:tcPr>
            <w:tcW w:w="250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00" w:type="dxa"/>
            <w:vAlign w:val="bottom"/>
            <w:tcBorders>
              <w:right w:val="single" w:sz="8" w:color="auto"/>
            </w:tcBorders>
            <w:gridSpan w:val="15"/>
          </w:tcPr>
          <w:p>
            <w:pPr>
              <w:spacing w:after="0" w:line="209" w:lineRule="exact"/>
              <w:rPr>
                <w:sz w:val="20"/>
                <w:szCs w:val="20"/>
                <w:color w:val="auto"/>
              </w:rPr>
            </w:pPr>
            <w:r>
              <w:rPr>
                <w:rFonts w:ascii="Times New Roman" w:cs="Times New Roman" w:eastAsia="Times New Roman" w:hAnsi="Times New Roman"/>
                <w:sz w:val="20"/>
                <w:szCs w:val="20"/>
                <w:color w:val="auto"/>
              </w:rPr>
              <w:t>accordance with Paragraph 10 of the Performance Stock Unit Award Agreement (the “Service Vesting</w:t>
            </w: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820" w:type="dxa"/>
            <w:vAlign w:val="bottom"/>
            <w:gridSpan w:val="12"/>
          </w:tcPr>
          <w:p>
            <w:pPr>
              <w:spacing w:after="0" w:line="223" w:lineRule="exact"/>
              <w:rPr>
                <w:sz w:val="20"/>
                <w:szCs w:val="20"/>
                <w:color w:val="auto"/>
              </w:rPr>
            </w:pPr>
            <w:r>
              <w:rPr>
                <w:rFonts w:ascii="Times New Roman" w:cs="Times New Roman" w:eastAsia="Times New Roman" w:hAnsi="Times New Roman"/>
                <w:sz w:val="20"/>
                <w:szCs w:val="20"/>
                <w:color w:val="auto"/>
              </w:rPr>
              <w:t>Date”), subject to Grantee’s continued employment or service through such date.</w:t>
            </w:r>
          </w:p>
        </w:tc>
        <w:tc>
          <w:tcPr>
            <w:tcW w:w="1300" w:type="dxa"/>
            <w:vAlign w:val="bottom"/>
            <w:tcBorders>
              <w:top w:val="single" w:sz="8" w:color="auto"/>
            </w:tcBorders>
            <w:gridSpan w:val="2"/>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500" w:type="dxa"/>
            <w:vAlign w:val="bottom"/>
            <w:tcBorders>
              <w:left w:val="single" w:sz="8" w:color="auto"/>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Definitions:</w:t>
            </w:r>
          </w:p>
        </w:tc>
        <w:tc>
          <w:tcPr>
            <w:tcW w:w="60" w:type="dxa"/>
            <w:vAlign w:val="bottom"/>
          </w:tcPr>
          <w:p>
            <w:pPr>
              <w:spacing w:after="0"/>
              <w:rPr>
                <w:sz w:val="22"/>
                <w:szCs w:val="22"/>
                <w:color w:val="auto"/>
              </w:rPr>
            </w:pPr>
          </w:p>
        </w:tc>
        <w:tc>
          <w:tcPr>
            <w:tcW w:w="87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VERSANT MEDIA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(ANNUAL AWARD)</w:t>
      </w:r>
    </w:p>
    <w:p>
      <w:pPr>
        <w:spacing w:after="0" w:line="200" w:lineRule="exact"/>
        <w:rPr>
          <w:sz w:val="20"/>
          <w:szCs w:val="20"/>
          <w:color w:val="auto"/>
        </w:rPr>
      </w:pPr>
    </w:p>
    <w:p>
      <w:pPr>
        <w:ind w:right="880" w:firstLine="1296"/>
        <w:spacing w:after="0" w:line="283" w:lineRule="auto"/>
        <w:rPr>
          <w:sz w:val="20"/>
          <w:szCs w:val="20"/>
          <w:color w:val="auto"/>
        </w:rPr>
      </w:pPr>
      <w:r>
        <w:rPr>
          <w:rFonts w:ascii="Times New Roman" w:cs="Times New Roman" w:eastAsia="Times New Roman" w:hAnsi="Times New Roman"/>
          <w:sz w:val="20"/>
          <w:szCs w:val="20"/>
          <w:color w:val="auto"/>
        </w:rPr>
        <w:t>This Restricted Stock Unit Award Agreement dated as of the Date of Grant (together with all schedules hereto,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by and between Versant Media Group,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Grantee.</w:t>
      </w:r>
    </w:p>
    <w:p>
      <w:pPr>
        <w:spacing w:after="0" w:line="133" w:lineRule="exact"/>
        <w:rPr>
          <w:sz w:val="20"/>
          <w:szCs w:val="20"/>
          <w:color w:val="auto"/>
        </w:rPr>
      </w:pPr>
    </w:p>
    <w:p>
      <w:pPr>
        <w:ind w:right="800" w:firstLine="1304"/>
        <w:spacing w:after="0"/>
        <w:tabs>
          <w:tab w:leader="none" w:pos="1993"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terms have the meanings ascribed to them below. Capitalized terms used in this Agreement but not defined herein have the meanings given to them in the Plan.</w:t>
      </w:r>
    </w:p>
    <w:p>
      <w:pPr>
        <w:spacing w:after="0" w:line="161"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means the award of Restricted Stock Units granted pursuant to this Agreement.</w:t>
      </w:r>
    </w:p>
    <w:p>
      <w:pPr>
        <w:spacing w:after="0" w:line="175" w:lineRule="exact"/>
        <w:rPr>
          <w:rFonts w:ascii="Times New Roman" w:cs="Times New Roman" w:eastAsia="Times New Roman" w:hAnsi="Times New Roman"/>
          <w:sz w:val="20"/>
          <w:szCs w:val="20"/>
          <w:color w:val="auto"/>
        </w:rPr>
      </w:pPr>
    </w:p>
    <w:p>
      <w:pPr>
        <w:ind w:right="120" w:firstLine="1952"/>
        <w:spacing w:after="0" w:line="230" w:lineRule="auto"/>
        <w:tabs>
          <w:tab w:leader="none" w:pos="2629"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has the meaning set forth in Grantee’s employment agreement with the Company, or, if no such agreement exists or such employment agreement has expired or otherwise been terminated prior to such time, then “Cause” has the meaning set forth in the Plan.</w:t>
      </w:r>
    </w:p>
    <w:p>
      <w:pPr>
        <w:spacing w:after="0" w:line="148"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183"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means the grant date identified on the attached Long-Term Incentive Awards Summary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w:t>
      </w:r>
    </w:p>
    <w:p>
      <w:pPr>
        <w:spacing w:after="0" w:line="153" w:lineRule="exact"/>
        <w:rPr>
          <w:rFonts w:ascii="Times New Roman" w:cs="Times New Roman" w:eastAsia="Times New Roman" w:hAnsi="Times New Roman"/>
          <w:sz w:val="20"/>
          <w:szCs w:val="20"/>
          <w:color w:val="auto"/>
        </w:rPr>
      </w:pPr>
    </w:p>
    <w:p>
      <w:pPr>
        <w:ind w:right="260" w:firstLine="1952"/>
        <w:spacing w:after="0"/>
        <w:tabs>
          <w:tab w:leader="none" w:pos="2631"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means the Company, a Participating Company, or any of their respective Affiliates for which Grantee is performing services on the applicable Vesting Date.</w:t>
      </w:r>
    </w:p>
    <w:p>
      <w:pPr>
        <w:spacing w:after="0" w:line="161" w:lineRule="exact"/>
        <w:rPr>
          <w:rFonts w:ascii="Times New Roman" w:cs="Times New Roman" w:eastAsia="Times New Roman" w:hAnsi="Times New Roman"/>
          <w:sz w:val="20"/>
          <w:szCs w:val="20"/>
          <w:color w:val="auto"/>
        </w:rPr>
      </w:pPr>
    </w:p>
    <w:p>
      <w:pPr>
        <w:ind w:right="40" w:firstLine="1952"/>
        <w:spacing w:after="0" w:line="210" w:lineRule="auto"/>
        <w:tabs>
          <w:tab w:leader="none" w:pos="2637"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xml:space="preserve">” has the meaning set forth in Grantee’s employment agreement with the Company, or, if no such agreement exists or such employment agreement has expired or otherwise been terminated prior to such time, then “Good Reason” shall mean the occurrence of any of the following without the prior consent of Grantee (i) an involuntary change in Grantee’s title to one that conveys materially less responsibility or (ii) an involuntary change of Grantee’s primary work location by more than thirty (30) miles;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Grantee has provided the Company with reasonably detailed written notice of such alleged Good Reason event within ninety</w:t>
      </w:r>
    </w:p>
    <w:p>
      <w:pPr>
        <w:spacing w:after="0" w:line="1" w:lineRule="exact"/>
        <w:rPr>
          <w:rFonts w:ascii="Times New Roman" w:cs="Times New Roman" w:eastAsia="Times New Roman" w:hAnsi="Times New Roman"/>
          <w:sz w:val="20"/>
          <w:szCs w:val="20"/>
          <w:color w:val="auto"/>
        </w:rPr>
      </w:pPr>
    </w:p>
    <w:p>
      <w:pPr>
        <w:ind w:right="280" w:firstLine="8"/>
        <w:spacing w:after="0" w:line="228" w:lineRule="auto"/>
        <w:tabs>
          <w:tab w:leader="none" w:pos="37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the occurrence thereof and the Company has failed to remedy such event within the sixty (60)-day period following receipt of such notice].</w:t>
      </w:r>
    </w:p>
    <w:p>
      <w:pPr>
        <w:spacing w:after="0" w:line="148" w:lineRule="exact"/>
        <w:rPr>
          <w:rFonts w:ascii="Times New Roman" w:cs="Times New Roman" w:eastAsia="Times New Roman" w:hAnsi="Times New Roman"/>
          <w:sz w:val="20"/>
          <w:szCs w:val="20"/>
          <w:color w:val="auto"/>
        </w:rPr>
      </w:pPr>
    </w:p>
    <w:p>
      <w:pPr>
        <w:ind w:right="260" w:firstLine="1952"/>
        <w:spacing w:after="0"/>
        <w:tabs>
          <w:tab w:leader="none" w:pos="2629"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means the individual to whom this Award has been granted as identified on the attached Long-Term Incentive Awards Summary Schedule.</w:t>
      </w:r>
    </w:p>
    <w:p>
      <w:pPr>
        <w:spacing w:after="0" w:line="161" w:lineRule="exact"/>
        <w:rPr>
          <w:rFonts w:ascii="Times New Roman" w:cs="Times New Roman" w:eastAsia="Times New Roman" w:hAnsi="Times New Roman"/>
          <w:sz w:val="20"/>
          <w:szCs w:val="20"/>
          <w:color w:val="auto"/>
        </w:rPr>
      </w:pPr>
    </w:p>
    <w:p>
      <w:pPr>
        <w:ind w:right="300" w:firstLine="1952"/>
        <w:spacing w:after="0" w:line="233" w:lineRule="auto"/>
        <w:tabs>
          <w:tab w:leader="none" w:pos="2629"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Long-Term Incentive Awards Summary Schedule</w:t>
      </w:r>
      <w:r>
        <w:rPr>
          <w:rFonts w:ascii="Times New Roman" w:cs="Times New Roman" w:eastAsia="Times New Roman" w:hAnsi="Times New Roman"/>
          <w:sz w:val="20"/>
          <w:szCs w:val="20"/>
          <w:color w:val="auto"/>
        </w:rPr>
        <w:t>” means the schedule attached hereto, which sets forth specific information relating to the grant and vesting of this Award (including the Service Condition applicable to this Award).</w:t>
      </w:r>
    </w:p>
    <w:p>
      <w:pPr>
        <w:spacing w:after="0" w:line="160" w:lineRule="exact"/>
        <w:rPr>
          <w:rFonts w:ascii="Times New Roman" w:cs="Times New Roman" w:eastAsia="Times New Roman" w:hAnsi="Times New Roman"/>
          <w:sz w:val="20"/>
          <w:szCs w:val="20"/>
          <w:color w:val="auto"/>
        </w:rPr>
      </w:pPr>
    </w:p>
    <w:p>
      <w:pPr>
        <w:ind w:right="40" w:firstLine="1952"/>
        <w:spacing w:after="0" w:line="233" w:lineRule="auto"/>
        <w:tabs>
          <w:tab w:leader="none" w:pos="2639"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the Versant Media Group, Inc. Omnibus Equity Incentive Plan (as amended from time to time and including any successor plan thereto), which is incorporated herein by reference.</w:t>
      </w:r>
    </w:p>
    <w:p>
      <w:pPr>
        <w:spacing w:after="0" w:line="160" w:lineRule="exact"/>
        <w:rPr>
          <w:rFonts w:ascii="Times New Roman" w:cs="Times New Roman" w:eastAsia="Times New Roman" w:hAnsi="Times New Roman"/>
          <w:sz w:val="20"/>
          <w:szCs w:val="20"/>
          <w:color w:val="auto"/>
        </w:rPr>
      </w:pPr>
    </w:p>
    <w:p>
      <w:pPr>
        <w:ind w:right="160" w:firstLine="1952"/>
        <w:spacing w:after="0"/>
        <w:tabs>
          <w:tab w:leader="none" w:pos="2639"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means, with respect to each Restricted Stock Unit, the period beginning on the Date of Grant and ending on the applicable Vesting Date.</w:t>
      </w:r>
    </w:p>
    <w:p>
      <w:pPr>
        <w:spacing w:after="0" w:line="147" w:lineRule="exact"/>
        <w:rPr>
          <w:rFonts w:ascii="Times New Roman" w:cs="Times New Roman" w:eastAsia="Times New Roman" w:hAnsi="Times New Roman"/>
          <w:sz w:val="20"/>
          <w:szCs w:val="20"/>
          <w:color w:val="auto"/>
        </w:rPr>
      </w:pPr>
    </w:p>
    <w:p>
      <w:pPr>
        <w:ind w:right="80" w:firstLine="1952"/>
        <w:spacing w:after="0"/>
        <w:tabs>
          <w:tab w:leader="none" w:pos="2629"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means the Restricted Stock Units subject to Service Conditions granted to Grantee pursuant to this Agreement, as set forth in the Long-Term Incentive Awards Summary Schedule attached hereto.</w:t>
      </w:r>
    </w:p>
    <w:p>
      <w:pPr>
        <w:spacing w:after="0" w:line="161" w:lineRule="exact"/>
        <w:rPr>
          <w:rFonts w:ascii="Times New Roman" w:cs="Times New Roman" w:eastAsia="Times New Roman" w:hAnsi="Times New Roman"/>
          <w:sz w:val="20"/>
          <w:szCs w:val="20"/>
          <w:color w:val="auto"/>
        </w:rPr>
      </w:pPr>
    </w:p>
    <w:p>
      <w:pPr>
        <w:ind w:right="480" w:firstLine="1952"/>
        <w:spacing w:after="0" w:line="233" w:lineRule="auto"/>
        <w:tabs>
          <w:tab w:leader="none" w:pos="2639"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 Termination</w:t>
      </w:r>
      <w:r>
        <w:rPr>
          <w:rFonts w:ascii="Times New Roman" w:cs="Times New Roman" w:eastAsia="Times New Roman" w:hAnsi="Times New Roman"/>
          <w:sz w:val="20"/>
          <w:szCs w:val="20"/>
          <w:color w:val="auto"/>
        </w:rPr>
        <w:t>” means Grantee’s Termination of Service for any reason other than (i) due to Grantee’s death or Disability or (ii) by the applicable Participating</w:t>
      </w:r>
    </w:p>
    <w:p>
      <w:pPr>
        <w:sectPr>
          <w:pgSz w:w="11900" w:h="16838" w:orient="portrait"/>
          <w:cols w:equalWidth="0" w:num="1">
            <w:col w:w="11240"/>
          </w:cols>
          <w:pgMar w:left="320" w:top="120"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color w:val="auto"/>
        </w:rPr>
        <w:t>Company for Cause, in each case after Grantee has (A) reached age sixty-two (62) and (B) completed ten (10) or more Years of Service</w:t>
      </w:r>
    </w:p>
    <w:p>
      <w:pPr>
        <w:ind w:right="500"/>
        <w:spacing w:after="0" w:line="221" w:lineRule="auto"/>
        <w:rPr>
          <w:sz w:val="20"/>
          <w:szCs w:val="20"/>
          <w:color w:val="auto"/>
        </w:rPr>
      </w:pPr>
      <w:r>
        <w:rPr>
          <w:rFonts w:ascii="Times New Roman" w:cs="Times New Roman" w:eastAsia="Times New Roman" w:hAnsi="Times New Roman"/>
          <w:sz w:val="20"/>
          <w:szCs w:val="20"/>
          <w:color w:val="auto"/>
        </w:rPr>
        <w:t>(provided that Grantee has completed at least three (3) years of continuous service with the Company and its Subsidiaries following the Effective Date, as reflected in the personnel records of the Company and the applicable Participating Company).</w:t>
      </w:r>
    </w:p>
    <w:p>
      <w:pPr>
        <w:spacing w:after="0" w:line="162" w:lineRule="exact"/>
        <w:rPr>
          <w:sz w:val="20"/>
          <w:szCs w:val="20"/>
          <w:color w:val="auto"/>
        </w:rPr>
      </w:pPr>
    </w:p>
    <w:p>
      <w:pPr>
        <w:ind w:left="2640" w:hanging="688"/>
        <w:spacing w:after="0"/>
        <w:tabs>
          <w:tab w:leader="none" w:pos="26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16b-3</w:t>
      </w:r>
      <w:r>
        <w:rPr>
          <w:rFonts w:ascii="Times New Roman" w:cs="Times New Roman" w:eastAsia="Times New Roman" w:hAnsi="Times New Roman"/>
          <w:sz w:val="20"/>
          <w:szCs w:val="20"/>
          <w:color w:val="auto"/>
        </w:rPr>
        <w:t>” means Rule 16b-3 promulgated under the 1934 Act, as in effect from time to time.</w:t>
      </w:r>
    </w:p>
    <w:p>
      <w:pPr>
        <w:spacing w:after="0" w:line="169"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Condition</w:t>
      </w:r>
      <w:r>
        <w:rPr>
          <w:rFonts w:ascii="Times New Roman" w:cs="Times New Roman" w:eastAsia="Times New Roman" w:hAnsi="Times New Roman"/>
          <w:sz w:val="20"/>
          <w:szCs w:val="20"/>
          <w:color w:val="auto"/>
        </w:rPr>
        <w:t>” has the meaning set forth on the attached Long-Term Incentive Awards Summary</w:t>
      </w:r>
    </w:p>
    <w:p>
      <w:pPr>
        <w:spacing w:after="0"/>
        <w:rPr>
          <w:sz w:val="20"/>
          <w:szCs w:val="20"/>
          <w:color w:val="auto"/>
        </w:rPr>
      </w:pPr>
      <w:r>
        <w:rPr>
          <w:rFonts w:ascii="Times New Roman" w:cs="Times New Roman" w:eastAsia="Times New Roman" w:hAnsi="Times New Roman"/>
          <w:sz w:val="20"/>
          <w:szCs w:val="20"/>
          <w:color w:val="auto"/>
        </w:rPr>
        <w:t>Schedule.</w:t>
      </w:r>
    </w:p>
    <w:p>
      <w:pPr>
        <w:spacing w:after="0" w:line="161" w:lineRule="exact"/>
        <w:rPr>
          <w:sz w:val="20"/>
          <w:szCs w:val="20"/>
          <w:color w:val="auto"/>
        </w:rPr>
      </w:pPr>
    </w:p>
    <w:p>
      <w:pPr>
        <w:ind w:left="2640" w:hanging="688"/>
        <w:spacing w:after="0"/>
        <w:tabs>
          <w:tab w:leader="none" w:pos="26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Vesting Date</w:t>
      </w:r>
      <w:r>
        <w:rPr>
          <w:rFonts w:ascii="Times New Roman" w:cs="Times New Roman" w:eastAsia="Times New Roman" w:hAnsi="Times New Roman"/>
          <w:sz w:val="20"/>
          <w:szCs w:val="20"/>
          <w:color w:val="auto"/>
        </w:rPr>
        <w:t>” has the meaning set forth on the attached Long-Term Incentive Awards Summary</w:t>
      </w:r>
    </w:p>
    <w:p>
      <w:pPr>
        <w:spacing w:after="0"/>
        <w:rPr>
          <w:sz w:val="20"/>
          <w:szCs w:val="20"/>
          <w:color w:val="auto"/>
        </w:rPr>
      </w:pPr>
      <w:r>
        <w:rPr>
          <w:rFonts w:ascii="Times New Roman" w:cs="Times New Roman" w:eastAsia="Times New Roman" w:hAnsi="Times New Roman"/>
          <w:sz w:val="20"/>
          <w:szCs w:val="20"/>
          <w:color w:val="auto"/>
        </w:rPr>
        <w:t>Schedule.</w:t>
      </w:r>
    </w:p>
    <w:p>
      <w:pPr>
        <w:spacing w:after="0" w:line="153" w:lineRule="exact"/>
        <w:rPr>
          <w:sz w:val="20"/>
          <w:szCs w:val="20"/>
          <w:color w:val="auto"/>
        </w:rPr>
      </w:pPr>
    </w:p>
    <w:p>
      <w:pPr>
        <w:ind w:left="2640" w:hanging="688"/>
        <w:spacing w:after="0"/>
        <w:tabs>
          <w:tab w:leader="none" w:pos="264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mean shares of the Company’s Class A Common Stock, par value $0.01 per share.</w:t>
      </w:r>
    </w:p>
    <w:p>
      <w:pPr>
        <w:spacing w:after="0" w:line="188" w:lineRule="exact"/>
        <w:rPr>
          <w:rFonts w:ascii="Times New Roman" w:cs="Times New Roman" w:eastAsia="Times New Roman" w:hAnsi="Times New Roman"/>
          <w:sz w:val="20"/>
          <w:szCs w:val="20"/>
          <w:color w:val="auto"/>
        </w:rPr>
      </w:pPr>
    </w:p>
    <w:p>
      <w:pPr>
        <w:jc w:val="both"/>
        <w:ind w:right="200" w:firstLine="1952"/>
        <w:spacing w:after="0" w:line="266" w:lineRule="auto"/>
        <w:tabs>
          <w:tab w:leader="none" w:pos="2629"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Vesting Date</w:t>
      </w:r>
      <w:r>
        <w:rPr>
          <w:rFonts w:ascii="Times New Roman" w:cs="Times New Roman" w:eastAsia="Times New Roman" w:hAnsi="Times New Roman"/>
          <w:sz w:val="19"/>
          <w:szCs w:val="19"/>
          <w:color w:val="auto"/>
        </w:rPr>
        <w:t>” means the date(s) on which the Service Condition applicable to any Restricted Stock Units is satisfied (or deemed satisfied) pursuant to the terms of this Agreement (including the Long-Term Incentive Awards Summary Schedule).</w:t>
      </w:r>
    </w:p>
    <w:p>
      <w:pPr>
        <w:spacing w:after="0" w:line="123" w:lineRule="exact"/>
        <w:rPr>
          <w:rFonts w:ascii="Times New Roman" w:cs="Times New Roman" w:eastAsia="Times New Roman" w:hAnsi="Times New Roman"/>
          <w:sz w:val="19"/>
          <w:szCs w:val="19"/>
          <w:color w:val="auto"/>
        </w:rPr>
      </w:pPr>
    </w:p>
    <w:p>
      <w:pPr>
        <w:ind w:right="20" w:firstLine="1952"/>
        <w:spacing w:after="0" w:line="222" w:lineRule="auto"/>
        <w:tabs>
          <w:tab w:leader="none" w:pos="2637"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Years of Service</w:t>
      </w:r>
      <w:r>
        <w:rPr>
          <w:rFonts w:ascii="Times New Roman" w:cs="Times New Roman" w:eastAsia="Times New Roman" w:hAnsi="Times New Roman"/>
          <w:sz w:val="20"/>
          <w:szCs w:val="20"/>
          <w:color w:val="auto"/>
        </w:rPr>
        <w:t>” means completed continuous years of service, as reflected in the personnel records of the Company and the applicable Participating Company. For the avoidance of doubt, other than as specifically set forth in Paragraph 1(m), any period of service with Comcast Corporation (“</w:t>
      </w:r>
      <w:r>
        <w:rPr>
          <w:rFonts w:ascii="Times New Roman" w:cs="Times New Roman" w:eastAsia="Times New Roman" w:hAnsi="Times New Roman"/>
          <w:sz w:val="20"/>
          <w:szCs w:val="20"/>
          <w:u w:val="single" w:color="auto"/>
          <w:color w:val="auto"/>
        </w:rPr>
        <w:t>Comcast</w:t>
      </w:r>
      <w:r>
        <w:rPr>
          <w:rFonts w:ascii="Times New Roman" w:cs="Times New Roman" w:eastAsia="Times New Roman" w:hAnsi="Times New Roman"/>
          <w:sz w:val="20"/>
          <w:szCs w:val="20"/>
          <w:color w:val="auto"/>
        </w:rPr>
        <w:t>”) or any of its subsidiaries or affiliates prior to the occurrence of the spin-off distribution of the Company from Comcast shall be counted towards “Years of Service” for purposes of this Award.</w:t>
      </w:r>
    </w:p>
    <w:p>
      <w:pPr>
        <w:spacing w:after="0" w:line="161"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1934 Act</w:t>
      </w:r>
      <w:r>
        <w:rPr>
          <w:rFonts w:ascii="Times New Roman" w:cs="Times New Roman" w:eastAsia="Times New Roman" w:hAnsi="Times New Roman"/>
          <w:sz w:val="20"/>
          <w:szCs w:val="20"/>
          <w:color w:val="auto"/>
        </w:rPr>
        <w:t>” means the Securities Exchange Act of 1934, as amended.</w:t>
      </w:r>
    </w:p>
    <w:p>
      <w:pPr>
        <w:spacing w:after="0" w:line="188" w:lineRule="exact"/>
        <w:rPr>
          <w:rFonts w:ascii="Times New Roman" w:cs="Times New Roman" w:eastAsia="Times New Roman" w:hAnsi="Times New Roman"/>
          <w:sz w:val="20"/>
          <w:szCs w:val="20"/>
          <w:color w:val="auto"/>
        </w:rPr>
      </w:pPr>
    </w:p>
    <w:p>
      <w:pPr>
        <w:ind w:left="2000" w:hanging="696"/>
        <w:spacing w:after="0"/>
        <w:tabs>
          <w:tab w:leader="none" w:pos="200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Restricted Stock Units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right="20" w:firstLine="1952"/>
        <w:spacing w:after="0" w:line="237" w:lineRule="auto"/>
        <w:tabs>
          <w:tab w:leader="none" w:pos="2631"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hereby grants to Grantee the Restricted Stock Units. Each Restricted Stock Unit represents the right to receive one Share, subject to the terms and conditions set forth in this Agreement (including the Long-Term Incentive Awards Summary Schedule, which is incorporated by reference herein) and in the Plan, including the satisfaction of the applicable Service Condition.</w:t>
      </w:r>
    </w:p>
    <w:p>
      <w:pPr>
        <w:spacing w:after="0" w:line="157" w:lineRule="exact"/>
        <w:rPr>
          <w:rFonts w:ascii="Times New Roman" w:cs="Times New Roman" w:eastAsia="Times New Roman" w:hAnsi="Times New Roman"/>
          <w:sz w:val="19"/>
          <w:szCs w:val="19"/>
          <w:color w:val="auto"/>
        </w:rPr>
      </w:pPr>
    </w:p>
    <w:p>
      <w:pPr>
        <w:ind w:left="2640" w:hanging="688"/>
        <w:spacing w:after="0"/>
        <w:tabs>
          <w:tab w:leader="none" w:pos="264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409A of the Code (together with the regulations and guidance promulgated thereunder,</w:t>
      </w:r>
    </w:p>
    <w:p>
      <w:pPr>
        <w:ind w:right="180"/>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to the extent applicable, the Company reserves the right to replace the Restricted Stock Units, to the extent not yet vested, with other compensation of comparable value, terms and conditions if, before the Vesting Date, the Company determines that in connection</w:t>
      </w:r>
    </w:p>
    <w:p>
      <w:pPr>
        <w:ind w:right="160"/>
        <w:spacing w:after="0" w:line="228" w:lineRule="auto"/>
        <w:rPr>
          <w:sz w:val="20"/>
          <w:szCs w:val="20"/>
          <w:color w:val="auto"/>
        </w:rPr>
      </w:pPr>
      <w:r>
        <w:rPr>
          <w:rFonts w:ascii="Times New Roman" w:cs="Times New Roman" w:eastAsia="Times New Roman" w:hAnsi="Times New Roman"/>
          <w:sz w:val="20"/>
          <w:szCs w:val="20"/>
          <w:color w:val="auto"/>
        </w:rPr>
        <w:t>with Grantee’s transfer to a location different from Grantee’s principal place of business on the Date of Grant, local regulatory requirements render Grantee’s continued holding of the unvested Restricted Stock Units impracticable.</w:t>
      </w:r>
    </w:p>
    <w:p>
      <w:pPr>
        <w:spacing w:after="0" w:line="149" w:lineRule="exact"/>
        <w:rPr>
          <w:sz w:val="20"/>
          <w:szCs w:val="20"/>
          <w:color w:val="auto"/>
        </w:rPr>
      </w:pPr>
    </w:p>
    <w:p>
      <w:pPr>
        <w:ind w:left="2000" w:hanging="696"/>
        <w:spacing w:after="0"/>
        <w:tabs>
          <w:tab w:leader="none" w:pos="20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952"/>
        <w:spacing w:after="0" w:line="222" w:lineRule="auto"/>
        <w:tabs>
          <w:tab w:leader="none" w:pos="2631"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Units are granted with dividend equivalent rights. If the Company declares a cash dividend on the Shares, an amount equivalent to such dividend will be credited to an unfunded bookkeeping account on the dividend payment date with respect to each Restricted Stock Unit that is outstanding and unvested as of the record date of such dividend (the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Equivalent Amount</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160" w:firstLine="1952"/>
        <w:spacing w:after="0" w:line="226" w:lineRule="auto"/>
        <w:tabs>
          <w:tab w:leader="none" w:pos="2629"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Dividend Equivalent Amount will be credited as cash, without interest, and, unless otherwise determined by the Committee, will not be converted to Shares. The Dividend Equivalent Amount will be payable in cash, but subject to and only upon the applicable Vesting</w:t>
      </w:r>
    </w:p>
    <w:p>
      <w:pPr>
        <w:sectPr>
          <w:pgSz w:w="11900" w:h="16838" w:orient="portrait"/>
          <w:cols w:equalWidth="0" w:num="1">
            <w:col w:w="11240"/>
          </w:cols>
          <w:pgMar w:left="320" w:top="139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color w:val="auto"/>
        </w:rPr>
        <w:t>Date(s) of the underlying Restricted Stock Units as determined in accordance with Paragraph 4, and will be cancelled and forfeited if the</w:t>
      </w:r>
    </w:p>
    <w:p>
      <w:pPr>
        <w:ind w:right="460"/>
        <w:spacing w:after="0" w:line="221" w:lineRule="auto"/>
        <w:rPr>
          <w:sz w:val="20"/>
          <w:szCs w:val="20"/>
          <w:color w:val="auto"/>
        </w:rPr>
      </w:pPr>
      <w:r>
        <w:rPr>
          <w:rFonts w:ascii="Times New Roman" w:cs="Times New Roman" w:eastAsia="Times New Roman" w:hAnsi="Times New Roman"/>
          <w:sz w:val="20"/>
          <w:szCs w:val="20"/>
          <w:color w:val="auto"/>
        </w:rPr>
        <w:t>underlying Restricted Stock Units are cancelled or forfeited (including as a result of failing to satisfy the applicable Service Condition), determined in accordance with Paragraph 5.</w:t>
      </w:r>
    </w:p>
    <w:p>
      <w:pPr>
        <w:spacing w:after="0" w:line="162" w:lineRule="exact"/>
        <w:rPr>
          <w:sz w:val="20"/>
          <w:szCs w:val="20"/>
          <w:color w:val="auto"/>
        </w:rPr>
      </w:pPr>
    </w:p>
    <w:p>
      <w:pPr>
        <w:ind w:left="2000" w:hanging="696"/>
        <w:spacing w:after="0"/>
        <w:tabs>
          <w:tab w:leader="none" w:pos="20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Restricted Stock Units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right="140" w:firstLine="1952"/>
        <w:spacing w:after="0" w:line="217" w:lineRule="auto"/>
        <w:tabs>
          <w:tab w:leader="none" w:pos="2631"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in this Agreement and in the Plan, the Restricted Stock Units shall vest in accordance with the terms and conditions set forth on the attached Long-Term Incentive Awards Summary Schedule;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on the applicable Vesting Date, Grantee is, and has from the Date of Grant continuously been, an employee of a Participating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during the Restricted Period. As of the applicable Vesting Date, Grantee shall be entitled to the delivery of Shares with respect to the applicable Restricted Stock Units.</w:t>
      </w:r>
    </w:p>
    <w:p>
      <w:pPr>
        <w:spacing w:after="0" w:line="161" w:lineRule="exact"/>
        <w:rPr>
          <w:rFonts w:ascii="Times New Roman" w:cs="Times New Roman" w:eastAsia="Times New Roman" w:hAnsi="Times New Roman"/>
          <w:sz w:val="20"/>
          <w:szCs w:val="20"/>
          <w:color w:val="auto"/>
        </w:rPr>
      </w:pPr>
    </w:p>
    <w:p>
      <w:pPr>
        <w:ind w:right="360" w:firstLine="1952"/>
        <w:spacing w:after="0"/>
        <w:tabs>
          <w:tab w:leader="none" w:pos="2629"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Paragraph 4(a), the Service Condition applicable to the Restricted Stock Units shall be deemed fully satisfied upon Grantee’s Termination of Service due to Grantee’s death or Disability.</w:t>
      </w:r>
    </w:p>
    <w:p>
      <w:pPr>
        <w:spacing w:after="0" w:line="147" w:lineRule="exact"/>
        <w:rPr>
          <w:rFonts w:ascii="Times New Roman" w:cs="Times New Roman" w:eastAsia="Times New Roman" w:hAnsi="Times New Roman"/>
          <w:sz w:val="20"/>
          <w:szCs w:val="20"/>
          <w:color w:val="auto"/>
        </w:rPr>
      </w:pPr>
    </w:p>
    <w:p>
      <w:pPr>
        <w:ind w:firstLine="1952"/>
        <w:spacing w:after="0" w:line="222" w:lineRule="auto"/>
        <w:tabs>
          <w:tab w:leader="none" w:pos="2631"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Paragraph 4(a)[, and subject to the obligations described in Paragraph 4(d),] in the event of Grantee’s Retirement Termination, the Restricted Stock Units shall remain outstanding and continue to vest on the originally scheduled Service Vesting Dates in accordance with the terms and conditions set forth on the attached Long-Term Incentive Awards Summary Schedule as if Grantee remained in continuous employment through each such applicable Service Vesting Date.</w:t>
      </w:r>
    </w:p>
    <w:p>
      <w:pPr>
        <w:spacing w:after="0" w:line="161" w:lineRule="exact"/>
        <w:rPr>
          <w:rFonts w:ascii="Times New Roman" w:cs="Times New Roman" w:eastAsia="Times New Roman" w:hAnsi="Times New Roman"/>
          <w:sz w:val="20"/>
          <w:szCs w:val="20"/>
          <w:color w:val="auto"/>
        </w:rPr>
      </w:pPr>
    </w:p>
    <w:p>
      <w:pPr>
        <w:ind w:right="100" w:firstLine="1952"/>
        <w:spacing w:after="0" w:line="226" w:lineRule="auto"/>
        <w:tabs>
          <w:tab w:leader="none" w:pos="2629"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Paragraph 4(b) or Paragraph 4(c), the Restricted Stock Units will be subject to forfeiture, in the Committee’s sole discretion, if Grantee breaches either of the following non-solicitation or non-competition obligations during the period following Grantee’s Termination of Service and before the applicable Vesting Date:</w:t>
      </w:r>
    </w:p>
    <w:p>
      <w:pPr>
        <w:spacing w:after="0" w:line="160" w:lineRule="exact"/>
        <w:rPr>
          <w:rFonts w:ascii="Times New Roman" w:cs="Times New Roman" w:eastAsia="Times New Roman" w:hAnsi="Times New Roman"/>
          <w:sz w:val="20"/>
          <w:szCs w:val="20"/>
          <w:color w:val="auto"/>
        </w:rPr>
      </w:pPr>
    </w:p>
    <w:p>
      <w:pPr>
        <w:ind w:right="80" w:firstLine="2924"/>
        <w:spacing w:after="0" w:line="226" w:lineRule="auto"/>
        <w:tabs>
          <w:tab w:leader="none" w:pos="3277"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shall not, directly or indirectly, solicit, induce, encourage or attempt to influence any customer, employee, consultant, independent contractor, service provider or supplier of the Company or any Participating Company to cease to do business or to terminate the employment or other relationship with the Company or any Participating Company.</w:t>
      </w:r>
    </w:p>
    <w:p>
      <w:pPr>
        <w:spacing w:after="0" w:line="160" w:lineRule="exact"/>
        <w:rPr>
          <w:rFonts w:ascii="Times New Roman" w:cs="Times New Roman" w:eastAsia="Times New Roman" w:hAnsi="Times New Roman"/>
          <w:sz w:val="20"/>
          <w:szCs w:val="20"/>
          <w:color w:val="auto"/>
        </w:rPr>
      </w:pPr>
    </w:p>
    <w:p>
      <w:pPr>
        <w:ind w:firstLine="2924"/>
        <w:spacing w:after="0" w:line="224" w:lineRule="auto"/>
        <w:tabs>
          <w:tab w:leader="none" w:pos="3277" w:val="left"/>
        </w:tabs>
        <w:numPr>
          <w:ilvl w:val="2"/>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Service[;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nothing in this Paragraph 4(d)(2) shall prevent Grantee from engaging in the practice of law].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162" w:lineRule="exact"/>
        <w:rPr>
          <w:rFonts w:ascii="Times New Roman" w:cs="Times New Roman" w:eastAsia="Times New Roman" w:hAnsi="Times New Roman"/>
          <w:sz w:val="19"/>
          <w:szCs w:val="19"/>
          <w:color w:val="auto"/>
        </w:rPr>
      </w:pPr>
    </w:p>
    <w:p>
      <w:pPr>
        <w:ind w:left="2000" w:hanging="696"/>
        <w:spacing w:after="0"/>
        <w:tabs>
          <w:tab w:leader="none" w:pos="20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of Restricted Stock Units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right="320" w:firstLine="1952"/>
        <w:spacing w:after="0" w:line="222" w:lineRule="auto"/>
        <w:tabs>
          <w:tab w:leader="none" w:pos="2631"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in this Agreement and in the Plan, in the event of Grantee’s Termination of Service during the Restricted Period, except as otherwise specifically set forth in Paragraph 4, Grantee shall forfeit the Restricted Stock Units effective as of such Termination of Service. Upon a forfeiture of the Restricted Stock Units as provided in this Paragraph 5, the Restricted Stock Units shall be deemed automatically canceled.</w:t>
      </w:r>
    </w:p>
    <w:p>
      <w:pPr>
        <w:spacing w:after="0" w:line="161" w:lineRule="exact"/>
        <w:rPr>
          <w:rFonts w:ascii="Times New Roman" w:cs="Times New Roman" w:eastAsia="Times New Roman" w:hAnsi="Times New Roman"/>
          <w:sz w:val="20"/>
          <w:szCs w:val="20"/>
          <w:color w:val="auto"/>
        </w:rPr>
      </w:pPr>
    </w:p>
    <w:p>
      <w:pPr>
        <w:ind w:right="40" w:firstLine="1952"/>
        <w:spacing w:after="0"/>
        <w:tabs>
          <w:tab w:leader="none" w:pos="2629"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Paragraph 5(a) shall not apply to Shares issued in respect of the Restricted Stock Units as to which a Vesting Date has occurred.</w:t>
      </w:r>
    </w:p>
    <w:p>
      <w:pPr>
        <w:sectPr>
          <w:pgSz w:w="11900" w:h="16838" w:orient="portrait"/>
          <w:cols w:equalWidth="0" w:num="1">
            <w:col w:w="11200"/>
          </w:cols>
          <w:pgMar w:left="320" w:top="1394" w:right="379" w:bottom="1440" w:gutter="0" w:footer="0" w:header="0"/>
        </w:sectPr>
      </w:pPr>
    </w:p>
    <w:bookmarkStart w:id="131" w:name="page132"/>
    <w:bookmarkEnd w:id="131"/>
    <w:p>
      <w:pPr>
        <w:ind w:left="2000" w:hanging="696"/>
        <w:spacing w:after="0"/>
        <w:tabs>
          <w:tab w:leader="none" w:pos="20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the foregoing and any other provisions of the Plan to the contrary, in the event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 Change in Control:</w:t>
      </w:r>
    </w:p>
    <w:p>
      <w:pPr>
        <w:spacing w:after="0" w:line="153" w:lineRule="exact"/>
        <w:rPr>
          <w:rFonts w:ascii="Times New Roman" w:cs="Times New Roman" w:eastAsia="Times New Roman" w:hAnsi="Times New Roman"/>
          <w:sz w:val="20"/>
          <w:szCs w:val="20"/>
          <w:color w:val="auto"/>
        </w:rPr>
      </w:pPr>
    </w:p>
    <w:p>
      <w:pPr>
        <w:ind w:right="60" w:firstLine="1952"/>
        <w:spacing w:after="0" w:line="218" w:lineRule="auto"/>
        <w:tabs>
          <w:tab w:leader="none" w:pos="2631"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this Award is assumed or substituted in connection with such Change in Control in accordance with Section 14 of the Plan, then in the event Grantee experiences a Termination of Service by the Company (or the acquiring entity or its Affiliates) without Cause [or by Grantee for Good Reason, in each case] within the three (3)-month period immediately preceding such Change in Control or the twenty-four (24) month period immediately following such Change in Control, then the Restricted Stock Units will fully vest as of the date of such Termination of Service;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Grantee delivers to the Company, and does not revoke, a signed release of claims acceptable to the Company in the period prescribed by the Company; and</w:t>
      </w:r>
    </w:p>
    <w:p>
      <w:pPr>
        <w:spacing w:after="0" w:line="150" w:lineRule="exact"/>
        <w:rPr>
          <w:rFonts w:ascii="Times New Roman" w:cs="Times New Roman" w:eastAsia="Times New Roman" w:hAnsi="Times New Roman"/>
          <w:sz w:val="20"/>
          <w:szCs w:val="20"/>
          <w:color w:val="auto"/>
        </w:rPr>
      </w:pPr>
    </w:p>
    <w:p>
      <w:pPr>
        <w:ind w:right="260" w:firstLine="1952"/>
        <w:spacing w:after="0"/>
        <w:tabs>
          <w:tab w:leader="none" w:pos="2629"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this Award is not assumed or substituted in connection with such Change in Control in accordance with Section 14 of the Plan, then the Restricted Stock Units will fully vest as of the date of such Change in Control.</w:t>
      </w:r>
    </w:p>
    <w:p>
      <w:pPr>
        <w:spacing w:after="0" w:line="161" w:lineRule="exact"/>
        <w:rPr>
          <w:rFonts w:ascii="Times New Roman" w:cs="Times New Roman" w:eastAsia="Times New Roman" w:hAnsi="Times New Roman"/>
          <w:sz w:val="20"/>
          <w:szCs w:val="20"/>
          <w:color w:val="auto"/>
        </w:rPr>
      </w:pPr>
    </w:p>
    <w:p>
      <w:pPr>
        <w:ind w:right="20" w:firstLine="1304"/>
        <w:spacing w:after="0" w:line="216" w:lineRule="auto"/>
        <w:tabs>
          <w:tab w:leader="none" w:pos="199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Award</w:t>
      </w:r>
      <w:r>
        <w:rPr>
          <w:rFonts w:ascii="Times New Roman" w:cs="Times New Roman" w:eastAsia="Times New Roman" w:hAnsi="Times New Roman"/>
          <w:sz w:val="20"/>
          <w:szCs w:val="20"/>
          <w:color w:val="auto"/>
        </w:rPr>
        <w:t>. Except as otherwise provided by the Committee, unless and until Grantee has become the holder of record of the Shares issuable hereunder, the Award and any Restricted Stock Units hereunder may not be transferred or assigned by Grantee other than by will or the laws of descent and distribution or be exercised during his or her life other than by Grantee or for his benefit by his attorney-in-fact or guardian. Any attempt at assignment, transfer, pledge or disposition of any Restricted Stock Units contrary to the provisions hereof or the levy of any execution, attachment or similar process upon the Restricted Stock Units shall be null and void and without effect.</w:t>
      </w:r>
    </w:p>
    <w:p>
      <w:pPr>
        <w:spacing w:after="0" w:line="162" w:lineRule="exact"/>
        <w:rPr>
          <w:rFonts w:ascii="Times New Roman" w:cs="Times New Roman" w:eastAsia="Times New Roman" w:hAnsi="Times New Roman"/>
          <w:sz w:val="20"/>
          <w:szCs w:val="20"/>
          <w:color w:val="auto"/>
        </w:rPr>
      </w:pPr>
    </w:p>
    <w:p>
      <w:pPr>
        <w:ind w:right="80" w:firstLine="1304"/>
        <w:spacing w:after="0" w:line="237" w:lineRule="auto"/>
        <w:tabs>
          <w:tab w:leader="none" w:pos="1993"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to the Company under this Agreement shall be made in care of the Committee at the Company’s main office in Eaglewood Cliffs, New Jersey. The address for Grantee to which notice, demands and other communications to be given or delivered under or by reason of the provisions hereof shall be Grantee’s address as reflected in the Employer’s personnel records.</w:t>
      </w:r>
    </w:p>
    <w:p>
      <w:pPr>
        <w:spacing w:after="0" w:line="149" w:lineRule="exact"/>
        <w:rPr>
          <w:rFonts w:ascii="Times New Roman" w:cs="Times New Roman" w:eastAsia="Times New Roman" w:hAnsi="Times New Roman"/>
          <w:sz w:val="19"/>
          <w:szCs w:val="19"/>
          <w:color w:val="auto"/>
        </w:rPr>
      </w:pPr>
    </w:p>
    <w:p>
      <w:pPr>
        <w:jc w:val="both"/>
        <w:ind w:right="180" w:firstLine="1304"/>
        <w:spacing w:after="0" w:line="230" w:lineRule="auto"/>
        <w:tabs>
          <w:tab w:leader="none" w:pos="199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The Committee may from time to time impose any conditions on the Shares issuable with respect to Restricted Stock Units as it deems necessary or advisable to ensure that the Plan and this Award satisfy the conditions of Rule 16b-3, and that Shares are issued and resold in compliance with the Securities Act of 1933, as amended.</w:t>
      </w:r>
    </w:p>
    <w:p>
      <w:pPr>
        <w:spacing w:after="0" w:line="148" w:lineRule="exact"/>
        <w:rPr>
          <w:rFonts w:ascii="Times New Roman" w:cs="Times New Roman" w:eastAsia="Times New Roman" w:hAnsi="Times New Roman"/>
          <w:sz w:val="20"/>
          <w:szCs w:val="20"/>
          <w:color w:val="auto"/>
        </w:rPr>
      </w:pPr>
    </w:p>
    <w:p>
      <w:pPr>
        <w:ind w:firstLine="1304"/>
        <w:spacing w:after="0" w:line="214" w:lineRule="auto"/>
        <w:tabs>
          <w:tab w:leader="none" w:pos="198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Shares</w:t>
      </w:r>
      <w:r>
        <w:rPr>
          <w:rFonts w:ascii="Times New Roman" w:cs="Times New Roman" w:eastAsia="Times New Roman" w:hAnsi="Times New Roman"/>
          <w:sz w:val="20"/>
          <w:szCs w:val="20"/>
          <w:color w:val="auto"/>
        </w:rPr>
        <w:t xml:space="preserve">. Within ten (10) business days of a Vesting Date, the Company shall, without payment from Grantee, satisfy its obligations to (a) pay the Dividend Equivalent Amount (if any) and (b) deliver Shares underlying the applicable Restricted Stock Units by arranging for the recording of Grantee’s ownership of Shares issuable under the Plan on a book entry recordkeeping system maintained on behalf of the Company, without any legend or restrictions, except for such restrictions as may be imposed by the Committee, in its sole judgment, under Paragraph 9;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w:t>
      </w:r>
    </w:p>
    <w:p>
      <w:pPr>
        <w:spacing w:after="0" w:line="152" w:lineRule="exact"/>
        <w:rPr>
          <w:rFonts w:ascii="Times New Roman" w:cs="Times New Roman" w:eastAsia="Times New Roman" w:hAnsi="Times New Roman"/>
          <w:sz w:val="20"/>
          <w:szCs w:val="20"/>
          <w:color w:val="auto"/>
        </w:rPr>
      </w:pPr>
    </w:p>
    <w:p>
      <w:pPr>
        <w:ind w:right="20" w:firstLine="1304"/>
        <w:spacing w:after="0" w:line="230" w:lineRule="auto"/>
        <w:tabs>
          <w:tab w:leader="none" w:pos="197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Prior to Settlement</w:t>
      </w:r>
      <w:r>
        <w:rPr>
          <w:rFonts w:ascii="Times New Roman" w:cs="Times New Roman" w:eastAsia="Times New Roman" w:hAnsi="Times New Roman"/>
          <w:sz w:val="20"/>
          <w:szCs w:val="20"/>
          <w:color w:val="auto"/>
        </w:rPr>
        <w:t>. Grantee shall not have any right as a shareholder with respect to any Shares subject to his or her Restricted Stock Unit until the Restricted Stock Unit shall have been settled in accordance with the terms of the Plan and this Agreement, and the Company shall have delivered the Shares.</w:t>
      </w:r>
    </w:p>
    <w:p>
      <w:pPr>
        <w:spacing w:after="0" w:line="148" w:lineRule="exact"/>
        <w:rPr>
          <w:rFonts w:ascii="Times New Roman" w:cs="Times New Roman" w:eastAsia="Times New Roman" w:hAnsi="Times New Roman"/>
          <w:sz w:val="20"/>
          <w:szCs w:val="20"/>
          <w:color w:val="auto"/>
        </w:rPr>
      </w:pPr>
    </w:p>
    <w:p>
      <w:pPr>
        <w:ind w:right="20" w:firstLine="1304"/>
        <w:spacing w:after="0" w:line="220" w:lineRule="auto"/>
        <w:tabs>
          <w:tab w:leader="none" w:pos="198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Grantee understands and agrees that this Award and all payments with respect thereto are intended to comply with and/or be exempt from Section 409A. This Agreement shall be interpreted in a manner that is consistent with such intent and the Award shall be operated accordingly. If any provision of the Plan or any term or condition of this Award would otherwise frustrate or conflict with this intent, the provision, term or condition shall be interpreted and deemed amended so as to avoid this conflict. Notwithstanding anything in the Plan or this Agreement to the contrary, if the</w:t>
      </w:r>
    </w:p>
    <w:p>
      <w:pPr>
        <w:sectPr>
          <w:pgSz w:w="11900" w:h="16838" w:orient="portrait"/>
          <w:cols w:equalWidth="0" w:num="1">
            <w:col w:w="11240"/>
          </w:cols>
          <w:pgMar w:left="320" w:top="139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9"/>
          <w:szCs w:val="19"/>
          <w:color w:val="auto"/>
        </w:rPr>
        <w:t>Committee considers Grantee to be a “specified employee” under Section 409A at the time of Grantee’s “separation from service” (as defined</w:t>
      </w:r>
    </w:p>
    <w:p>
      <w:pPr>
        <w:spacing w:after="0" w:line="6"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in Section 409A), and any amount hereunder is “deferred compensation” subject to Section 409A, any distribution of such amount that otherwise would be made to Grantee with respect to the Award as a result of such “separation from service” shall not be made until the date</w:t>
      </w:r>
    </w:p>
    <w:p>
      <w:pPr>
        <w:spacing w:after="0" w:line="211" w:lineRule="auto"/>
        <w:rPr>
          <w:sz w:val="20"/>
          <w:szCs w:val="20"/>
          <w:color w:val="auto"/>
        </w:rPr>
      </w:pPr>
      <w:r>
        <w:rPr>
          <w:rFonts w:ascii="Times New Roman" w:cs="Times New Roman" w:eastAsia="Times New Roman" w:hAnsi="Times New Roman"/>
          <w:sz w:val="20"/>
          <w:szCs w:val="20"/>
          <w:color w:val="auto"/>
        </w:rPr>
        <w:t>that is six months after such “separation from service,” except to the extent that earlier distribution would not result in Grantee incurring</w:t>
      </w:r>
    </w:p>
    <w:p>
      <w:pPr>
        <w:ind w:right="400"/>
        <w:spacing w:after="0" w:line="215" w:lineRule="auto"/>
        <w:rPr>
          <w:sz w:val="20"/>
          <w:szCs w:val="20"/>
          <w:color w:val="auto"/>
        </w:rPr>
      </w:pPr>
      <w:r>
        <w:rPr>
          <w:rFonts w:ascii="Times New Roman" w:cs="Times New Roman" w:eastAsia="Times New Roman" w:hAnsi="Times New Roman"/>
          <w:sz w:val="19"/>
          <w:szCs w:val="19"/>
          <w:color w:val="auto"/>
        </w:rPr>
        <w:t>interest or additional tax under Section 409A. If the Award includes a “series of installment payments” (within the meaning of Treasury Regulations § 1.409A-2(b)(2)(iii)), Grantee’s right to such series of installment payments shall be treated as a right to a series of separate</w:t>
      </w:r>
    </w:p>
    <w:p>
      <w:pPr>
        <w:spacing w:after="0" w:line="211" w:lineRule="auto"/>
        <w:rPr>
          <w:sz w:val="20"/>
          <w:szCs w:val="20"/>
          <w:color w:val="auto"/>
        </w:rPr>
      </w:pPr>
      <w:r>
        <w:rPr>
          <w:rFonts w:ascii="Times New Roman" w:cs="Times New Roman" w:eastAsia="Times New Roman" w:hAnsi="Times New Roman"/>
          <w:sz w:val="20"/>
          <w:szCs w:val="20"/>
          <w:color w:val="auto"/>
        </w:rPr>
        <w:t>payments and not as a right to a single payment, and if the Award includes “dividend equivalents” (within the meaning of Treasury</w:t>
      </w:r>
    </w:p>
    <w:p>
      <w:pPr>
        <w:ind w:right="40"/>
        <w:spacing w:after="0" w:line="204" w:lineRule="auto"/>
        <w:rPr>
          <w:sz w:val="20"/>
          <w:szCs w:val="20"/>
          <w:color w:val="auto"/>
        </w:rPr>
      </w:pPr>
      <w:r>
        <w:rPr>
          <w:rFonts w:ascii="Times New Roman" w:cs="Times New Roman" w:eastAsia="Times New Roman" w:hAnsi="Times New Roman"/>
          <w:sz w:val="20"/>
          <w:szCs w:val="20"/>
          <w:color w:val="auto"/>
        </w:rPr>
        <w:t>Regulations § 1.409A-3(e)), Grantee’s right to such dividend equivalents shall be treated separately from the right to other amounts under the Award. Notwithstanding the foregoing, the tax treatment of the benefits provided under the Plan or this Agreement is not warranted or</w:t>
      </w:r>
    </w:p>
    <w:p>
      <w:pPr>
        <w:spacing w:after="0" w:line="1" w:lineRule="exact"/>
        <w:rPr>
          <w:sz w:val="20"/>
          <w:szCs w:val="20"/>
          <w:color w:val="auto"/>
        </w:rPr>
      </w:pPr>
    </w:p>
    <w:p>
      <w:pPr>
        <w:ind w:right="200"/>
        <w:spacing w:after="0" w:line="228" w:lineRule="auto"/>
        <w:rPr>
          <w:sz w:val="20"/>
          <w:szCs w:val="20"/>
          <w:color w:val="auto"/>
        </w:rPr>
      </w:pPr>
      <w:r>
        <w:rPr>
          <w:rFonts w:ascii="Times New Roman" w:cs="Times New Roman" w:eastAsia="Times New Roman" w:hAnsi="Times New Roman"/>
          <w:sz w:val="20"/>
          <w:szCs w:val="20"/>
          <w:color w:val="auto"/>
        </w:rPr>
        <w:t>guaranteed, and in no event shall the Company be liable for all or any portion of any taxes, penalties, interest or other expenses that may be incurred by Grantee on account of non-compliance with Section 409A.</w:t>
      </w:r>
    </w:p>
    <w:p>
      <w:pPr>
        <w:spacing w:after="0" w:line="149" w:lineRule="exact"/>
        <w:rPr>
          <w:sz w:val="20"/>
          <w:szCs w:val="20"/>
          <w:color w:val="auto"/>
        </w:rPr>
      </w:pPr>
    </w:p>
    <w:p>
      <w:pPr>
        <w:ind w:right="40" w:firstLine="1304"/>
        <w:spacing w:after="0" w:line="212" w:lineRule="auto"/>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and Withholding</w:t>
      </w:r>
      <w:r>
        <w:rPr>
          <w:rFonts w:ascii="Times New Roman" w:cs="Times New Roman" w:eastAsia="Times New Roman" w:hAnsi="Times New Roman"/>
          <w:sz w:val="20"/>
          <w:szCs w:val="20"/>
          <w:color w:val="auto"/>
        </w:rPr>
        <w:t>. Pursuant to rules and procedures that the Company or the Employer establishes, federal, state, local or foreign income or other tax or other withholding obligations arising upon settlement of the Restricted Stock Units may be satisfied, in the Committee’s full and sole discretion, (a) by having the Company withhold Shares, (b) by having Grantee tender Shares to the Company, (c) by having the Company or the Employer withhold cash if the Company or the Employer provides for a cash withholding option or (d) pursuant to a broker-assisted “sell-to-cover” program adopted by the Company in connection with the Plan, in each case, in an amount sufficient to satisfy the tax or other withholding obligations. Shares withheld or tendered will be valued using the Fair Market Value of the Shares on the date the Restricted Stock Units are settled, as determined by the Committee. Any withholding or tendering of Shares shall comply with the requirements of Financial Accounting Standards Board, Accounting Standards Codification, Topic 718, and any withholding satisfied through a net-settlement of the Restricted Stock Units shall be limited to the maximum statutory withholding requirements. Grantee acknowledges that, if he or she is subject to taxes in more than one jurisdiction, the Company or the Employer may be required to withhold or account for taxes in more than one jurisdiction.</w:t>
      </w:r>
    </w:p>
    <w:p>
      <w:pPr>
        <w:spacing w:after="0" w:line="154" w:lineRule="exact"/>
        <w:rPr>
          <w:rFonts w:ascii="Times New Roman" w:cs="Times New Roman" w:eastAsia="Times New Roman" w:hAnsi="Times New Roman"/>
          <w:sz w:val="20"/>
          <w:szCs w:val="20"/>
          <w:color w:val="auto"/>
        </w:rPr>
      </w:pPr>
    </w:p>
    <w:p>
      <w:pPr>
        <w:ind w:right="740" w:firstLine="1304"/>
        <w:spacing w:after="0"/>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Not to Affect Employment</w:t>
      </w:r>
      <w:r>
        <w:rPr>
          <w:rFonts w:ascii="Times New Roman" w:cs="Times New Roman" w:eastAsia="Times New Roman" w:hAnsi="Times New Roman"/>
          <w:sz w:val="20"/>
          <w:szCs w:val="20"/>
          <w:color w:val="auto"/>
        </w:rPr>
        <w:t>. The Award granted hereunder shall not confer upon Grantee any right to continue in the employment of the Company or any Participating Company or Affiliate of the Company.</w:t>
      </w:r>
    </w:p>
    <w:p>
      <w:pPr>
        <w:spacing w:after="0" w:line="161" w:lineRule="exact"/>
        <w:rPr>
          <w:rFonts w:ascii="Times New Roman" w:cs="Times New Roman" w:eastAsia="Times New Roman" w:hAnsi="Times New Roman"/>
          <w:sz w:val="20"/>
          <w:szCs w:val="20"/>
          <w:color w:val="auto"/>
        </w:rPr>
      </w:pPr>
    </w:p>
    <w:p>
      <w:pPr>
        <w:jc w:val="both"/>
        <w:ind w:right="140" w:firstLine="1304"/>
        <w:spacing w:after="0" w:line="222" w:lineRule="auto"/>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Neither the Company or the Employer is providing any tax, legal or financial advice, nor is the Company or the Employer making any recommendations regarding Grantee’s participation in the Plan or acquisition or sale of the underlying Shares. Grantee is hereby advised to consult with his or her own personal tax, legal and financial advisors regarding his or her participation in the Plan before taking any action related to the Plan or the Restricted Stock Units.</w:t>
      </w:r>
    </w:p>
    <w:p>
      <w:pPr>
        <w:spacing w:after="0" w:line="148" w:lineRule="exact"/>
        <w:rPr>
          <w:rFonts w:ascii="Times New Roman" w:cs="Times New Roman" w:eastAsia="Times New Roman" w:hAnsi="Times New Roman"/>
          <w:sz w:val="20"/>
          <w:szCs w:val="20"/>
          <w:color w:val="auto"/>
        </w:rPr>
      </w:pPr>
    </w:p>
    <w:p>
      <w:pPr>
        <w:ind w:right="220" w:firstLine="1304"/>
        <w:spacing w:after="0"/>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validity, performance, construction and effect of this Award shall be governed by the laws of the Commonwealth of Pennsylvania, without giving effect to principles of conflicts of law.</w:t>
      </w:r>
    </w:p>
    <w:p>
      <w:pPr>
        <w:spacing w:after="0" w:line="161" w:lineRule="exact"/>
        <w:rPr>
          <w:rFonts w:ascii="Times New Roman" w:cs="Times New Roman" w:eastAsia="Times New Roman" w:hAnsi="Times New Roman"/>
          <w:sz w:val="20"/>
          <w:szCs w:val="20"/>
          <w:color w:val="auto"/>
        </w:rPr>
      </w:pPr>
    </w:p>
    <w:p>
      <w:pPr>
        <w:ind w:right="620" w:firstLine="1304"/>
        <w:spacing w:after="0" w:line="233" w:lineRule="auto"/>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Protection</w:t>
      </w:r>
      <w:r>
        <w:rPr>
          <w:rFonts w:ascii="Times New Roman" w:cs="Times New Roman" w:eastAsia="Times New Roman" w:hAnsi="Times New Roman"/>
          <w:sz w:val="20"/>
          <w:szCs w:val="20"/>
          <w:color w:val="auto"/>
        </w:rPr>
        <w:t>. Grantee acknowledges that their personal data will be processed in accordance with the data privacy policy, notice and/or agreement that is applicable to them in connection with their employment.</w:t>
      </w:r>
    </w:p>
    <w:p>
      <w:pPr>
        <w:spacing w:after="0" w:line="160" w:lineRule="exact"/>
        <w:rPr>
          <w:rFonts w:ascii="Times New Roman" w:cs="Times New Roman" w:eastAsia="Times New Roman" w:hAnsi="Times New Roman"/>
          <w:sz w:val="20"/>
          <w:szCs w:val="20"/>
          <w:color w:val="auto"/>
        </w:rPr>
      </w:pPr>
    </w:p>
    <w:p>
      <w:pPr>
        <w:ind w:right="100" w:firstLine="1304"/>
        <w:spacing w:after="0"/>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w:t>
      </w:r>
      <w:r>
        <w:rPr>
          <w:rFonts w:ascii="Times New Roman" w:cs="Times New Roman" w:eastAsia="Times New Roman" w:hAnsi="Times New Roman"/>
          <w:sz w:val="20"/>
          <w:szCs w:val="20"/>
          <w:color w:val="auto"/>
        </w:rPr>
        <w:t xml:space="preserve">. This Award is subject to all applicable provisions set out in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to this Agreement, titled ‘Global Appendix’, including any provisions that are specific to Grantee’s jurisdiction, if any.</w:t>
      </w:r>
    </w:p>
    <w:p>
      <w:pPr>
        <w:spacing w:after="0" w:line="147" w:lineRule="exact"/>
        <w:rPr>
          <w:rFonts w:ascii="Times New Roman" w:cs="Times New Roman" w:eastAsia="Times New Roman" w:hAnsi="Times New Roman"/>
          <w:sz w:val="20"/>
          <w:szCs w:val="20"/>
          <w:color w:val="auto"/>
        </w:rPr>
      </w:pPr>
    </w:p>
    <w:p>
      <w:pPr>
        <w:ind w:right="240" w:firstLine="1304"/>
        <w:spacing w:after="0" w:line="220" w:lineRule="auto"/>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Cancellation/Clawback</w:t>
      </w:r>
      <w:r>
        <w:rPr>
          <w:rFonts w:ascii="Times New Roman" w:cs="Times New Roman" w:eastAsia="Times New Roman" w:hAnsi="Times New Roman"/>
          <w:sz w:val="20"/>
          <w:szCs w:val="20"/>
          <w:color w:val="auto"/>
        </w:rPr>
        <w:t>. Grantee hereby acknowledges and agrees that Grantee and the Award are subject to the terms and conditions of Section 15 (Repayment) of the Plan. Without limiting the foregoing, Grantee hereby acknowledges and agrees that the Award and any Shares issued pursuant to the Award are subject to recoupment in accordance with any recoupment policy that the Company may adopt from time to time, to the extent any such policy is applicable to the Grantee and to such compensation, including the Company’s Recoupment Policy (as amended from time to time),</w:t>
      </w:r>
    </w:p>
    <w:p>
      <w:pPr>
        <w:sectPr>
          <w:pgSz w:w="11900" w:h="16838" w:orient="portrait"/>
          <w:cols w:equalWidth="0" w:num="1">
            <w:col w:w="11240"/>
          </w:cols>
          <w:pgMar w:left="320" w:top="139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color w:val="auto"/>
        </w:rPr>
        <w:t>designed to comply with the requirements of Rule 10D-1 promulgated under the 1934 Act, as well as any recoupment provisions required</w:t>
      </w:r>
    </w:p>
    <w:p>
      <w:pPr>
        <w:ind w:right="40"/>
        <w:spacing w:after="0" w:line="204" w:lineRule="auto"/>
        <w:rPr>
          <w:sz w:val="20"/>
          <w:szCs w:val="20"/>
          <w:color w:val="auto"/>
        </w:rPr>
      </w:pPr>
      <w:r>
        <w:rPr>
          <w:rFonts w:ascii="Times New Roman" w:cs="Times New Roman" w:eastAsia="Times New Roman" w:hAnsi="Times New Roman"/>
          <w:sz w:val="20"/>
          <w:szCs w:val="20"/>
          <w:color w:val="auto"/>
        </w:rPr>
        <w:t>under applicable law. For purposes of the foregoing, the Grantee expressly and explicitly authorizes (x) the Company to issue instructions, on the Grantee’s behalf, to any brokerage firm and/or third party administrator engaged by the Company to hold Shares and other amounts</w:t>
      </w:r>
    </w:p>
    <w:p>
      <w:pPr>
        <w:spacing w:after="0" w:line="223" w:lineRule="auto"/>
        <w:rPr>
          <w:sz w:val="20"/>
          <w:szCs w:val="20"/>
          <w:color w:val="auto"/>
        </w:rPr>
      </w:pPr>
      <w:r>
        <w:rPr>
          <w:rFonts w:ascii="Times New Roman" w:cs="Times New Roman" w:eastAsia="Times New Roman" w:hAnsi="Times New Roman"/>
          <w:sz w:val="19"/>
          <w:szCs w:val="19"/>
          <w:color w:val="auto"/>
        </w:rPr>
        <w:t>acquired under the Award or the Plan to re-convey, transfer or otherwise return such Shares and/or other amounts to the Company and (y) the</w:t>
      </w:r>
    </w:p>
    <w:p>
      <w:pPr>
        <w:ind w:right="340"/>
        <w:spacing w:after="0" w:line="215" w:lineRule="auto"/>
        <w:rPr>
          <w:sz w:val="20"/>
          <w:szCs w:val="20"/>
          <w:color w:val="auto"/>
        </w:rPr>
      </w:pPr>
      <w:r>
        <w:rPr>
          <w:rFonts w:ascii="Times New Roman" w:cs="Times New Roman" w:eastAsia="Times New Roman" w:hAnsi="Times New Roman"/>
          <w:sz w:val="19"/>
          <w:szCs w:val="19"/>
          <w:color w:val="auto"/>
        </w:rPr>
        <w:t>Company’s recovery of any covered compensation through any method of recovery that the Company deems appropriate, including by reducing any amount that is or may become payable to the Grantee. The Grantee further agrees to comply with any request or demand for</w:t>
      </w:r>
    </w:p>
    <w:p>
      <w:pPr>
        <w:spacing w:after="0"/>
        <w:rPr>
          <w:sz w:val="20"/>
          <w:szCs w:val="20"/>
          <w:color w:val="auto"/>
        </w:rPr>
      </w:pPr>
      <w:r>
        <w:rPr>
          <w:rFonts w:ascii="Times New Roman" w:cs="Times New Roman" w:eastAsia="Times New Roman" w:hAnsi="Times New Roman"/>
          <w:sz w:val="20"/>
          <w:szCs w:val="20"/>
          <w:color w:val="auto"/>
        </w:rPr>
        <w:t>repayment by any affiliate of the Company in order to comply with such policies or applicable law.</w:t>
      </w:r>
    </w:p>
    <w:p>
      <w:pPr>
        <w:spacing w:after="0" w:line="167" w:lineRule="exact"/>
        <w:rPr>
          <w:sz w:val="20"/>
          <w:szCs w:val="20"/>
          <w:color w:val="auto"/>
        </w:rPr>
      </w:pPr>
    </w:p>
    <w:p>
      <w:pPr>
        <w:ind w:right="40" w:firstLine="1304"/>
        <w:spacing w:after="0" w:line="222" w:lineRule="auto"/>
        <w:tabs>
          <w:tab w:leader="none" w:pos="19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Plan Control</w:t>
      </w:r>
      <w:r>
        <w:rPr>
          <w:rFonts w:ascii="Times New Roman" w:cs="Times New Roman" w:eastAsia="Times New Roman" w:hAnsi="Times New Roman"/>
          <w:sz w:val="20"/>
          <w:szCs w:val="20"/>
          <w:color w:val="auto"/>
        </w:rPr>
        <w:t>. This Agreement is subject to all the terms, conditions and provisions of the Plan, including the amendment provisions thereof, and to such rules, regulations and interpretations relating to the Plan as may be adopted by the Committee and as may be in effect from time to time. The terms of the Plan are incorporated herein by reference. If and to the extent that this Agreement conflicts with the Plan, the Plan shall control, and this Agreement shall be deemed to be modified accordingly.</w:t>
      </w:r>
    </w:p>
    <w:p>
      <w:pPr>
        <w:spacing w:after="0" w:line="148" w:lineRule="exact"/>
        <w:rPr>
          <w:rFonts w:ascii="Times New Roman" w:cs="Times New Roman" w:eastAsia="Times New Roman" w:hAnsi="Times New Roman"/>
          <w:sz w:val="20"/>
          <w:szCs w:val="20"/>
          <w:color w:val="auto"/>
        </w:rPr>
      </w:pPr>
    </w:p>
    <w:p>
      <w:pPr>
        <w:ind w:right="100" w:firstLine="1304"/>
        <w:spacing w:after="0" w:line="222" w:lineRule="auto"/>
        <w:tabs>
          <w:tab w:leader="none" w:pos="19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Plan and any other agreements, schedules, exhibits and other 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w:t>
      </w:r>
    </w:p>
    <w:p>
      <w:pPr>
        <w:spacing w:after="0" w:line="161" w:lineRule="exact"/>
        <w:rPr>
          <w:rFonts w:ascii="Times New Roman" w:cs="Times New Roman" w:eastAsia="Times New Roman" w:hAnsi="Times New Roman"/>
          <w:sz w:val="20"/>
          <w:szCs w:val="20"/>
          <w:color w:val="auto"/>
        </w:rPr>
      </w:pPr>
    </w:p>
    <w:p>
      <w:pPr>
        <w:ind w:right="40" w:firstLine="1304"/>
        <w:spacing w:after="0" w:line="217" w:lineRule="auto"/>
        <w:tabs>
          <w:tab w:leader="none" w:pos="19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is or becomes or is deemed to be invalid, illegal or unenforceable in any jurisdiction, or would disqualify the Plan or this Agreement under any law deemed applicable by the Committee, such provision shall be construed or deemed amended to conform to applicable laws, or if it cannot be so construed or deemed amended without, in the determination of the Committee, materially altering the intent of this Agreement, such provision shall be stricken as to such jurisdiction, and the remainder of this Agreement shall remain in full force and effect.</w:t>
      </w:r>
    </w:p>
    <w:p>
      <w:pPr>
        <w:spacing w:after="0" w:line="161" w:lineRule="exact"/>
        <w:rPr>
          <w:rFonts w:ascii="Times New Roman" w:cs="Times New Roman" w:eastAsia="Times New Roman" w:hAnsi="Times New Roman"/>
          <w:sz w:val="20"/>
          <w:szCs w:val="20"/>
          <w:color w:val="auto"/>
        </w:rPr>
      </w:pPr>
    </w:p>
    <w:p>
      <w:pPr>
        <w:ind w:firstLine="1304"/>
        <w:spacing w:after="0" w:line="222" w:lineRule="auto"/>
        <w:tabs>
          <w:tab w:leader="none" w:pos="19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No Third-Party Beneficiaries</w:t>
      </w:r>
      <w:r>
        <w:rPr>
          <w:rFonts w:ascii="Times New Roman" w:cs="Times New Roman" w:eastAsia="Times New Roman" w:hAnsi="Times New Roman"/>
          <w:sz w:val="20"/>
          <w:szCs w:val="20"/>
          <w:color w:val="auto"/>
        </w:rPr>
        <w:t>. This Agreement shall inure to the benefit of and be binding upon the Company and Grantee and their respective heirs, successors, legal representatives and permitted assigns. Nothing in this Agreement, express or implied, is intended to confer on any Person other than the Company and Grantee, and their respective heirs, successors, legal representatives and permitted assigns, any rights, remedies, obligations or liabilities under or by reason of this Agreement.</w:t>
      </w:r>
    </w:p>
    <w:p>
      <w:pPr>
        <w:spacing w:after="0" w:line="161" w:lineRule="exact"/>
        <w:rPr>
          <w:rFonts w:ascii="Times New Roman" w:cs="Times New Roman" w:eastAsia="Times New Roman" w:hAnsi="Times New Roman"/>
          <w:sz w:val="20"/>
          <w:szCs w:val="20"/>
          <w:color w:val="auto"/>
        </w:rPr>
      </w:pPr>
    </w:p>
    <w:p>
      <w:pPr>
        <w:ind w:right="100" w:firstLine="1304"/>
        <w:spacing w:after="0" w:line="217" w:lineRule="auto"/>
        <w:tabs>
          <w:tab w:leader="none" w:pos="19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 and Grantee Undertaking</w:t>
      </w:r>
      <w:r>
        <w:rPr>
          <w:rFonts w:ascii="Times New Roman" w:cs="Times New Roman" w:eastAsia="Times New Roman" w:hAnsi="Times New Roman"/>
          <w:sz w:val="20"/>
          <w:szCs w:val="20"/>
          <w:color w:val="auto"/>
        </w:rPr>
        <w:t>. The Company reserves the right to impose other requirements on Grantee’s participation in the Plan, on the Award and on any Shares to be issued upon settlement of the Award, to the extent the Company determines it is necessary or advisable for legal or administrative reasons. Grantee agrees to take whatever additional action and execute whatever additional documents the Company may deem necessary or advisable to accomplish the foregoing or to carry out or give effect to any of the obligations or restrictions imposed on either Grantee or the Award pursuant to this Agreement.</w:t>
      </w:r>
    </w:p>
    <w:p>
      <w:pPr>
        <w:spacing w:after="0" w:line="161" w:lineRule="exact"/>
        <w:rPr>
          <w:rFonts w:ascii="Times New Roman" w:cs="Times New Roman" w:eastAsia="Times New Roman" w:hAnsi="Times New Roman"/>
          <w:sz w:val="20"/>
          <w:szCs w:val="20"/>
          <w:color w:val="auto"/>
        </w:rPr>
      </w:pPr>
    </w:p>
    <w:p>
      <w:pPr>
        <w:ind w:right="60" w:firstLine="1304"/>
        <w:spacing w:after="0" w:line="226" w:lineRule="auto"/>
        <w:tabs>
          <w:tab w:leader="none" w:pos="19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References herein to rights and obligations of Grantee shall apply, where appropriate, to Grantee’s legal representative or estate without regard to whether specific reference to such legal representative or estate is contained in a particular provision of this Agreement.</w:t>
      </w:r>
    </w:p>
    <w:p>
      <w:pPr>
        <w:sectPr>
          <w:pgSz w:w="11900" w:h="16838" w:orient="portrait"/>
          <w:cols w:equalWidth="0" w:num="1">
            <w:col w:w="11240"/>
          </w:cols>
          <w:pgMar w:left="320" w:top="139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9"/>
          <w:szCs w:val="19"/>
          <w:color w:val="auto"/>
        </w:rPr>
        <w:t>IN WITNESS WHEREOF, the Company has granted this Award on the Date of Grant.</w:t>
      </w:r>
    </w:p>
    <w:p>
      <w:pPr>
        <w:sectPr>
          <w:pgSz w:w="11900" w:h="16838" w:orient="portrait"/>
          <w:cols w:equalWidth="0" w:num="1">
            <w:col w:w="10139"/>
          </w:cols>
          <w:pgMar w:left="320" w:top="1399" w:right="1440" w:bottom="1440" w:gutter="0" w:footer="0" w:header="0"/>
        </w:sect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VERSANT MEDIA GROUP, INC.</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Name: [●]</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Title: [●]</w:t>
      </w:r>
    </w:p>
    <w:p>
      <w:pPr>
        <w:sectPr>
          <w:pgSz w:w="11900" w:h="16838" w:orient="portrait"/>
          <w:cols w:equalWidth="0" w:num="1">
            <w:col w:w="10139"/>
          </w:cols>
          <w:pgMar w:left="320" w:top="1399" w:right="1440" w:bottom="1440" w:gutter="0" w:footer="0" w:header="0"/>
          <w:type w:val="continuous"/>
        </w:sectPr>
      </w:pPr>
    </w:p>
    <w:bookmarkStart w:id="135" w:name="page136"/>
    <w:bookmarkEnd w:id="13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LONG-TERM INCENTIVE AWARDS SUMMARY SCHEDULE</w:t>
      </w:r>
    </w:p>
    <w:p>
      <w:pPr>
        <w:spacing w:after="0" w:line="2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This Long-Term Incentive Awards Summary Schedule (this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provides certain information related to the Restricted Stock Units you were granted by Versant Media Group, Inc. on the Date of Grant (as described below). </w:t>
      </w:r>
      <w:r>
        <w:rPr>
          <w:rFonts w:ascii="Times New Roman" w:cs="Times New Roman" w:eastAsia="Times New Roman" w:hAnsi="Times New Roman"/>
          <w:sz w:val="20"/>
          <w:szCs w:val="20"/>
          <w:b w:val="1"/>
          <w:bCs w:val="1"/>
          <w:color w:val="auto"/>
        </w:rPr>
        <w:t>This Schedule is intended to be, and shall at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times be interpreted as, a part of your Versant Media Group, Inc. Restricted Stock Unit Award document.</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22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Grantee:</w:t>
            </w:r>
          </w:p>
        </w:tc>
        <w:tc>
          <w:tcPr>
            <w:tcW w:w="9020" w:type="dxa"/>
            <w:vAlign w:val="bottom"/>
            <w:tcBorders>
              <w:top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2240" w:type="dxa"/>
            <w:vAlign w:val="bottom"/>
            <w:tcBorders>
              <w:left w:val="single" w:sz="8" w:color="auto"/>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5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2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Date of Grant:</w:t>
            </w:r>
          </w:p>
        </w:tc>
        <w:tc>
          <w:tcPr>
            <w:tcW w:w="90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2240" w:type="dxa"/>
            <w:vAlign w:val="bottom"/>
            <w:tcBorders>
              <w:left w:val="single" w:sz="8" w:color="auto"/>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5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4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Number of Restricted</w:t>
            </w:r>
          </w:p>
        </w:tc>
        <w:tc>
          <w:tcPr>
            <w:tcW w:w="9020" w:type="dxa"/>
            <w:vAlign w:val="bottom"/>
            <w:tcBorders>
              <w:right w:val="single" w:sz="8" w:color="auto"/>
            </w:tcBorders>
            <w:gridSpan w:val="5"/>
            <w:vMerge w:val="restart"/>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0"/>
        </w:trPr>
        <w:tc>
          <w:tcPr>
            <w:tcW w:w="22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Stock Units Granted:</w:t>
            </w:r>
          </w:p>
        </w:tc>
        <w:tc>
          <w:tcPr>
            <w:tcW w:w="9020" w:type="dxa"/>
            <w:vAlign w:val="bottom"/>
            <w:tcBorders>
              <w:right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24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240" w:type="dxa"/>
            <w:vAlign w:val="bottom"/>
            <w:tcBorders>
              <w:left w:val="single" w:sz="8" w:color="auto"/>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5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40" w:type="dxa"/>
            <w:vAlign w:val="bottom"/>
            <w:tcBorders>
              <w:left w:val="single" w:sz="8" w:color="auto"/>
              <w:right w:val="single" w:sz="8" w:color="auto"/>
            </w:tcBorders>
          </w:tcPr>
          <w:p>
            <w:pPr>
              <w:ind w:left="80"/>
              <w:spacing w:after="0" w:line="228" w:lineRule="exact"/>
              <w:rPr>
                <w:sz w:val="20"/>
                <w:szCs w:val="20"/>
                <w:color w:val="auto"/>
              </w:rPr>
            </w:pPr>
            <w:r>
              <w:rPr>
                <w:rFonts w:ascii="Times New Roman" w:cs="Times New Roman" w:eastAsia="Times New Roman" w:hAnsi="Times New Roman"/>
                <w:sz w:val="20"/>
                <w:szCs w:val="20"/>
                <w:color w:val="auto"/>
              </w:rPr>
              <w:t>Service Vesting Dates of</w:t>
            </w:r>
          </w:p>
        </w:tc>
        <w:tc>
          <w:tcPr>
            <w:tcW w:w="9020" w:type="dxa"/>
            <w:vAlign w:val="bottom"/>
            <w:tcBorders>
              <w:right w:val="single" w:sz="8" w:color="auto"/>
            </w:tcBorders>
            <w:gridSpan w:val="5"/>
          </w:tcPr>
          <w:p>
            <w:pPr>
              <w:ind w:left="20"/>
              <w:spacing w:after="0" w:line="228" w:lineRule="exact"/>
              <w:rPr>
                <w:sz w:val="20"/>
                <w:szCs w:val="20"/>
                <w:color w:val="auto"/>
              </w:rPr>
            </w:pPr>
            <w:r>
              <w:rPr>
                <w:rFonts w:ascii="Times New Roman" w:cs="Times New Roman" w:eastAsia="Times New Roman" w:hAnsi="Times New Roman"/>
                <w:sz w:val="20"/>
                <w:szCs w:val="20"/>
                <w:color w:val="auto"/>
              </w:rPr>
              <w:t>The Restricted Stock Units shall vest in three equal installments on the first, second and third anniversary of the</w:t>
            </w:r>
          </w:p>
        </w:tc>
        <w:tc>
          <w:tcPr>
            <w:tcW w:w="0" w:type="dxa"/>
            <w:vAlign w:val="bottom"/>
          </w:tcPr>
          <w:p>
            <w:pPr>
              <w:spacing w:after="0"/>
              <w:rPr>
                <w:sz w:val="1"/>
                <w:szCs w:val="1"/>
                <w:color w:val="auto"/>
              </w:rPr>
            </w:pPr>
          </w:p>
        </w:tc>
      </w:tr>
      <w:tr>
        <w:trPr>
          <w:trHeight w:val="225"/>
        </w:trPr>
        <w:tc>
          <w:tcPr>
            <w:tcW w:w="2240" w:type="dxa"/>
            <w:vAlign w:val="bottom"/>
            <w:tcBorders>
              <w:left w:val="single" w:sz="8" w:color="auto"/>
              <w:right w:val="single" w:sz="8" w:color="auto"/>
            </w:tcBorders>
          </w:tcPr>
          <w:p>
            <w:pPr>
              <w:ind w:left="80"/>
              <w:spacing w:after="0" w:line="226" w:lineRule="exact"/>
              <w:rPr>
                <w:sz w:val="20"/>
                <w:szCs w:val="20"/>
                <w:color w:val="auto"/>
              </w:rPr>
            </w:pPr>
            <w:r>
              <w:rPr>
                <w:rFonts w:ascii="Times New Roman" w:cs="Times New Roman" w:eastAsia="Times New Roman" w:hAnsi="Times New Roman"/>
                <w:sz w:val="20"/>
                <w:szCs w:val="20"/>
                <w:color w:val="auto"/>
              </w:rPr>
              <w:t>Restricted Stock Units:</w:t>
            </w:r>
          </w:p>
        </w:tc>
        <w:tc>
          <w:tcPr>
            <w:tcW w:w="9020" w:type="dxa"/>
            <w:vAlign w:val="bottom"/>
            <w:tcBorders>
              <w:right w:val="single" w:sz="8" w:color="auto"/>
            </w:tcBorders>
            <w:gridSpan w:val="5"/>
          </w:tcPr>
          <w:p>
            <w:pPr>
              <w:ind w:left="20"/>
              <w:spacing w:after="0" w:line="226" w:lineRule="exact"/>
              <w:rPr>
                <w:sz w:val="20"/>
                <w:szCs w:val="20"/>
                <w:color w:val="auto"/>
              </w:rPr>
            </w:pPr>
            <w:r>
              <w:rPr>
                <w:rFonts w:ascii="Times New Roman" w:cs="Times New Roman" w:eastAsia="Times New Roman" w:hAnsi="Times New Roman"/>
                <w:sz w:val="20"/>
                <w:szCs w:val="20"/>
                <w:color w:val="auto"/>
              </w:rPr>
              <w:t>Date of Grant (each, a “Service Vesting Date”), subject to Grantee’s satisfaction of the Service Condition.</w:t>
            </w:r>
          </w:p>
        </w:tc>
        <w:tc>
          <w:tcPr>
            <w:tcW w:w="0" w:type="dxa"/>
            <w:vAlign w:val="bottom"/>
          </w:tcPr>
          <w:p>
            <w:pPr>
              <w:spacing w:after="0"/>
              <w:rPr>
                <w:sz w:val="1"/>
                <w:szCs w:val="1"/>
                <w:color w:val="auto"/>
              </w:rPr>
            </w:pPr>
          </w:p>
        </w:tc>
      </w:tr>
      <w:tr>
        <w:trPr>
          <w:trHeight w:val="264"/>
        </w:trPr>
        <w:tc>
          <w:tcPr>
            <w:tcW w:w="2240" w:type="dxa"/>
            <w:vAlign w:val="bottom"/>
            <w:tcBorders>
              <w:left w:val="single" w:sz="8" w:color="auto"/>
              <w:bottom w:val="single" w:sz="8" w:color="auto"/>
              <w:right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60" w:type="dxa"/>
            <w:vAlign w:val="bottom"/>
            <w:tcBorders>
              <w:top w:val="single" w:sz="8" w:color="auto"/>
              <w:bottom w:val="single" w:sz="8" w:color="auto"/>
            </w:tcBorders>
          </w:tcPr>
          <w:p>
            <w:pPr>
              <w:spacing w:after="0"/>
              <w:rPr>
                <w:sz w:val="22"/>
                <w:szCs w:val="22"/>
                <w:color w:val="auto"/>
              </w:rPr>
            </w:pPr>
          </w:p>
        </w:tc>
        <w:tc>
          <w:tcPr>
            <w:tcW w:w="5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240" w:type="dxa"/>
            <w:vAlign w:val="bottom"/>
            <w:tcBorders>
              <w:left w:val="single" w:sz="8" w:color="auto"/>
              <w:right w:val="single" w:sz="8" w:color="auto"/>
            </w:tcBorders>
          </w:tcPr>
          <w:p>
            <w:pPr>
              <w:spacing w:after="0"/>
              <w:rPr>
                <w:sz w:val="20"/>
                <w:szCs w:val="20"/>
                <w:color w:val="auto"/>
              </w:rPr>
            </w:pPr>
          </w:p>
        </w:tc>
        <w:tc>
          <w:tcPr>
            <w:tcW w:w="90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0"/>
                <w:szCs w:val="20"/>
                <w:color w:val="auto"/>
                <w:w w:val="98"/>
              </w:rPr>
              <w:t>Except as otherwise provided in Paragraph 4 of the Restricted Stock Unit Award Agreement, Grantee will satisfy</w:t>
            </w:r>
          </w:p>
        </w:tc>
        <w:tc>
          <w:tcPr>
            <w:tcW w:w="0" w:type="dxa"/>
            <w:vAlign w:val="bottom"/>
          </w:tcPr>
          <w:p>
            <w:pPr>
              <w:spacing w:after="0"/>
              <w:rPr>
                <w:sz w:val="1"/>
                <w:szCs w:val="1"/>
                <w:color w:val="auto"/>
              </w:rPr>
            </w:pPr>
          </w:p>
        </w:tc>
      </w:tr>
      <w:tr>
        <w:trPr>
          <w:trHeight w:val="212"/>
        </w:trPr>
        <w:tc>
          <w:tcPr>
            <w:tcW w:w="2240" w:type="dxa"/>
            <w:vAlign w:val="bottom"/>
            <w:tcBorders>
              <w:left w:val="single" w:sz="8" w:color="auto"/>
              <w:right w:val="single" w:sz="8" w:color="auto"/>
            </w:tcBorders>
          </w:tcPr>
          <w:p>
            <w:pPr>
              <w:ind w:left="80"/>
              <w:spacing w:after="0" w:line="212" w:lineRule="exact"/>
              <w:rPr>
                <w:sz w:val="20"/>
                <w:szCs w:val="20"/>
                <w:color w:val="auto"/>
              </w:rPr>
            </w:pPr>
            <w:r>
              <w:rPr>
                <w:rFonts w:ascii="Times New Roman" w:cs="Times New Roman" w:eastAsia="Times New Roman" w:hAnsi="Times New Roman"/>
                <w:sz w:val="20"/>
                <w:szCs w:val="20"/>
                <w:color w:val="auto"/>
              </w:rPr>
              <w:t>Service Condition:</w:t>
            </w:r>
          </w:p>
        </w:tc>
        <w:tc>
          <w:tcPr>
            <w:tcW w:w="9020" w:type="dxa"/>
            <w:vAlign w:val="bottom"/>
            <w:tcBorders>
              <w:right w:val="single" w:sz="8" w:color="auto"/>
            </w:tcBorders>
            <w:gridSpan w:val="5"/>
          </w:tcPr>
          <w:p>
            <w:pPr>
              <w:ind w:left="20"/>
              <w:spacing w:after="0" w:line="212" w:lineRule="exact"/>
              <w:rPr>
                <w:sz w:val="20"/>
                <w:szCs w:val="20"/>
                <w:color w:val="auto"/>
              </w:rPr>
            </w:pPr>
            <w:r>
              <w:rPr>
                <w:rFonts w:ascii="Times New Roman" w:cs="Times New Roman" w:eastAsia="Times New Roman" w:hAnsi="Times New Roman"/>
                <w:sz w:val="20"/>
                <w:szCs w:val="20"/>
                <w:color w:val="auto"/>
                <w:w w:val="99"/>
              </w:rPr>
              <w:t>the “Service Condition” applicable to the Restricted Stock Units on the Service Vesting Dates as set forth above,</w:t>
            </w:r>
          </w:p>
        </w:tc>
        <w:tc>
          <w:tcPr>
            <w:tcW w:w="0" w:type="dxa"/>
            <w:vAlign w:val="bottom"/>
          </w:tcPr>
          <w:p>
            <w:pPr>
              <w:spacing w:after="0"/>
              <w:rPr>
                <w:sz w:val="1"/>
                <w:szCs w:val="1"/>
                <w:color w:val="auto"/>
              </w:rPr>
            </w:pPr>
          </w:p>
        </w:tc>
      </w:tr>
      <w:tr>
        <w:trPr>
          <w:trHeight w:val="20"/>
        </w:trPr>
        <w:tc>
          <w:tcPr>
            <w:tcW w:w="2240" w:type="dxa"/>
            <w:vAlign w:val="bottom"/>
            <w:tcBorders>
              <w:left w:val="single" w:sz="8" w:color="auto"/>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20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240" w:type="dxa"/>
            <w:vAlign w:val="bottom"/>
            <w:tcBorders>
              <w:left w:val="single" w:sz="8" w:color="auto"/>
              <w:right w:val="single" w:sz="8" w:color="auto"/>
            </w:tcBorders>
          </w:tcPr>
          <w:p>
            <w:pPr>
              <w:spacing w:after="0"/>
              <w:rPr>
                <w:sz w:val="23"/>
                <w:szCs w:val="23"/>
                <w:color w:val="auto"/>
              </w:rPr>
            </w:pPr>
          </w:p>
        </w:tc>
        <w:tc>
          <w:tcPr>
            <w:tcW w:w="90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0"/>
                <w:szCs w:val="20"/>
                <w:color w:val="auto"/>
              </w:rPr>
              <w:t>subject to Grantee’s continued employment through the applicable Service Vesting Date.</w:t>
            </w:r>
          </w:p>
        </w:tc>
        <w:tc>
          <w:tcPr>
            <w:tcW w:w="0" w:type="dxa"/>
            <w:vAlign w:val="bottom"/>
          </w:tcPr>
          <w:p>
            <w:pPr>
              <w:spacing w:after="0"/>
              <w:rPr>
                <w:sz w:val="1"/>
                <w:szCs w:val="1"/>
                <w:color w:val="auto"/>
              </w:rPr>
            </w:pPr>
          </w:p>
        </w:tc>
      </w:tr>
      <w:tr>
        <w:trPr>
          <w:trHeight w:val="237"/>
        </w:trPr>
        <w:tc>
          <w:tcPr>
            <w:tcW w:w="22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5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09" w:right="31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This Restricted Stock Unit Award Agreement dated _______________, 2022 (together with all schedules hereto,</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“Agreement”) is entered into by and between Comcast Corporation (the “Company”) and Grantee.</w:t>
      </w:r>
    </w:p>
    <w:p>
      <w:pPr>
        <w:spacing w:after="0" w:line="180" w:lineRule="exact"/>
        <w:rPr>
          <w:sz w:val="20"/>
          <w:szCs w:val="20"/>
          <w:color w:val="auto"/>
        </w:rPr>
      </w:pPr>
    </w:p>
    <w:p>
      <w:pPr>
        <w:ind w:right="60" w:firstLine="1304"/>
        <w:spacing w:after="0" w:line="236" w:lineRule="auto"/>
        <w:tabs>
          <w:tab w:leader="none" w:pos="1944"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have the meanings ascribed to them below. Capitalized terms used in this Agreement but not defined herein have the meanings given to them in the Plan.</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the award of Restricted Stock Units granted pursuant to this Agreement.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auto"/>
        </w:rPr>
      </w:pPr>
    </w:p>
    <w:p>
      <w:pPr>
        <w:ind w:right="40" w:firstLine="1952"/>
        <w:spacing w:after="0" w:line="222" w:lineRule="auto"/>
        <w:tabs>
          <w:tab w:leader="none" w:pos="2589" w:val="left"/>
        </w:tabs>
        <w:numPr>
          <w:ilvl w:val="2"/>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has the meaning set forth in the Grantee’s employment agreement with the Company, or, if no such agreement exists or such agreement has expired prior to such time, then “Cause” means (i) fraud; (ii) embezzlement or other misappropriation of funds; (iii) gross negligence or willful misconduct in the performance of duties; (iv) self-dealing;</w:t>
      </w:r>
    </w:p>
    <w:p>
      <w:pPr>
        <w:spacing w:after="0" w:line="1" w:lineRule="exact"/>
        <w:rPr>
          <w:rFonts w:ascii="Times New Roman" w:cs="Times New Roman" w:eastAsia="Times New Roman" w:hAnsi="Times New Roman"/>
          <w:sz w:val="21"/>
          <w:szCs w:val="21"/>
          <w:color w:val="auto"/>
        </w:rPr>
      </w:pPr>
    </w:p>
    <w:p>
      <w:pPr>
        <w:ind w:right="860" w:firstLine="8"/>
        <w:spacing w:after="0" w:line="225" w:lineRule="auto"/>
        <w:tabs>
          <w:tab w:leader="none" w:pos="30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misrepresentation with respect to the Company; (vi) conviction of a felony; or (vii) material violation of the Employee Handbook, the Code of Conduct or any other written Company policy.</w:t>
      </w:r>
    </w:p>
    <w:p>
      <w:pPr>
        <w:spacing w:after="0" w:line="14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its delegate.</w:t>
      </w:r>
    </w:p>
    <w:p>
      <w:pPr>
        <w:spacing w:after="0" w:line="17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means the date first set forth above, on which the Company awarded the Restricted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Stock Units to Grantee.</w:t>
      </w:r>
    </w:p>
    <w:p>
      <w:pPr>
        <w:spacing w:after="0" w:line="155" w:lineRule="exact"/>
        <w:rPr>
          <w:rFonts w:ascii="Times New Roman" w:cs="Times New Roman" w:eastAsia="Times New Roman" w:hAnsi="Times New Roman"/>
          <w:sz w:val="21"/>
          <w:szCs w:val="21"/>
          <w:color w:val="auto"/>
        </w:rPr>
      </w:pPr>
    </w:p>
    <w:p>
      <w:pPr>
        <w:ind w:right="360" w:firstLine="1952"/>
        <w:spacing w:after="0" w:line="236" w:lineRule="auto"/>
        <w:tabs>
          <w:tab w:leader="none" w:pos="2587"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means the Company, the Subsidiary Company, or the Affiliate for which Grantee is performing services on the Vesting Date.</w:t>
      </w:r>
    </w:p>
    <w:p>
      <w:pPr>
        <w:spacing w:after="0" w:line="150" w:lineRule="exact"/>
        <w:rPr>
          <w:rFonts w:ascii="Times New Roman" w:cs="Times New Roman" w:eastAsia="Times New Roman" w:hAnsi="Times New Roman"/>
          <w:sz w:val="22"/>
          <w:szCs w:val="22"/>
          <w:color w:val="auto"/>
        </w:rPr>
      </w:pPr>
    </w:p>
    <w:p>
      <w:pPr>
        <w:ind w:right="120" w:firstLine="1952"/>
        <w:spacing w:after="0" w:line="236" w:lineRule="auto"/>
        <w:tabs>
          <w:tab w:leader="none" w:pos="2587"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means the individual to whom this Award has been granted as identified on the attached Long-Term Incentive Awards Summary Schedule.</w:t>
      </w:r>
    </w:p>
    <w:p>
      <w:pPr>
        <w:spacing w:after="0" w:line="150" w:lineRule="exact"/>
        <w:rPr>
          <w:rFonts w:ascii="Times New Roman" w:cs="Times New Roman" w:eastAsia="Times New Roman" w:hAnsi="Times New Roman"/>
          <w:sz w:val="22"/>
          <w:szCs w:val="22"/>
          <w:color w:val="auto"/>
        </w:rPr>
      </w:pPr>
    </w:p>
    <w:p>
      <w:pPr>
        <w:ind w:right="60" w:firstLine="1952"/>
        <w:spacing w:after="0" w:line="225" w:lineRule="auto"/>
        <w:tabs>
          <w:tab w:leader="none" w:pos="2580"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Incentive Awards Summary Schedule</w:t>
      </w:r>
      <w:r>
        <w:rPr>
          <w:rFonts w:ascii="Times New Roman" w:cs="Times New Roman" w:eastAsia="Times New Roman" w:hAnsi="Times New Roman"/>
          <w:sz w:val="22"/>
          <w:szCs w:val="22"/>
          <w:color w:val="auto"/>
        </w:rPr>
        <w:t>” means the schedule attached hereto, which sets forth specific information relating to the grant and vesting of this Award (including the Service Condition applicable to this Award).</w:t>
      </w:r>
    </w:p>
    <w:p>
      <w:pPr>
        <w:spacing w:after="0" w:line="152" w:lineRule="exact"/>
        <w:rPr>
          <w:rFonts w:ascii="Times New Roman" w:cs="Times New Roman" w:eastAsia="Times New Roman" w:hAnsi="Times New Roman"/>
          <w:sz w:val="22"/>
          <w:szCs w:val="22"/>
          <w:color w:val="auto"/>
        </w:rPr>
      </w:pPr>
    </w:p>
    <w:p>
      <w:pPr>
        <w:ind w:right="140" w:firstLine="1952"/>
        <w:spacing w:after="0" w:line="236" w:lineRule="auto"/>
        <w:tabs>
          <w:tab w:leader="none" w:pos="2580"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2002 Restricted Stock Plan (as amended from time to time and including any successor plan thereto), incorporated herein by reference.</w:t>
      </w:r>
    </w:p>
    <w:p>
      <w:pPr>
        <w:spacing w:after="0" w:line="150" w:lineRule="exact"/>
        <w:rPr>
          <w:rFonts w:ascii="Times New Roman" w:cs="Times New Roman" w:eastAsia="Times New Roman" w:hAnsi="Times New Roman"/>
          <w:sz w:val="22"/>
          <w:szCs w:val="22"/>
          <w:color w:val="auto"/>
        </w:rPr>
      </w:pPr>
    </w:p>
    <w:p>
      <w:pPr>
        <w:ind w:right="80" w:firstLine="1952"/>
        <w:spacing w:after="0" w:line="236" w:lineRule="auto"/>
        <w:tabs>
          <w:tab w:leader="none" w:pos="2587"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means the Restricted Stock Units subject to Service Conditions granted to Grantee pursuant to this Agreement.</w:t>
      </w:r>
    </w:p>
    <w:p>
      <w:pPr>
        <w:spacing w:after="0" w:line="150" w:lineRule="exact"/>
        <w:rPr>
          <w:rFonts w:ascii="Times New Roman" w:cs="Times New Roman" w:eastAsia="Times New Roman" w:hAnsi="Times New Roman"/>
          <w:sz w:val="22"/>
          <w:szCs w:val="22"/>
          <w:color w:val="auto"/>
        </w:rPr>
      </w:pPr>
    </w:p>
    <w:p>
      <w:pPr>
        <w:ind w:right="220" w:firstLine="1952"/>
        <w:spacing w:after="0" w:line="236" w:lineRule="auto"/>
        <w:tabs>
          <w:tab w:leader="none" w:pos="2580"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Termination</w:t>
      </w:r>
      <w:r>
        <w:rPr>
          <w:rFonts w:ascii="Times New Roman" w:cs="Times New Roman" w:eastAsia="Times New Roman" w:hAnsi="Times New Roman"/>
          <w:sz w:val="22"/>
          <w:szCs w:val="22"/>
          <w:color w:val="auto"/>
        </w:rPr>
        <w:t>” means Grantee’s Termination of Employment after having reached age 62 and completed 10 or more Years of Service,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NBCU “Level A” RSU Grant Form (5-YR) (2022)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111058.00805/107012641v.46</w:t>
      </w:r>
    </w:p>
    <w:p>
      <w:pPr>
        <w:sectPr>
          <w:pgSz w:w="11900" w:h="16838" w:orient="portrait"/>
          <w:cols w:equalWidth="0" w:num="1">
            <w:col w:w="11240"/>
          </w:cols>
          <w:pgMar w:left="320" w:top="9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reason other than (i) due to Grantee’s death or Disability or (ii) by the applicable Participating Company for Cause.</w:t>
      </w:r>
    </w:p>
    <w:p>
      <w:pPr>
        <w:spacing w:after="0" w:line="179" w:lineRule="exact"/>
        <w:rPr>
          <w:sz w:val="20"/>
          <w:szCs w:val="20"/>
          <w:color w:val="auto"/>
        </w:rPr>
      </w:pPr>
    </w:p>
    <w:p>
      <w:pPr>
        <w:ind w:left="2580" w:hanging="628"/>
        <w:spacing w:after="0"/>
        <w:tabs>
          <w:tab w:leader="none" w:pos="25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means Rule 16b-3 promulgated under the 1934 Act, as in effect from time to time.</w:t>
      </w:r>
    </w:p>
    <w:p>
      <w:pPr>
        <w:spacing w:after="0" w:line="16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Condition</w:t>
      </w:r>
      <w:r>
        <w:rPr>
          <w:rFonts w:ascii="Times New Roman" w:cs="Times New Roman" w:eastAsia="Times New Roman" w:hAnsi="Times New Roman"/>
          <w:sz w:val="22"/>
          <w:szCs w:val="22"/>
          <w:color w:val="auto"/>
        </w:rPr>
        <w:t>” has the meaning set forth on the attached Long-Term Incentive Awards</w:t>
      </w:r>
    </w:p>
    <w:p>
      <w:pPr>
        <w:spacing w:after="0"/>
        <w:rPr>
          <w:sz w:val="20"/>
          <w:szCs w:val="20"/>
          <w:color w:val="auto"/>
        </w:rPr>
      </w:pPr>
      <w:r>
        <w:rPr>
          <w:rFonts w:ascii="Times New Roman" w:cs="Times New Roman" w:eastAsia="Times New Roman" w:hAnsi="Times New Roman"/>
          <w:sz w:val="22"/>
          <w:szCs w:val="22"/>
          <w:color w:val="auto"/>
        </w:rPr>
        <w:t>Summary Schedule.</w:t>
      </w:r>
    </w:p>
    <w:p>
      <w:pPr>
        <w:spacing w:after="0" w:line="142" w:lineRule="exact"/>
        <w:rPr>
          <w:sz w:val="20"/>
          <w:szCs w:val="20"/>
          <w:color w:val="auto"/>
        </w:rPr>
      </w:pPr>
    </w:p>
    <w:p>
      <w:pPr>
        <w:ind w:left="2600" w:hanging="648"/>
        <w:spacing w:after="0"/>
        <w:tabs>
          <w:tab w:leader="none" w:pos="26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Vesting Date</w:t>
      </w:r>
      <w:r>
        <w:rPr>
          <w:rFonts w:ascii="Times New Roman" w:cs="Times New Roman" w:eastAsia="Times New Roman" w:hAnsi="Times New Roman"/>
          <w:sz w:val="22"/>
          <w:szCs w:val="22"/>
          <w:color w:val="auto"/>
        </w:rPr>
        <w:t>” has the meaning set forth on the attached Long-Term Incentive Awards</w:t>
      </w:r>
    </w:p>
    <w:p>
      <w:pPr>
        <w:spacing w:after="0"/>
        <w:rPr>
          <w:sz w:val="20"/>
          <w:szCs w:val="20"/>
          <w:color w:val="auto"/>
        </w:rPr>
      </w:pPr>
      <w:r>
        <w:rPr>
          <w:rFonts w:ascii="Times New Roman" w:cs="Times New Roman" w:eastAsia="Times New Roman" w:hAnsi="Times New Roman"/>
          <w:sz w:val="22"/>
          <w:szCs w:val="22"/>
          <w:color w:val="auto"/>
        </w:rPr>
        <w:t>Summary Schedule.</w:t>
      </w:r>
    </w:p>
    <w:p>
      <w:pPr>
        <w:spacing w:after="0" w:line="155" w:lineRule="exact"/>
        <w:rPr>
          <w:sz w:val="20"/>
          <w:szCs w:val="20"/>
          <w:color w:val="auto"/>
        </w:rPr>
      </w:pPr>
    </w:p>
    <w:p>
      <w:pPr>
        <w:ind w:right="40" w:firstLine="1952"/>
        <w:spacing w:after="0" w:line="211" w:lineRule="auto"/>
        <w:tabs>
          <w:tab w:leader="none" w:pos="2587"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means Grantee’s termination of employment with the Participating Companies. For purposes of the Plan and this Award, Grantee’s Termination of Employment occurs on the date Grantee ceases to have a regular obligation to perform services for the Participating Companies, without regard to whether (i) Grantee continues on the payroll of any Participating Company for regular, severance or other pay or (ii) Grantee continues to participate in one or more health and welfare plans maintained by any Participating Company on the same basis as active employees. Whether Grantee ceases to have a regular obligation to perform services for the Participating Companies shall be determined by the Committee in its sole discretion. Notwithstanding the foregoing, if Grantee is a party to an employment agreement or severance agreement with any Participating Company which establishes the effective date of Grantee’s termination of employment for purposes of this Award, that date shall apply.</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 shares of the Company’s Class A Common Stock, par value $.01 per share.</w:t>
      </w:r>
    </w:p>
    <w:p>
      <w:pPr>
        <w:spacing w:after="0" w:line="179" w:lineRule="exact"/>
        <w:rPr>
          <w:rFonts w:ascii="Times New Roman" w:cs="Times New Roman" w:eastAsia="Times New Roman" w:hAnsi="Times New Roman"/>
          <w:sz w:val="22"/>
          <w:szCs w:val="22"/>
          <w:color w:val="auto"/>
        </w:rPr>
      </w:pPr>
    </w:p>
    <w:p>
      <w:pPr>
        <w:ind w:right="420" w:firstLine="1952"/>
        <w:spacing w:after="0" w:line="225" w:lineRule="auto"/>
        <w:tabs>
          <w:tab w:leader="none" w:pos="25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means the date(s) on which the Service Conditions applicable to any Restricted Stock Units are satisfied (or deemed satisfied) pursuant to the terms of this Agreement (including the Long-Term Incentive Awards Summary Schedule).</w:t>
      </w:r>
    </w:p>
    <w:p>
      <w:pPr>
        <w:spacing w:after="0" w:line="152" w:lineRule="exact"/>
        <w:rPr>
          <w:rFonts w:ascii="Times New Roman" w:cs="Times New Roman" w:eastAsia="Times New Roman" w:hAnsi="Times New Roman"/>
          <w:sz w:val="22"/>
          <w:szCs w:val="22"/>
          <w:color w:val="auto"/>
        </w:rPr>
      </w:pPr>
    </w:p>
    <w:p>
      <w:pPr>
        <w:ind w:right="560" w:firstLine="1952"/>
        <w:spacing w:after="0" w:line="236" w:lineRule="auto"/>
        <w:tabs>
          <w:tab w:leader="none" w:pos="259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Years of Service</w:t>
      </w:r>
      <w:r>
        <w:rPr>
          <w:rFonts w:ascii="Times New Roman" w:cs="Times New Roman" w:eastAsia="Times New Roman" w:hAnsi="Times New Roman"/>
          <w:sz w:val="22"/>
          <w:szCs w:val="22"/>
          <w:color w:val="auto"/>
        </w:rPr>
        <w:t>” means completed continuous years of service as reflected in the personnel records of the Company and the Subsidiary Companies.</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1934 Act</w:t>
      </w:r>
      <w:r>
        <w:rPr>
          <w:rFonts w:ascii="Times New Roman" w:cs="Times New Roman" w:eastAsia="Times New Roman" w:hAnsi="Times New Roman"/>
          <w:sz w:val="22"/>
          <w:szCs w:val="22"/>
          <w:color w:val="auto"/>
        </w:rPr>
        <w:t>” means the Securities Exchange Act of 1934, as amended.</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952"/>
        <w:spacing w:after="0" w:line="217" w:lineRule="auto"/>
        <w:tabs>
          <w:tab w:leader="none" w:pos="2589"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and in the Plan and Paragraph 2(b), the Company hereby grants to Grantee the Restricted Stock Units as set forth in the Long-Term Incentive Awards Summary Schedule attached hereto. Each Restricted Stock Unit represents the right to receive one Share as set forth in the Long-Term Incentive Awards Summary Schedule, subject to the terms and conditions set forth herein and in the Plan, including the satisfaction of the applicable Service Condition.</w:t>
      </w:r>
    </w:p>
    <w:p>
      <w:pPr>
        <w:spacing w:after="0" w:line="152" w:lineRule="exact"/>
        <w:rPr>
          <w:rFonts w:ascii="Times New Roman" w:cs="Times New Roman" w:eastAsia="Times New Roman" w:hAnsi="Times New Roman"/>
          <w:sz w:val="22"/>
          <w:szCs w:val="22"/>
          <w:color w:val="auto"/>
        </w:rPr>
      </w:pPr>
    </w:p>
    <w:p>
      <w:pPr>
        <w:jc w:val="both"/>
        <w:ind w:right="160" w:firstLine="1952"/>
        <w:spacing w:after="0" w:line="231" w:lineRule="auto"/>
        <w:tabs>
          <w:tab w:leader="none" w:pos="2587"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reserves the right to replace the Restricted Stock Units, to the extent not yet vested, with other compensation of comparable value, terms and conditions if, before the Vesting Date, the Company determines that in connection with Grantee’s transfer to a location different from Grantee’s principal place of business on the Date of Grant, local regulatory requirements render Grantee’s continued holding of unvested Restricted Stock Units impracticable.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394" w:right="359" w:bottom="1440" w:gutter="0" w:footer="0" w:header="0"/>
        </w:sectPr>
      </w:pPr>
    </w:p>
    <w:bookmarkStart w:id="138" w:name="page139"/>
    <w:bookmarkEnd w:id="138"/>
    <w:p>
      <w:pPr>
        <w:ind w:left="1520" w:hanging="656"/>
        <w:spacing w:after="0"/>
        <w:tabs>
          <w:tab w:leader="none" w:pos="15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440" w:right="160" w:firstLine="1952"/>
        <w:spacing w:after="0" w:line="220" w:lineRule="auto"/>
        <w:tabs>
          <w:tab w:leader="none" w:pos="2149"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are granted with dividend equivalent rights. If the Company declares a cash dividend on the Shares, an amount equivalent to such dividend will be credited to an unfunded bookkeeping account with respect to each outstanding and unvested Restricted Stock Unit (the “</w:t>
      </w:r>
      <w:r>
        <w:rPr>
          <w:rFonts w:ascii="Times New Roman" w:cs="Times New Roman" w:eastAsia="Times New Roman" w:hAnsi="Times New Roman"/>
          <w:sz w:val="22"/>
          <w:szCs w:val="22"/>
          <w:u w:val="single" w:color="auto"/>
          <w:color w:val="auto"/>
        </w:rPr>
        <w:t>Dividend Equivalent Amount</w:t>
      </w:r>
      <w:r>
        <w:rPr>
          <w:rFonts w:ascii="Times New Roman" w:cs="Times New Roman" w:eastAsia="Times New Roman" w:hAnsi="Times New Roman"/>
          <w:sz w:val="22"/>
          <w:szCs w:val="22"/>
          <w:color w:val="auto"/>
        </w:rPr>
        <w:t>”) on the record date of such dividend.</w:t>
      </w:r>
    </w:p>
    <w:p>
      <w:pPr>
        <w:spacing w:after="0" w:line="152" w:lineRule="exact"/>
        <w:rPr>
          <w:rFonts w:ascii="Times New Roman" w:cs="Times New Roman" w:eastAsia="Times New Roman" w:hAnsi="Times New Roman"/>
          <w:sz w:val="22"/>
          <w:szCs w:val="22"/>
          <w:color w:val="auto"/>
        </w:rPr>
      </w:pPr>
    </w:p>
    <w:p>
      <w:pPr>
        <w:ind w:left="-440" w:right="600" w:firstLine="1952"/>
        <w:spacing w:after="0" w:line="217" w:lineRule="auto"/>
        <w:tabs>
          <w:tab w:leader="none" w:pos="2147"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Dividend Equivalent Amount will be credited as cash, without interest, and will not be converted to Shares. The Dividend Equivalent Amount will be payable in cash, but subject to and only upon the applicable Vesting Date(s) of the underlying Restricted Stock Units as determined in accordance with Paragraph 4 below, and will be cancelled and forfeited if the underlying Restricted Stock Units are cancelled or forfeited (including as a result of failing to satisfy the applicable Service Condition).</w:t>
      </w:r>
    </w:p>
    <w:p>
      <w:pPr>
        <w:spacing w:after="0" w:line="152" w:lineRule="exact"/>
        <w:rPr>
          <w:rFonts w:ascii="Times New Roman" w:cs="Times New Roman" w:eastAsia="Times New Roman" w:hAnsi="Times New Roman"/>
          <w:sz w:val="22"/>
          <w:szCs w:val="22"/>
          <w:color w:val="auto"/>
        </w:rPr>
      </w:pPr>
    </w:p>
    <w:p>
      <w:pPr>
        <w:ind w:left="1520" w:hanging="656"/>
        <w:spacing w:after="0"/>
        <w:tabs>
          <w:tab w:leader="none" w:pos="15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440" w:right="40" w:firstLine="1952"/>
        <w:spacing w:after="0" w:line="220" w:lineRule="auto"/>
        <w:tabs>
          <w:tab w:leader="none" w:pos="2149"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and in the Plan, the Restricted Stock Units shall vest in accordance with the terms and conditions set forth on the attached Long-Term Incentive Awards Summary Schedule. As of the applicable Vesting Date, Grantee shall be entitled to the delivery of Shares with respect to the applicable Restricted Stock Units.</w:t>
      </w:r>
    </w:p>
    <w:p>
      <w:pPr>
        <w:spacing w:after="0" w:line="152" w:lineRule="exact"/>
        <w:rPr>
          <w:rFonts w:ascii="Times New Roman" w:cs="Times New Roman" w:eastAsia="Times New Roman" w:hAnsi="Times New Roman"/>
          <w:sz w:val="22"/>
          <w:szCs w:val="22"/>
          <w:color w:val="auto"/>
        </w:rPr>
      </w:pPr>
    </w:p>
    <w:p>
      <w:pPr>
        <w:ind w:left="-440" w:firstLine="1952"/>
        <w:spacing w:after="0" w:line="225" w:lineRule="auto"/>
        <w:tabs>
          <w:tab w:leader="none" w:pos="2147"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Service Condition applicable to the Restricted Stock Units shall be deemed fully satisfied upon Grantee’s Termination of Employment due to Grantee’s death or Disability.</w:t>
      </w:r>
    </w:p>
    <w:p>
      <w:pPr>
        <w:spacing w:after="0" w:line="152" w:lineRule="exact"/>
        <w:rPr>
          <w:rFonts w:ascii="Times New Roman" w:cs="Times New Roman" w:eastAsia="Times New Roman" w:hAnsi="Times New Roman"/>
          <w:sz w:val="22"/>
          <w:szCs w:val="22"/>
          <w:color w:val="auto"/>
        </w:rPr>
      </w:pPr>
    </w:p>
    <w:p>
      <w:pPr>
        <w:ind w:left="-440" w:right="740" w:firstLine="1952"/>
        <w:spacing w:after="0" w:line="236" w:lineRule="auto"/>
        <w:tabs>
          <w:tab w:leader="none" w:pos="2149"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Paragraphs 4(a) to the contrary, and subject to the obligations described in Paragraph 4(d), if, Grantee has a Retirement Termination, and, at the time of such Retirement Termination:</w:t>
      </w:r>
    </w:p>
    <w:p>
      <w:pPr>
        <w:spacing w:after="0" w:line="150" w:lineRule="exact"/>
        <w:rPr>
          <w:rFonts w:ascii="Times New Roman" w:cs="Times New Roman" w:eastAsia="Times New Roman" w:hAnsi="Times New Roman"/>
          <w:sz w:val="22"/>
          <w:szCs w:val="22"/>
          <w:color w:val="auto"/>
        </w:rPr>
      </w:pPr>
    </w:p>
    <w:p>
      <w:pPr>
        <w:ind w:left="-440" w:firstLine="2600"/>
        <w:spacing w:after="0" w:line="206" w:lineRule="auto"/>
        <w:tabs>
          <w:tab w:leader="none" w:pos="2795"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has completed at least ten (10) but less than fifteen (15) Years of Service, any Service Vesting Date applicable to the Restricted Stock Units that would have occurred on or prior to the date that is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such Retirement Termination shall continue to occur in accordance with the terms of the Long-Term Incentive Awards Summary Schedule, and the Restricted Stock Units will remain outstanding as of each Vesting Date, Grantee shall be entitled to the delivery of Shares with respect to such Restricted Stock Units.</w:t>
      </w:r>
    </w:p>
    <w:p>
      <w:pPr>
        <w:spacing w:after="0" w:line="151" w:lineRule="exact"/>
        <w:rPr>
          <w:rFonts w:ascii="Times New Roman" w:cs="Times New Roman" w:eastAsia="Times New Roman" w:hAnsi="Times New Roman"/>
          <w:sz w:val="22"/>
          <w:szCs w:val="22"/>
          <w:color w:val="auto"/>
        </w:rPr>
      </w:pPr>
    </w:p>
    <w:p>
      <w:pPr>
        <w:ind w:left="-440" w:firstLine="2600"/>
        <w:spacing w:after="0" w:line="206" w:lineRule="auto"/>
        <w:tabs>
          <w:tab w:leader="none" w:pos="2795"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has completed at least fifteen (15) but less than twenty (20) Years of Service, any Service Vesting Date applicable to the Restricted Stock Units that would have occurred on or prior to the date that is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such Retirement Termination shall continue to occur in accordance with the terms of the Long-Term Incentive Awards Summary Schedule, and the Restricted Stock Units will remain outstanding as of each Vesting Date, Grantee shall be entitled to the delivery of Shares with respect to such Restricted Stock Units.</w:t>
      </w:r>
    </w:p>
    <w:p>
      <w:pPr>
        <w:spacing w:after="0" w:line="151" w:lineRule="exact"/>
        <w:rPr>
          <w:rFonts w:ascii="Times New Roman" w:cs="Times New Roman" w:eastAsia="Times New Roman" w:hAnsi="Times New Roman"/>
          <w:sz w:val="22"/>
          <w:szCs w:val="22"/>
          <w:color w:val="auto"/>
        </w:rPr>
      </w:pPr>
    </w:p>
    <w:p>
      <w:pPr>
        <w:ind w:left="-440" w:firstLine="2600"/>
        <w:spacing w:after="0" w:line="206" w:lineRule="auto"/>
        <w:tabs>
          <w:tab w:leader="none" w:pos="2795"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has completed twenty (20) or more Years of Service, any Service Vesting Date applicable to the Restricted Stock Units that would have occurred on or prior to the date that is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such Retirement Termination shall continue to occur in accordance with the terms of the Long-Term Incentive Awards Summary Schedule, and the Restricted Stock Units will remain outstanding as of each Vesting Date, Grantee shall be entitled to the delivery of Shares with respect to such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800"/>
          </w:cols>
          <w:pgMar w:left="760" w:top="1394" w:right="339" w:bottom="1440" w:gutter="0" w:footer="0" w:header="0"/>
        </w:sectPr>
      </w:pPr>
    </w:p>
    <w:bookmarkStart w:id="139" w:name="page140"/>
    <w:bookmarkEnd w:id="139"/>
    <w:p>
      <w:pPr>
        <w:jc w:val="both"/>
        <w:ind w:left="-440" w:right="480" w:firstLine="1952"/>
        <w:spacing w:after="0" w:line="225" w:lineRule="auto"/>
        <w:tabs>
          <w:tab w:leader="none" w:pos="2147"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4(c),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pacing w:after="0" w:line="152" w:lineRule="exact"/>
        <w:rPr>
          <w:rFonts w:ascii="Times New Roman" w:cs="Times New Roman" w:eastAsia="Times New Roman" w:hAnsi="Times New Roman"/>
          <w:sz w:val="22"/>
          <w:szCs w:val="22"/>
          <w:color w:val="auto"/>
        </w:rPr>
      </w:pPr>
    </w:p>
    <w:p>
      <w:pPr>
        <w:ind w:left="-440" w:right="80" w:firstLine="2600"/>
        <w:spacing w:after="0" w:line="225" w:lineRule="auto"/>
        <w:tabs>
          <w:tab w:leader="none" w:pos="2795"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52" w:lineRule="exact"/>
        <w:rPr>
          <w:rFonts w:ascii="Times New Roman" w:cs="Times New Roman" w:eastAsia="Times New Roman" w:hAnsi="Times New Roman"/>
          <w:sz w:val="22"/>
          <w:szCs w:val="22"/>
          <w:color w:val="auto"/>
        </w:rPr>
      </w:pPr>
    </w:p>
    <w:p>
      <w:pPr>
        <w:ind w:left="-440" w:firstLine="2600"/>
        <w:spacing w:after="0" w:line="222" w:lineRule="auto"/>
        <w:tabs>
          <w:tab w:leader="none" w:pos="2795" w:val="left"/>
        </w:tabs>
        <w:numPr>
          <w:ilvl w:val="2"/>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149" w:lineRule="exact"/>
        <w:rPr>
          <w:rFonts w:ascii="Times New Roman" w:cs="Times New Roman" w:eastAsia="Times New Roman" w:hAnsi="Times New Roman"/>
          <w:sz w:val="21"/>
          <w:szCs w:val="21"/>
          <w:color w:val="auto"/>
        </w:rPr>
      </w:pPr>
    </w:p>
    <w:p>
      <w:pPr>
        <w:ind w:left="1520" w:hanging="656"/>
        <w:spacing w:after="0"/>
        <w:tabs>
          <w:tab w:leader="none" w:pos="152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Restricted Stock Units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440" w:right="160" w:firstLine="1952"/>
        <w:spacing w:after="0" w:line="220" w:lineRule="auto"/>
        <w:tabs>
          <w:tab w:leader="none" w:pos="2149"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and in the Plan, in the event of Grantee’s Termination of Employment other than due to (i) Grantee’s death or Disability or (ii) Grantee’s Retirement Termination, Grantee shall forfeit the Restricted Stock Units effective as of such Termination of Employment. Upon a forfeiture of the Restricted Stock Units as provided in this Paragraph 5, the Restricted Stock Units shall be deemed canceled.</w:t>
      </w:r>
    </w:p>
    <w:p>
      <w:pPr>
        <w:spacing w:after="0" w:line="152" w:lineRule="exact"/>
        <w:rPr>
          <w:rFonts w:ascii="Times New Roman" w:cs="Times New Roman" w:eastAsia="Times New Roman" w:hAnsi="Times New Roman"/>
          <w:sz w:val="22"/>
          <w:szCs w:val="22"/>
          <w:color w:val="auto"/>
        </w:rPr>
      </w:pPr>
    </w:p>
    <w:p>
      <w:pPr>
        <w:ind w:left="-440" w:right="80" w:firstLine="1952"/>
        <w:spacing w:after="0" w:line="236" w:lineRule="auto"/>
        <w:tabs>
          <w:tab w:leader="none" w:pos="2147"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Paragraph 5(a) shall not apply to Shares issued in respect of the Restricted Stock Units as to which a Vesting Date has occurred.</w:t>
      </w:r>
    </w:p>
    <w:p>
      <w:pPr>
        <w:spacing w:after="0" w:line="150" w:lineRule="exact"/>
        <w:rPr>
          <w:rFonts w:ascii="Times New Roman" w:cs="Times New Roman" w:eastAsia="Times New Roman" w:hAnsi="Times New Roman"/>
          <w:sz w:val="22"/>
          <w:szCs w:val="22"/>
          <w:color w:val="auto"/>
        </w:rPr>
      </w:pPr>
    </w:p>
    <w:p>
      <w:pPr>
        <w:ind w:left="-440" w:right="20" w:firstLine="1304"/>
        <w:spacing w:after="0" w:line="217" w:lineRule="auto"/>
        <w:tabs>
          <w:tab w:leader="none" w:pos="150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to the Company under this Agreement shall be made in care of the Committee at the Company’s main office in Philadelphia, Pennsylvania. The address for Grantee to which notice, demands and other communications to be given or delivered under or by reason of the provisions hereof shall be Grantee’s address as reflected in the Company’s personnel records. All notices under this Agreement shall be deemed to have been given when hand-delivered or mailed, first class postage prepaid, and shall be irrevocable once given.</w:t>
      </w:r>
    </w:p>
    <w:p>
      <w:pPr>
        <w:spacing w:after="0" w:line="152" w:lineRule="exact"/>
        <w:rPr>
          <w:rFonts w:ascii="Times New Roman" w:cs="Times New Roman" w:eastAsia="Times New Roman" w:hAnsi="Times New Roman"/>
          <w:sz w:val="22"/>
          <w:szCs w:val="22"/>
          <w:color w:val="auto"/>
        </w:rPr>
      </w:pPr>
    </w:p>
    <w:p>
      <w:pPr>
        <w:jc w:val="both"/>
        <w:ind w:left="-440" w:right="20" w:firstLine="1304"/>
        <w:spacing w:after="0" w:line="225" w:lineRule="auto"/>
        <w:tabs>
          <w:tab w:leader="none" w:pos="150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The Committee may from time to time impose any conditions on the Shares issuable with respect to Restricted Stock Units as it deems necessary or advisable to ensure that the Plan and this Award satisfies the conditions of Rule 16b-3, and that Shares are issued and resold in compliance with the Securities Act of 1933, as amended.</w:t>
      </w:r>
    </w:p>
    <w:p>
      <w:pPr>
        <w:spacing w:after="0" w:line="152" w:lineRule="exact"/>
        <w:rPr>
          <w:rFonts w:ascii="Times New Roman" w:cs="Times New Roman" w:eastAsia="Times New Roman" w:hAnsi="Times New Roman"/>
          <w:sz w:val="22"/>
          <w:szCs w:val="22"/>
          <w:color w:val="auto"/>
        </w:rPr>
      </w:pPr>
    </w:p>
    <w:p>
      <w:pPr>
        <w:ind w:left="-440" w:right="40" w:firstLine="1304"/>
        <w:spacing w:after="0" w:line="217" w:lineRule="auto"/>
        <w:tabs>
          <w:tab w:leader="none" w:pos="150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w:t>
      </w:r>
      <w:r>
        <w:rPr>
          <w:rFonts w:ascii="Times New Roman" w:cs="Times New Roman" w:eastAsia="Times New Roman" w:hAnsi="Times New Roman"/>
          <w:sz w:val="22"/>
          <w:szCs w:val="22"/>
          <w:color w:val="auto"/>
        </w:rPr>
        <w:t>. The Company shall notify Grantee that a Vesting Date with respect to Restricted Stock Units has occurred. Within ten (10) business days of a Vesting Date, the Company shall, without payment from Grantee, satisfy its obligations to (1) pay the Dividend Equivalent Amount (if any) and (2) deliver Shares underlying the applicable Restricted Stock Units by arranging for the recording of Grantee’s ownership of Shares issuable under the Plan on a book entry recordkeeping system maintained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780"/>
          </w:cols>
          <w:pgMar w:left="760" w:top="1394" w:right="359" w:bottom="1440" w:gutter="0" w:footer="0" w:header="0"/>
        </w:sectPr>
      </w:pPr>
    </w:p>
    <w:bookmarkStart w:id="140" w:name="page141"/>
    <w:bookmarkEnd w:id="140"/>
    <w:p>
      <w:pPr>
        <w:spacing w:after="0" w:line="212" w:lineRule="auto"/>
        <w:rPr>
          <w:sz w:val="20"/>
          <w:szCs w:val="20"/>
          <w:color w:val="auto"/>
        </w:rPr>
      </w:pPr>
      <w:r>
        <w:rPr>
          <w:rFonts w:ascii="Times New Roman" w:cs="Times New Roman" w:eastAsia="Times New Roman" w:hAnsi="Times New Roman"/>
          <w:sz w:val="22"/>
          <w:szCs w:val="22"/>
          <w:color w:val="auto"/>
        </w:rPr>
        <w:t xml:space="preserve">without any legend or restrictions, except for such restrictions as may be imposed by the Committee, in its sole judgment, under Paragraph 7,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multiplied by the Fair Market Value of a Share on the Vesting Date, as determined by the Committee.</w:t>
      </w:r>
    </w:p>
    <w:p>
      <w:pPr>
        <w:spacing w:after="0" w:line="156" w:lineRule="exact"/>
        <w:rPr>
          <w:sz w:val="20"/>
          <w:szCs w:val="20"/>
          <w:color w:val="auto"/>
        </w:rPr>
      </w:pPr>
    </w:p>
    <w:p>
      <w:pPr>
        <w:ind w:right="120" w:firstLine="1304"/>
        <w:spacing w:after="0" w:line="225" w:lineRule="auto"/>
        <w:tabs>
          <w:tab w:leader="none" w:pos="19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Prior to Settlement</w:t>
      </w:r>
      <w:r>
        <w:rPr>
          <w:rFonts w:ascii="Times New Roman" w:cs="Times New Roman" w:eastAsia="Times New Roman" w:hAnsi="Times New Roman"/>
          <w:sz w:val="22"/>
          <w:szCs w:val="22"/>
          <w:color w:val="auto"/>
        </w:rPr>
        <w:t>. Grantee shall not have any right as a stockholder with respect to any Shares subject to his or her Restricted Stock Unit until the Restricted Stock Unit shall have been settled in accordance with the terms of the Plan and this Agreement, and the Company shall have delivered the Shares.</w:t>
      </w:r>
    </w:p>
    <w:p>
      <w:pPr>
        <w:spacing w:after="0" w:line="152" w:lineRule="exact"/>
        <w:rPr>
          <w:rFonts w:ascii="Times New Roman" w:cs="Times New Roman" w:eastAsia="Times New Roman" w:hAnsi="Times New Roman"/>
          <w:sz w:val="22"/>
          <w:szCs w:val="22"/>
          <w:color w:val="auto"/>
        </w:rPr>
      </w:pPr>
    </w:p>
    <w:p>
      <w:pPr>
        <w:ind w:right="180" w:firstLine="1304"/>
        <w:spacing w:after="0" w:line="236" w:lineRule="auto"/>
        <w:tabs>
          <w:tab w:leader="none" w:pos="19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Not to Affect Employment</w:t>
      </w:r>
      <w:r>
        <w:rPr>
          <w:rFonts w:ascii="Times New Roman" w:cs="Times New Roman" w:eastAsia="Times New Roman" w:hAnsi="Times New Roman"/>
          <w:sz w:val="22"/>
          <w:szCs w:val="22"/>
          <w:color w:val="auto"/>
        </w:rPr>
        <w:t>. The Award granted hereunder shall not confer upon Grantee any right to continue in the employment of the Company or any Subsidiary Company or Affiliate of the Company.</w:t>
      </w:r>
    </w:p>
    <w:p>
      <w:pPr>
        <w:spacing w:after="0" w:line="150" w:lineRule="exact"/>
        <w:rPr>
          <w:rFonts w:ascii="Times New Roman" w:cs="Times New Roman" w:eastAsia="Times New Roman" w:hAnsi="Times New Roman"/>
          <w:sz w:val="22"/>
          <w:szCs w:val="22"/>
          <w:color w:val="auto"/>
        </w:rPr>
      </w:pPr>
    </w:p>
    <w:p>
      <w:pPr>
        <w:ind w:right="80" w:firstLine="1304"/>
        <w:spacing w:after="0" w:line="236" w:lineRule="auto"/>
        <w:tabs>
          <w:tab w:leader="none" w:pos="193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performance, construction and effect of this Award shall be governed by the laws of the Commonwealth of Pennsylvania, without giving effect to principles of conflicts of law.</w:t>
      </w:r>
    </w:p>
    <w:p>
      <w:pPr>
        <w:spacing w:after="0" w:line="17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WITNESS WHEREOF, the Company has granted this Award on the Date of Grant.</w:t>
      </w:r>
    </w:p>
    <w:p>
      <w:pPr>
        <w:spacing w:after="0" w:line="219"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COMCAST CORPORATION</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394" w:right="37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196" w:lineRule="exact"/>
        <w:rPr>
          <w:sz w:val="20"/>
          <w:szCs w:val="20"/>
          <w:color w:val="auto"/>
        </w:rPr>
      </w:pPr>
    </w:p>
    <w:p>
      <w:pPr>
        <w:ind w:right="760" w:firstLine="1296"/>
        <w:spacing w:after="0" w:line="284" w:lineRule="auto"/>
        <w:rPr>
          <w:sz w:val="20"/>
          <w:szCs w:val="20"/>
          <w:color w:val="auto"/>
        </w:rPr>
      </w:pPr>
      <w:r>
        <w:rPr>
          <w:rFonts w:ascii="Times New Roman" w:cs="Times New Roman" w:eastAsia="Times New Roman" w:hAnsi="Times New Roman"/>
          <w:sz w:val="22"/>
          <w:szCs w:val="22"/>
          <w:color w:val="auto"/>
        </w:rPr>
        <w:t>This Restricted Stock Unit Award Agreement dated March 1, 2023 (together with all schedules hereto, the “Agreement”) is entered into by and between Comcast Corporation (the “Company”) and Grantee.</w:t>
      </w:r>
    </w:p>
    <w:p>
      <w:pPr>
        <w:spacing w:after="0" w:line="117" w:lineRule="exact"/>
        <w:rPr>
          <w:sz w:val="20"/>
          <w:szCs w:val="20"/>
          <w:color w:val="auto"/>
        </w:rPr>
      </w:pPr>
    </w:p>
    <w:p>
      <w:pPr>
        <w:ind w:right="60" w:firstLine="1304"/>
        <w:spacing w:after="0" w:line="236" w:lineRule="auto"/>
        <w:tabs>
          <w:tab w:leader="none" w:pos="194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have the meanings ascribed to them below. Capitalized terms used in this Agreement but not defined herein have the meanings given to them in the Plan.</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the award of Restricted Stock Units granted pursuant to this Agreement.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auto"/>
        </w:rPr>
      </w:pPr>
    </w:p>
    <w:p>
      <w:pPr>
        <w:ind w:right="40" w:firstLine="1952"/>
        <w:spacing w:after="0" w:line="222" w:lineRule="auto"/>
        <w:tabs>
          <w:tab w:leader="none" w:pos="2589" w:val="left"/>
        </w:tabs>
        <w:numPr>
          <w:ilvl w:val="2"/>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has the meaning set forth in the Grantee’s employment agreement with the Company, or, if no such agreement exists or such agreement has expired prior to such time, then “Cause” means (i) fraud; (ii) embezzlement or other misappropriation of funds; (iii) gross negligence or willful misconduct in the performance of duties; (iv) self-dealing;</w:t>
      </w:r>
    </w:p>
    <w:p>
      <w:pPr>
        <w:spacing w:after="0" w:line="1" w:lineRule="exact"/>
        <w:rPr>
          <w:rFonts w:ascii="Times New Roman" w:cs="Times New Roman" w:eastAsia="Times New Roman" w:hAnsi="Times New Roman"/>
          <w:sz w:val="21"/>
          <w:szCs w:val="21"/>
          <w:color w:val="auto"/>
        </w:rPr>
      </w:pPr>
    </w:p>
    <w:p>
      <w:pPr>
        <w:ind w:right="860" w:firstLine="8"/>
        <w:spacing w:after="0" w:line="225" w:lineRule="auto"/>
        <w:tabs>
          <w:tab w:leader="none" w:pos="30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misrepresentation with respect to the Company; (vi) conviction of a felony; or (vii) material violation of the Employee Handbook, the Code of Conduct or any other written Company policy.</w:t>
      </w:r>
    </w:p>
    <w:p>
      <w:pPr>
        <w:spacing w:after="0" w:line="14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its delegate.</w:t>
      </w:r>
    </w:p>
    <w:p>
      <w:pPr>
        <w:spacing w:after="0" w:line="17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means the date first set forth above, on which the Company awarded the Restricted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Stock Units to Grantee.</w:t>
      </w:r>
    </w:p>
    <w:p>
      <w:pPr>
        <w:spacing w:after="0" w:line="155" w:lineRule="exact"/>
        <w:rPr>
          <w:rFonts w:ascii="Times New Roman" w:cs="Times New Roman" w:eastAsia="Times New Roman" w:hAnsi="Times New Roman"/>
          <w:sz w:val="21"/>
          <w:szCs w:val="21"/>
          <w:color w:val="auto"/>
        </w:rPr>
      </w:pPr>
    </w:p>
    <w:p>
      <w:pPr>
        <w:ind w:right="420" w:firstLine="1952"/>
        <w:spacing w:after="0" w:line="236" w:lineRule="auto"/>
        <w:tabs>
          <w:tab w:leader="none" w:pos="2587"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means the Company, the Subsidiary Company, or the Affiliate or which Grantee is performing services on the Vesting Date.</w:t>
      </w:r>
    </w:p>
    <w:p>
      <w:pPr>
        <w:spacing w:after="0" w:line="150" w:lineRule="exact"/>
        <w:rPr>
          <w:rFonts w:ascii="Times New Roman" w:cs="Times New Roman" w:eastAsia="Times New Roman" w:hAnsi="Times New Roman"/>
          <w:sz w:val="22"/>
          <w:szCs w:val="22"/>
          <w:color w:val="auto"/>
        </w:rPr>
      </w:pPr>
    </w:p>
    <w:p>
      <w:pPr>
        <w:ind w:right="120" w:firstLine="1952"/>
        <w:spacing w:after="0" w:line="236" w:lineRule="auto"/>
        <w:tabs>
          <w:tab w:leader="none" w:pos="2587"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means the individual to whom this Award has been granted as identified on the attached Long-Term Incentive Awards Summary Schedule.</w:t>
      </w:r>
    </w:p>
    <w:p>
      <w:pPr>
        <w:spacing w:after="0" w:line="150" w:lineRule="exact"/>
        <w:rPr>
          <w:rFonts w:ascii="Times New Roman" w:cs="Times New Roman" w:eastAsia="Times New Roman" w:hAnsi="Times New Roman"/>
          <w:sz w:val="22"/>
          <w:szCs w:val="22"/>
          <w:color w:val="auto"/>
        </w:rPr>
      </w:pPr>
    </w:p>
    <w:p>
      <w:pPr>
        <w:ind w:right="60" w:firstLine="1952"/>
        <w:spacing w:after="0" w:line="225" w:lineRule="auto"/>
        <w:tabs>
          <w:tab w:leader="none" w:pos="2580"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Incentive Awards Summary Schedule</w:t>
      </w:r>
      <w:r>
        <w:rPr>
          <w:rFonts w:ascii="Times New Roman" w:cs="Times New Roman" w:eastAsia="Times New Roman" w:hAnsi="Times New Roman"/>
          <w:sz w:val="22"/>
          <w:szCs w:val="22"/>
          <w:color w:val="auto"/>
        </w:rPr>
        <w:t>” means the schedule attached hereto, which sets forth specific information relating to the grant and vesting of this Award (including the Service Condition applicable to this Award).</w:t>
      </w:r>
    </w:p>
    <w:p>
      <w:pPr>
        <w:spacing w:after="0" w:line="152" w:lineRule="exact"/>
        <w:rPr>
          <w:rFonts w:ascii="Times New Roman" w:cs="Times New Roman" w:eastAsia="Times New Roman" w:hAnsi="Times New Roman"/>
          <w:sz w:val="22"/>
          <w:szCs w:val="22"/>
          <w:color w:val="auto"/>
        </w:rPr>
      </w:pPr>
    </w:p>
    <w:p>
      <w:pPr>
        <w:ind w:right="140" w:firstLine="1952"/>
        <w:spacing w:after="0" w:line="236" w:lineRule="auto"/>
        <w:tabs>
          <w:tab w:leader="none" w:pos="2580"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2002 Restricted Stock Plan (as amended from time to time and including any successor plan thereto), incorporated herein by reference.</w:t>
      </w:r>
    </w:p>
    <w:p>
      <w:pPr>
        <w:spacing w:after="0" w:line="150" w:lineRule="exact"/>
        <w:rPr>
          <w:rFonts w:ascii="Times New Roman" w:cs="Times New Roman" w:eastAsia="Times New Roman" w:hAnsi="Times New Roman"/>
          <w:sz w:val="22"/>
          <w:szCs w:val="22"/>
          <w:color w:val="auto"/>
        </w:rPr>
      </w:pPr>
    </w:p>
    <w:p>
      <w:pPr>
        <w:ind w:right="80" w:firstLine="1952"/>
        <w:spacing w:after="0" w:line="236" w:lineRule="auto"/>
        <w:tabs>
          <w:tab w:leader="none" w:pos="2587"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means the Restricted Stock Units subject to Service Conditions granted to Grantee pursuant to this Agreement.</w:t>
      </w:r>
    </w:p>
    <w:p>
      <w:pPr>
        <w:spacing w:after="0" w:line="150" w:lineRule="exact"/>
        <w:rPr>
          <w:rFonts w:ascii="Times New Roman" w:cs="Times New Roman" w:eastAsia="Times New Roman" w:hAnsi="Times New Roman"/>
          <w:sz w:val="22"/>
          <w:szCs w:val="22"/>
          <w:color w:val="auto"/>
        </w:rPr>
      </w:pPr>
    </w:p>
    <w:p>
      <w:pPr>
        <w:ind w:right="220" w:firstLine="1952"/>
        <w:spacing w:after="0" w:line="236" w:lineRule="auto"/>
        <w:tabs>
          <w:tab w:leader="none" w:pos="2580"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Termination</w:t>
      </w:r>
      <w:r>
        <w:rPr>
          <w:rFonts w:ascii="Times New Roman" w:cs="Times New Roman" w:eastAsia="Times New Roman" w:hAnsi="Times New Roman"/>
          <w:sz w:val="22"/>
          <w:szCs w:val="22"/>
          <w:color w:val="auto"/>
        </w:rPr>
        <w:t>” means Grantee’s Termination of Employment after having reached age 62 and completed 10 or more Years of Service, for any</w:t>
      </w:r>
    </w:p>
    <w:p>
      <w:pPr>
        <w:sectPr>
          <w:pgSz w:w="11900" w:h="16838" w:orient="portrait"/>
          <w:cols w:equalWidth="0" w:num="1">
            <w:col w:w="11240"/>
          </w:cols>
          <w:pgMar w:left="320" w:top="9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2"/>
          <w:szCs w:val="22"/>
          <w:color w:val="auto"/>
        </w:rPr>
        <w:t>reason other than (i) due to Grantee’s death or Disability or (ii) by the applicable Participating Company for Cause.</w:t>
      </w:r>
    </w:p>
    <w:p>
      <w:pPr>
        <w:spacing w:after="0" w:line="179" w:lineRule="exact"/>
        <w:rPr>
          <w:sz w:val="20"/>
          <w:szCs w:val="20"/>
          <w:color w:val="auto"/>
        </w:rPr>
      </w:pPr>
    </w:p>
    <w:p>
      <w:pPr>
        <w:ind w:left="2580" w:hanging="628"/>
        <w:spacing w:after="0"/>
        <w:tabs>
          <w:tab w:leader="none" w:pos="25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means Rule 16b-3 promulgated under the 1934 Act, as in effect from time to time.</w:t>
      </w:r>
    </w:p>
    <w:p>
      <w:pPr>
        <w:spacing w:after="0" w:line="16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Condition</w:t>
      </w:r>
      <w:r>
        <w:rPr>
          <w:rFonts w:ascii="Times New Roman" w:cs="Times New Roman" w:eastAsia="Times New Roman" w:hAnsi="Times New Roman"/>
          <w:sz w:val="22"/>
          <w:szCs w:val="22"/>
          <w:color w:val="auto"/>
        </w:rPr>
        <w:t>” has the meaning set forth on the attached Long-Term Incentive Awards</w:t>
      </w:r>
    </w:p>
    <w:p>
      <w:pPr>
        <w:spacing w:after="0"/>
        <w:rPr>
          <w:sz w:val="20"/>
          <w:szCs w:val="20"/>
          <w:color w:val="auto"/>
        </w:rPr>
      </w:pPr>
      <w:r>
        <w:rPr>
          <w:rFonts w:ascii="Times New Roman" w:cs="Times New Roman" w:eastAsia="Times New Roman" w:hAnsi="Times New Roman"/>
          <w:sz w:val="22"/>
          <w:szCs w:val="22"/>
          <w:color w:val="auto"/>
        </w:rPr>
        <w:t>Summary Schedule.</w:t>
      </w:r>
    </w:p>
    <w:p>
      <w:pPr>
        <w:spacing w:after="0" w:line="142" w:lineRule="exact"/>
        <w:rPr>
          <w:sz w:val="20"/>
          <w:szCs w:val="20"/>
          <w:color w:val="auto"/>
        </w:rPr>
      </w:pPr>
    </w:p>
    <w:p>
      <w:pPr>
        <w:ind w:left="2600" w:hanging="648"/>
        <w:spacing w:after="0"/>
        <w:tabs>
          <w:tab w:leader="none" w:pos="26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Vesting Date</w:t>
      </w:r>
      <w:r>
        <w:rPr>
          <w:rFonts w:ascii="Times New Roman" w:cs="Times New Roman" w:eastAsia="Times New Roman" w:hAnsi="Times New Roman"/>
          <w:sz w:val="22"/>
          <w:szCs w:val="22"/>
          <w:color w:val="auto"/>
        </w:rPr>
        <w:t>” has the meaning set forth on the attached Long-Term Incentive Awards</w:t>
      </w:r>
    </w:p>
    <w:p>
      <w:pPr>
        <w:spacing w:after="0"/>
        <w:rPr>
          <w:sz w:val="20"/>
          <w:szCs w:val="20"/>
          <w:color w:val="auto"/>
        </w:rPr>
      </w:pPr>
      <w:r>
        <w:rPr>
          <w:rFonts w:ascii="Times New Roman" w:cs="Times New Roman" w:eastAsia="Times New Roman" w:hAnsi="Times New Roman"/>
          <w:sz w:val="22"/>
          <w:szCs w:val="22"/>
          <w:color w:val="auto"/>
        </w:rPr>
        <w:t>Summary Schedule.</w:t>
      </w:r>
    </w:p>
    <w:p>
      <w:pPr>
        <w:spacing w:after="0" w:line="155" w:lineRule="exact"/>
        <w:rPr>
          <w:sz w:val="20"/>
          <w:szCs w:val="20"/>
          <w:color w:val="auto"/>
        </w:rPr>
      </w:pPr>
    </w:p>
    <w:p>
      <w:pPr>
        <w:ind w:right="40" w:firstLine="1952"/>
        <w:spacing w:after="0" w:line="211" w:lineRule="auto"/>
        <w:tabs>
          <w:tab w:leader="none" w:pos="2587"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means Grantee’s termination of employment with the Participating Companies. For purposes of the Plan and this Award, Grantee’s Termination of Employment occurs on the date Grantee ceases to have a regular obligation to perform services for the Participating Companies, without regard to whether (i) Grantee continues on the payroll of any Participating Company for regular, severance or other pay or (ii) Grantee continues to participate in one or more health and welfare plans maintained by any Participating Company on the same basis as active employees. Whether Grantee ceases to have a regular obligation to perform services for the Participating Companies shall be determined by the Committee in its sole discretion. Notwithstanding the foregoing, if Grantee is a party to an employment agreement or severance agreement with any Participating Company which establishes the effective date of Grantee’s termination of employment for purposes of this Award, that date shall apply.</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 shares of the Company’s Class A Common Stock, par value $.01 per share.</w:t>
      </w:r>
    </w:p>
    <w:p>
      <w:pPr>
        <w:spacing w:after="0" w:line="179" w:lineRule="exact"/>
        <w:rPr>
          <w:rFonts w:ascii="Times New Roman" w:cs="Times New Roman" w:eastAsia="Times New Roman" w:hAnsi="Times New Roman"/>
          <w:sz w:val="22"/>
          <w:szCs w:val="22"/>
          <w:color w:val="auto"/>
        </w:rPr>
      </w:pPr>
    </w:p>
    <w:p>
      <w:pPr>
        <w:ind w:right="420" w:firstLine="1952"/>
        <w:spacing w:after="0" w:line="225" w:lineRule="auto"/>
        <w:tabs>
          <w:tab w:leader="none" w:pos="259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means the date(s) on which the Service Conditions applicable to any Restricted Stock Units are satisfied (or deemed satisfied) pursuant to the terms of this Agreement (including the Long-Term Incentive Awards Summary Schedule).</w:t>
      </w:r>
    </w:p>
    <w:p>
      <w:pPr>
        <w:spacing w:after="0" w:line="152" w:lineRule="exact"/>
        <w:rPr>
          <w:rFonts w:ascii="Times New Roman" w:cs="Times New Roman" w:eastAsia="Times New Roman" w:hAnsi="Times New Roman"/>
          <w:sz w:val="22"/>
          <w:szCs w:val="22"/>
          <w:color w:val="auto"/>
        </w:rPr>
      </w:pPr>
    </w:p>
    <w:p>
      <w:pPr>
        <w:ind w:right="560" w:firstLine="1952"/>
        <w:spacing w:after="0" w:line="236" w:lineRule="auto"/>
        <w:tabs>
          <w:tab w:leader="none" w:pos="259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Years of Service</w:t>
      </w:r>
      <w:r>
        <w:rPr>
          <w:rFonts w:ascii="Times New Roman" w:cs="Times New Roman" w:eastAsia="Times New Roman" w:hAnsi="Times New Roman"/>
          <w:sz w:val="22"/>
          <w:szCs w:val="22"/>
          <w:color w:val="auto"/>
        </w:rPr>
        <w:t>” means completed continuous years of service as reflected in the personnel records of the Company and the Subsidiary Companies.</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1934 Act</w:t>
      </w:r>
      <w:r>
        <w:rPr>
          <w:rFonts w:ascii="Times New Roman" w:cs="Times New Roman" w:eastAsia="Times New Roman" w:hAnsi="Times New Roman"/>
          <w:sz w:val="22"/>
          <w:szCs w:val="22"/>
          <w:color w:val="auto"/>
        </w:rPr>
        <w:t>” means the Securities Exchange Act of 1934, as amended.</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952"/>
        <w:spacing w:after="0" w:line="217" w:lineRule="auto"/>
        <w:tabs>
          <w:tab w:leader="none" w:pos="2589"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and in the Plan and Paragraph 2(b), the Company hereby grants to Grantee the Restricted Stock Units as set forth in the Long-Term Incentive Awards Summary Schedule attached hereto. Each Restricted Stock Unit represents the right to receive one Share as set forth in the Long-Term Incentive Awards Summary Schedule, subject to the terms and conditions set forth herein and in the Plan, including the satisfaction of the applicable Service Condition.</w:t>
      </w:r>
    </w:p>
    <w:p>
      <w:pPr>
        <w:spacing w:after="0" w:line="152" w:lineRule="exact"/>
        <w:rPr>
          <w:rFonts w:ascii="Times New Roman" w:cs="Times New Roman" w:eastAsia="Times New Roman" w:hAnsi="Times New Roman"/>
          <w:sz w:val="22"/>
          <w:szCs w:val="22"/>
          <w:color w:val="auto"/>
        </w:rPr>
      </w:pPr>
    </w:p>
    <w:p>
      <w:pPr>
        <w:jc w:val="both"/>
        <w:ind w:right="160" w:firstLine="1952"/>
        <w:spacing w:after="0" w:line="231" w:lineRule="auto"/>
        <w:tabs>
          <w:tab w:leader="none" w:pos="2587"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reserves the right to replace the Restricted Stock Units, to the extent not yet vested, with other compensation of comparable value, terms and conditions if, before the Vesting Date, the Company determines that in connection with Grantee’s transfer to a location different from Grantee’s principal place of business on the Date of Grant, local regulatory requirements render Grantee’s continued holding of unvested Restricted Stock Units impracticable.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394" w:right="359" w:bottom="1440" w:gutter="0" w:footer="0" w:header="0"/>
        </w:sectPr>
      </w:pPr>
    </w:p>
    <w:bookmarkStart w:id="143" w:name="page144"/>
    <w:bookmarkEnd w:id="143"/>
    <w:p>
      <w:pPr>
        <w:ind w:left="1520" w:hanging="656"/>
        <w:spacing w:after="0"/>
        <w:tabs>
          <w:tab w:leader="none" w:pos="152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440" w:right="160" w:firstLine="1952"/>
        <w:spacing w:after="0" w:line="220" w:lineRule="auto"/>
        <w:tabs>
          <w:tab w:leader="none" w:pos="214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are granted with dividend equivalent rights. If the Company declares a cash dividend on the Shares, an amount equivalent to such dividend will be credited to an unfunded bookkeeping account with respect to each outstanding and unvested Restricted Stock Unit (the “</w:t>
      </w:r>
      <w:r>
        <w:rPr>
          <w:rFonts w:ascii="Times New Roman" w:cs="Times New Roman" w:eastAsia="Times New Roman" w:hAnsi="Times New Roman"/>
          <w:sz w:val="22"/>
          <w:szCs w:val="22"/>
          <w:u w:val="single" w:color="auto"/>
          <w:color w:val="auto"/>
        </w:rPr>
        <w:t>Dividend Equivalent Amount</w:t>
      </w:r>
      <w:r>
        <w:rPr>
          <w:rFonts w:ascii="Times New Roman" w:cs="Times New Roman" w:eastAsia="Times New Roman" w:hAnsi="Times New Roman"/>
          <w:sz w:val="22"/>
          <w:szCs w:val="22"/>
          <w:color w:val="auto"/>
        </w:rPr>
        <w:t>”) on the record date of such dividend.</w:t>
      </w:r>
    </w:p>
    <w:p>
      <w:pPr>
        <w:spacing w:after="0" w:line="152" w:lineRule="exact"/>
        <w:rPr>
          <w:rFonts w:ascii="Times New Roman" w:cs="Times New Roman" w:eastAsia="Times New Roman" w:hAnsi="Times New Roman"/>
          <w:sz w:val="22"/>
          <w:szCs w:val="22"/>
          <w:color w:val="auto"/>
        </w:rPr>
      </w:pPr>
    </w:p>
    <w:p>
      <w:pPr>
        <w:ind w:left="-440" w:right="600" w:firstLine="1952"/>
        <w:spacing w:after="0" w:line="217" w:lineRule="auto"/>
        <w:tabs>
          <w:tab w:leader="none" w:pos="2147"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Dividend Equivalent Amount will be credited as cash, without interest, and will not be converted to Shares. The Dividend Equivalent Amount will be payable in cash, but subject to and only upon the applicable Vesting Date(s) of the underlying Restricted Stock Units as determined in accordance with Paragraph 4 below, and will be cancelled and forfeited if the underlying Restricted Stock Units are cancelled or forfeited (including as a result of failing to satisfy the applicable Service Condition).</w:t>
      </w:r>
    </w:p>
    <w:p>
      <w:pPr>
        <w:spacing w:after="0" w:line="152" w:lineRule="exact"/>
        <w:rPr>
          <w:rFonts w:ascii="Times New Roman" w:cs="Times New Roman" w:eastAsia="Times New Roman" w:hAnsi="Times New Roman"/>
          <w:sz w:val="22"/>
          <w:szCs w:val="22"/>
          <w:color w:val="auto"/>
        </w:rPr>
      </w:pPr>
    </w:p>
    <w:p>
      <w:pPr>
        <w:ind w:left="1520" w:hanging="656"/>
        <w:spacing w:after="0"/>
        <w:tabs>
          <w:tab w:leader="none" w:pos="152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440" w:right="40" w:firstLine="1952"/>
        <w:spacing w:after="0" w:line="220" w:lineRule="auto"/>
        <w:tabs>
          <w:tab w:leader="none" w:pos="214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and in the Plan, the Restricted Stock Units shall vest in accordance with the terms and conditions set forth on the attached Long-Term Incentive Awards Summary Schedule. As of the applicable Vesting Date, Grantee shall be entitled to the delivery of Shares with respect to the applicable Restricted Stock Units.</w:t>
      </w:r>
    </w:p>
    <w:p>
      <w:pPr>
        <w:spacing w:after="0" w:line="152" w:lineRule="exact"/>
        <w:rPr>
          <w:rFonts w:ascii="Times New Roman" w:cs="Times New Roman" w:eastAsia="Times New Roman" w:hAnsi="Times New Roman"/>
          <w:sz w:val="22"/>
          <w:szCs w:val="22"/>
          <w:color w:val="auto"/>
        </w:rPr>
      </w:pPr>
    </w:p>
    <w:p>
      <w:pPr>
        <w:ind w:left="-440" w:firstLine="1952"/>
        <w:spacing w:after="0" w:line="225" w:lineRule="auto"/>
        <w:tabs>
          <w:tab w:leader="none" w:pos="2147"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Service Condition applicable to the Restricted Stock Units shall be deemed fully satisfied upon Grantee’s Termination of Employment due to Grantee’s death or Disability.</w:t>
      </w:r>
    </w:p>
    <w:p>
      <w:pPr>
        <w:spacing w:after="0" w:line="152" w:lineRule="exact"/>
        <w:rPr>
          <w:rFonts w:ascii="Times New Roman" w:cs="Times New Roman" w:eastAsia="Times New Roman" w:hAnsi="Times New Roman"/>
          <w:sz w:val="22"/>
          <w:szCs w:val="22"/>
          <w:color w:val="auto"/>
        </w:rPr>
      </w:pPr>
    </w:p>
    <w:p>
      <w:pPr>
        <w:ind w:left="-440" w:right="740" w:firstLine="1952"/>
        <w:spacing w:after="0" w:line="236" w:lineRule="auto"/>
        <w:tabs>
          <w:tab w:leader="none" w:pos="214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Paragraphs 4(a) to the contrary, and subject to the obligations described in Paragraph 4(d), if, Grantee has a Retirement Termination, and, at the time of such Retirement Termination:</w:t>
      </w:r>
    </w:p>
    <w:p>
      <w:pPr>
        <w:spacing w:after="0" w:line="150" w:lineRule="exact"/>
        <w:rPr>
          <w:rFonts w:ascii="Times New Roman" w:cs="Times New Roman" w:eastAsia="Times New Roman" w:hAnsi="Times New Roman"/>
          <w:sz w:val="22"/>
          <w:szCs w:val="22"/>
          <w:color w:val="auto"/>
        </w:rPr>
      </w:pPr>
    </w:p>
    <w:p>
      <w:pPr>
        <w:ind w:left="-440" w:firstLine="2600"/>
        <w:spacing w:after="0" w:line="206" w:lineRule="auto"/>
        <w:tabs>
          <w:tab w:leader="none" w:pos="2795"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has completed at least ten (10) but less than fifteen (15) Years of Service, any Service Vesting Date applicable to the Restricted Stock Units that would have occurred on or prior to the date that is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such Retirement Termination shall continue to occur in accordance with the terms of the Long-Term Incentive Awards Summary Schedule, and the Restricted Stock Units will remain outstanding as of each Vesting Date, Grantee shall be entitled to the delivery of Shares with respect to such Restricted Stock Units.</w:t>
      </w:r>
    </w:p>
    <w:p>
      <w:pPr>
        <w:spacing w:after="0" w:line="151" w:lineRule="exact"/>
        <w:rPr>
          <w:rFonts w:ascii="Times New Roman" w:cs="Times New Roman" w:eastAsia="Times New Roman" w:hAnsi="Times New Roman"/>
          <w:sz w:val="22"/>
          <w:szCs w:val="22"/>
          <w:color w:val="auto"/>
        </w:rPr>
      </w:pPr>
    </w:p>
    <w:p>
      <w:pPr>
        <w:ind w:left="-440" w:firstLine="2600"/>
        <w:spacing w:after="0" w:line="206" w:lineRule="auto"/>
        <w:tabs>
          <w:tab w:leader="none" w:pos="2795"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has completed at least fifteen (15) but less than twenty (20) Years of Service, any Service Vesting Date applicable to the Restricted Stock Units that would have occurred on or prior to the date that is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such Retirement Termination shall continue to occur in accordance with the terms of the Long-Term Incentive Awards Summary Schedule, and the Restricted Stock Units will remain outstanding as of each Vesting Date, Grantee shall be entitled to the delivery of Shares with respect to such Restricted Stock Units.</w:t>
      </w:r>
    </w:p>
    <w:p>
      <w:pPr>
        <w:spacing w:after="0" w:line="151" w:lineRule="exact"/>
        <w:rPr>
          <w:rFonts w:ascii="Times New Roman" w:cs="Times New Roman" w:eastAsia="Times New Roman" w:hAnsi="Times New Roman"/>
          <w:sz w:val="22"/>
          <w:szCs w:val="22"/>
          <w:color w:val="auto"/>
        </w:rPr>
      </w:pPr>
    </w:p>
    <w:p>
      <w:pPr>
        <w:ind w:left="-440" w:firstLine="2600"/>
        <w:spacing w:after="0" w:line="206" w:lineRule="auto"/>
        <w:tabs>
          <w:tab w:leader="none" w:pos="2795"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has completed twenty (20) or more Years of Service, any Service Vesting Date applicable to the Restricted Stock Units that would have occurred on or prior to the date that is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such Retirement Termination shall continue to occur in accordance with the terms of the Long-Term Incentive Awards Summary Schedule, and the Restricted Stock Units will remain outstanding as of each Vesting Date, Grantee shall be entitled to the delivery of Shares with respect to such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800"/>
          </w:cols>
          <w:pgMar w:left="760" w:top="1394" w:right="339" w:bottom="1440" w:gutter="0" w:footer="0" w:header="0"/>
        </w:sectPr>
      </w:pPr>
    </w:p>
    <w:bookmarkStart w:id="144" w:name="page145"/>
    <w:bookmarkEnd w:id="144"/>
    <w:p>
      <w:pPr>
        <w:jc w:val="both"/>
        <w:ind w:left="-440" w:right="480" w:firstLine="1952"/>
        <w:spacing w:after="0" w:line="225" w:lineRule="auto"/>
        <w:tabs>
          <w:tab w:leader="none" w:pos="2147"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4(c),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pacing w:after="0" w:line="152" w:lineRule="exact"/>
        <w:rPr>
          <w:rFonts w:ascii="Times New Roman" w:cs="Times New Roman" w:eastAsia="Times New Roman" w:hAnsi="Times New Roman"/>
          <w:sz w:val="22"/>
          <w:szCs w:val="22"/>
          <w:color w:val="auto"/>
        </w:rPr>
      </w:pPr>
    </w:p>
    <w:p>
      <w:pPr>
        <w:ind w:left="-440" w:right="80" w:firstLine="2600"/>
        <w:spacing w:after="0" w:line="225" w:lineRule="auto"/>
        <w:tabs>
          <w:tab w:leader="none" w:pos="2795"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52" w:lineRule="exact"/>
        <w:rPr>
          <w:rFonts w:ascii="Times New Roman" w:cs="Times New Roman" w:eastAsia="Times New Roman" w:hAnsi="Times New Roman"/>
          <w:sz w:val="22"/>
          <w:szCs w:val="22"/>
          <w:color w:val="auto"/>
        </w:rPr>
      </w:pPr>
    </w:p>
    <w:p>
      <w:pPr>
        <w:ind w:left="-440" w:firstLine="2600"/>
        <w:spacing w:after="0" w:line="222" w:lineRule="auto"/>
        <w:tabs>
          <w:tab w:leader="none" w:pos="2795" w:val="left"/>
        </w:tabs>
        <w:numPr>
          <w:ilvl w:val="2"/>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149" w:lineRule="exact"/>
        <w:rPr>
          <w:rFonts w:ascii="Times New Roman" w:cs="Times New Roman" w:eastAsia="Times New Roman" w:hAnsi="Times New Roman"/>
          <w:sz w:val="21"/>
          <w:szCs w:val="21"/>
          <w:color w:val="auto"/>
        </w:rPr>
      </w:pPr>
    </w:p>
    <w:p>
      <w:pPr>
        <w:ind w:left="1520" w:hanging="656"/>
        <w:spacing w:after="0"/>
        <w:tabs>
          <w:tab w:leader="none" w:pos="152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Restricted Stock Units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440" w:right="160" w:firstLine="1952"/>
        <w:spacing w:after="0" w:line="220" w:lineRule="auto"/>
        <w:tabs>
          <w:tab w:leader="none" w:pos="2149"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and in the Plan, in the event of Grantee’s Termination of Employment other than due to (i) Grantee’s death or Disability or (ii) Grantee’s Retirement Termination, Grantee shall forfeit the Restricted Stock Units effective as of such Termination of Employment. Upon a forfeiture of the Restricted Stock Units as provided in this Paragraph 5, the Restricted Stock Units shall be deemed canceled.</w:t>
      </w:r>
    </w:p>
    <w:p>
      <w:pPr>
        <w:spacing w:after="0" w:line="152" w:lineRule="exact"/>
        <w:rPr>
          <w:rFonts w:ascii="Times New Roman" w:cs="Times New Roman" w:eastAsia="Times New Roman" w:hAnsi="Times New Roman"/>
          <w:sz w:val="22"/>
          <w:szCs w:val="22"/>
          <w:color w:val="auto"/>
        </w:rPr>
      </w:pPr>
    </w:p>
    <w:p>
      <w:pPr>
        <w:ind w:left="-440" w:right="80" w:firstLine="1952"/>
        <w:spacing w:after="0" w:line="236" w:lineRule="auto"/>
        <w:tabs>
          <w:tab w:leader="none" w:pos="2147"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Paragraph 5(a) shall not apply to Shares issued in respect of the Restricted Stock Units as to which a Vesting Date has occurred.</w:t>
      </w:r>
    </w:p>
    <w:p>
      <w:pPr>
        <w:spacing w:after="0" w:line="150" w:lineRule="exact"/>
        <w:rPr>
          <w:rFonts w:ascii="Times New Roman" w:cs="Times New Roman" w:eastAsia="Times New Roman" w:hAnsi="Times New Roman"/>
          <w:sz w:val="22"/>
          <w:szCs w:val="22"/>
          <w:color w:val="auto"/>
        </w:rPr>
      </w:pPr>
    </w:p>
    <w:p>
      <w:pPr>
        <w:ind w:left="-440" w:right="20" w:firstLine="1304"/>
        <w:spacing w:after="0" w:line="217" w:lineRule="auto"/>
        <w:tabs>
          <w:tab w:leader="none" w:pos="150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to the Company under this Agreement shall be made in care of the Committee at the Company’s main office in Philadelphia, Pennsylvania. The address for Grantee to which notice, demands and other communications to be given or delivered under or by reason of the provisions hereof shall be Grantee’s address as reflected in the Company’s personnel records. All notices under this Agreement shall be deemed to have been given when hand-delivered or mailed, first class postage prepaid, and shall be irrevocable once given.</w:t>
      </w:r>
    </w:p>
    <w:p>
      <w:pPr>
        <w:spacing w:after="0" w:line="152" w:lineRule="exact"/>
        <w:rPr>
          <w:rFonts w:ascii="Times New Roman" w:cs="Times New Roman" w:eastAsia="Times New Roman" w:hAnsi="Times New Roman"/>
          <w:sz w:val="22"/>
          <w:szCs w:val="22"/>
          <w:color w:val="auto"/>
        </w:rPr>
      </w:pPr>
    </w:p>
    <w:p>
      <w:pPr>
        <w:jc w:val="both"/>
        <w:ind w:left="-440" w:right="20" w:firstLine="1304"/>
        <w:spacing w:after="0" w:line="225" w:lineRule="auto"/>
        <w:tabs>
          <w:tab w:leader="none" w:pos="150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The Committee may from time to time impose any conditions on the Shares issuable with respect to Restricted Stock Units as it deems necessary or advisable to ensure that the Plan and this Award satisfies the conditions of Rule 16b-3, and that Shares are issued and resold in compliance with the Securities Act of 1933, as amended.</w:t>
      </w:r>
    </w:p>
    <w:p>
      <w:pPr>
        <w:spacing w:after="0" w:line="152" w:lineRule="exact"/>
        <w:rPr>
          <w:rFonts w:ascii="Times New Roman" w:cs="Times New Roman" w:eastAsia="Times New Roman" w:hAnsi="Times New Roman"/>
          <w:sz w:val="22"/>
          <w:szCs w:val="22"/>
          <w:color w:val="auto"/>
        </w:rPr>
      </w:pPr>
    </w:p>
    <w:p>
      <w:pPr>
        <w:ind w:left="-440" w:right="40" w:firstLine="1304"/>
        <w:spacing w:after="0" w:line="217" w:lineRule="auto"/>
        <w:tabs>
          <w:tab w:leader="none" w:pos="150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w:t>
      </w:r>
      <w:r>
        <w:rPr>
          <w:rFonts w:ascii="Times New Roman" w:cs="Times New Roman" w:eastAsia="Times New Roman" w:hAnsi="Times New Roman"/>
          <w:sz w:val="22"/>
          <w:szCs w:val="22"/>
          <w:color w:val="auto"/>
        </w:rPr>
        <w:t>. Except as otherwise provided in Paragraph 6, the Company shall notify Grantee that a Vesting Date with respect to Restricted Stock Units has occurred. Within ten (10) business days of a Vesting Date, the Company shall, without payment from Grantee, satisfy its obligations to (1) pay the Dividend Equivalent Amount (if any) and (2) deliver Shares underlying the applicable Restricted Stock Units by arranging for the recording of Grantee’s ownership of Shares issuable under the Plan on a book entry recordkeeping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780"/>
          </w:cols>
          <w:pgMar w:left="760" w:top="1394" w:right="359" w:bottom="1440" w:gutter="0" w:footer="0" w:header="0"/>
        </w:sectPr>
      </w:pPr>
    </w:p>
    <w:bookmarkStart w:id="145" w:name="page146"/>
    <w:bookmarkEnd w:id="145"/>
    <w:p>
      <w:pPr>
        <w:spacing w:after="0" w:line="212" w:lineRule="auto"/>
        <w:rPr>
          <w:sz w:val="20"/>
          <w:szCs w:val="20"/>
          <w:color w:val="auto"/>
        </w:rPr>
      </w:pPr>
      <w:r>
        <w:rPr>
          <w:rFonts w:ascii="Times New Roman" w:cs="Times New Roman" w:eastAsia="Times New Roman" w:hAnsi="Times New Roman"/>
          <w:sz w:val="22"/>
          <w:szCs w:val="22"/>
          <w:color w:val="auto"/>
        </w:rPr>
        <w:t xml:space="preserve">maintained on behalf of the Company, without any legend or restrictions, except for such restrictions as may be imposed by the Committee, in its sole judgment, under Paragraph 7,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multiplied by the Fair Market Value of a Share on the Vesting Date, as determined by the Committee.</w:t>
      </w:r>
    </w:p>
    <w:p>
      <w:pPr>
        <w:spacing w:after="0" w:line="156" w:lineRule="exact"/>
        <w:rPr>
          <w:sz w:val="20"/>
          <w:szCs w:val="20"/>
          <w:color w:val="auto"/>
        </w:rPr>
      </w:pPr>
    </w:p>
    <w:p>
      <w:pPr>
        <w:ind w:right="40" w:firstLine="1304"/>
        <w:spacing w:after="0" w:line="225" w:lineRule="auto"/>
        <w:tabs>
          <w:tab w:leader="none" w:pos="19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Prior to Settlement</w:t>
      </w:r>
      <w:r>
        <w:rPr>
          <w:rFonts w:ascii="Times New Roman" w:cs="Times New Roman" w:eastAsia="Times New Roman" w:hAnsi="Times New Roman"/>
          <w:sz w:val="22"/>
          <w:szCs w:val="22"/>
          <w:color w:val="auto"/>
        </w:rPr>
        <w:t>. Grantee shall not have any right as a stockholder with respect to any Shares subject to his or her Restricted Stock Unit until the Restricted Stock Unit shall have been settled in accordance with the terms of the Plan and this Agreement, and the Company shall have delivered the Shares.</w:t>
      </w:r>
    </w:p>
    <w:p>
      <w:pPr>
        <w:spacing w:after="0" w:line="152" w:lineRule="exact"/>
        <w:rPr>
          <w:rFonts w:ascii="Times New Roman" w:cs="Times New Roman" w:eastAsia="Times New Roman" w:hAnsi="Times New Roman"/>
          <w:sz w:val="22"/>
          <w:szCs w:val="22"/>
          <w:color w:val="auto"/>
        </w:rPr>
      </w:pPr>
    </w:p>
    <w:p>
      <w:pPr>
        <w:ind w:right="100" w:firstLine="1304"/>
        <w:spacing w:after="0" w:line="236" w:lineRule="auto"/>
        <w:tabs>
          <w:tab w:leader="none" w:pos="19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Not to Affect Employment</w:t>
      </w:r>
      <w:r>
        <w:rPr>
          <w:rFonts w:ascii="Times New Roman" w:cs="Times New Roman" w:eastAsia="Times New Roman" w:hAnsi="Times New Roman"/>
          <w:sz w:val="22"/>
          <w:szCs w:val="22"/>
          <w:color w:val="auto"/>
        </w:rPr>
        <w:t>. The Award granted hereunder shall not confer upon Grantee any right to continue in the employment of the Company or any Subsidiary Company or Affiliate of the Company.</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460" w:firstLine="1952"/>
        <w:spacing w:after="0" w:line="220" w:lineRule="auto"/>
        <w:tabs>
          <w:tab w:leader="none" w:pos="2589"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152" w:lineRule="exact"/>
        <w:rPr>
          <w:rFonts w:ascii="Times New Roman" w:cs="Times New Roman" w:eastAsia="Times New Roman" w:hAnsi="Times New Roman"/>
          <w:sz w:val="22"/>
          <w:szCs w:val="22"/>
          <w:color w:val="auto"/>
        </w:rPr>
      </w:pPr>
    </w:p>
    <w:p>
      <w:pPr>
        <w:ind w:right="20" w:firstLine="1952"/>
        <w:spacing w:after="0" w:line="255" w:lineRule="auto"/>
        <w:tabs>
          <w:tab w:leader="none" w:pos="2587"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address for Grantee to which notice, demands and other communications to be given or delivered under or by reason of the provisions hereof shall be Grantee’s address as reflected in the Company’s personnel records</w:t>
      </w:r>
    </w:p>
    <w:p>
      <w:pPr>
        <w:spacing w:after="0" w:line="134" w:lineRule="exact"/>
        <w:rPr>
          <w:rFonts w:ascii="Times New Roman" w:cs="Times New Roman" w:eastAsia="Times New Roman" w:hAnsi="Times New Roman"/>
          <w:sz w:val="21"/>
          <w:szCs w:val="21"/>
          <w:color w:val="auto"/>
        </w:rPr>
      </w:pPr>
    </w:p>
    <w:p>
      <w:pPr>
        <w:ind w:right="80" w:firstLine="1952"/>
        <w:spacing w:after="0" w:line="236" w:lineRule="auto"/>
        <w:tabs>
          <w:tab w:leader="none" w:pos="2643"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performance, construction and effect of this Award shall be governed by the laws of the Commonwealth of Pennsylvania, without giving effect to principles of conflicts of law.</w:t>
      </w:r>
    </w:p>
    <w:p>
      <w:pPr>
        <w:spacing w:after="0" w:line="150" w:lineRule="exact"/>
        <w:rPr>
          <w:rFonts w:ascii="Times New Roman" w:cs="Times New Roman" w:eastAsia="Times New Roman" w:hAnsi="Times New Roman"/>
          <w:sz w:val="22"/>
          <w:szCs w:val="22"/>
          <w:color w:val="auto"/>
        </w:rPr>
      </w:pPr>
    </w:p>
    <w:p>
      <w:pPr>
        <w:ind w:right="560" w:firstLine="1952"/>
        <w:spacing w:after="0" w:line="236" w:lineRule="auto"/>
        <w:tabs>
          <w:tab w:leader="none" w:pos="2587"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acknowledges that their personal data will be processed in accordance with the data privacy policy, notice and/or agreement that is applicable to them in connection with their employment.</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w:t>
      </w:r>
    </w:p>
    <w:p>
      <w:pPr>
        <w:spacing w:after="0" w:line="220" w:lineRule="exact"/>
        <w:rPr>
          <w:sz w:val="20"/>
          <w:szCs w:val="20"/>
          <w:color w:val="auto"/>
        </w:rPr>
      </w:pPr>
    </w:p>
    <w:p>
      <w:pPr>
        <w:ind w:left="2600" w:hanging="648"/>
        <w:spacing w:after="0"/>
        <w:tabs>
          <w:tab w:leader="none" w:pos="26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WITNESS WHEREOF, the Company has granted this Award on the Date of Grant.</w:t>
      </w:r>
    </w:p>
    <w:p>
      <w:pPr>
        <w:spacing w:after="0" w:line="219"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COMCAST CORPORATION</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20"/>
          </w:cols>
          <w:pgMar w:left="320" w:top="1394" w:right="45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OMNIBUS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200" w:lineRule="exact"/>
        <w:rPr>
          <w:sz w:val="20"/>
          <w:szCs w:val="20"/>
          <w:color w:val="auto"/>
        </w:rPr>
      </w:pPr>
    </w:p>
    <w:p>
      <w:pPr>
        <w:spacing w:after="0" w:line="225"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This Restricted Stock Unit Award Agreement dated as of the Date of Grant (together with all schedules hereto, the “Agreement”) is entered into by and between Comcast Corporation (the “Company”) and Participant.</w:t>
      </w:r>
    </w:p>
    <w:p>
      <w:pPr>
        <w:spacing w:after="0" w:line="131" w:lineRule="exact"/>
        <w:rPr>
          <w:sz w:val="20"/>
          <w:szCs w:val="20"/>
          <w:color w:val="auto"/>
        </w:rPr>
      </w:pPr>
    </w:p>
    <w:p>
      <w:pPr>
        <w:ind w:right="60" w:firstLine="1304"/>
        <w:spacing w:after="0" w:line="236" w:lineRule="auto"/>
        <w:tabs>
          <w:tab w:leader="none" w:pos="19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have the meanings ascribed to them below. Capitalized terms used in this Agreement but not defined herein have the meanings given to them in the Plan.</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the award of Restricted Stock Units granted pursuant to this Agreement.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auto"/>
        </w:rPr>
      </w:pPr>
    </w:p>
    <w:p>
      <w:pPr>
        <w:jc w:val="both"/>
        <w:ind w:right="240" w:firstLine="1952"/>
        <w:spacing w:after="0" w:line="225" w:lineRule="auto"/>
        <w:tabs>
          <w:tab w:leader="none" w:pos="2589"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has the meaning set forth in the Participant’s employment agreement with the Company, or, if no such agreement exists or such agreement has expired prior to such time, then “Cause” has the meaning set forth in the Plan.</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16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means the grant date as indicated in the attached Long-Term Incentive Awards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Summary Schedule.</w:t>
      </w:r>
    </w:p>
    <w:p>
      <w:pPr>
        <w:spacing w:after="0" w:line="155" w:lineRule="exact"/>
        <w:rPr>
          <w:rFonts w:ascii="Times New Roman" w:cs="Times New Roman" w:eastAsia="Times New Roman" w:hAnsi="Times New Roman"/>
          <w:sz w:val="22"/>
          <w:szCs w:val="22"/>
          <w:color w:val="auto"/>
        </w:rPr>
      </w:pPr>
    </w:p>
    <w:p>
      <w:pPr>
        <w:ind w:right="160" w:firstLine="1952"/>
        <w:spacing w:after="0" w:line="236" w:lineRule="auto"/>
        <w:tabs>
          <w:tab w:leader="none" w:pos="2592"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means the Company, the Subsidiary Company or any of their respective Affiliates for which Participant is performing services on the Vesting Date.</w:t>
      </w:r>
    </w:p>
    <w:p>
      <w:pPr>
        <w:spacing w:after="0" w:line="150" w:lineRule="exact"/>
        <w:rPr>
          <w:rFonts w:ascii="Times New Roman" w:cs="Times New Roman" w:eastAsia="Times New Roman" w:hAnsi="Times New Roman"/>
          <w:sz w:val="22"/>
          <w:szCs w:val="22"/>
          <w:color w:val="auto"/>
        </w:rPr>
      </w:pPr>
    </w:p>
    <w:p>
      <w:pPr>
        <w:ind w:right="60" w:firstLine="1952"/>
        <w:spacing w:after="0" w:line="255" w:lineRule="auto"/>
        <w:tabs>
          <w:tab w:leader="none" w:pos="2587"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Long-Term Incentive Awards Summary Schedule</w:t>
      </w:r>
      <w:r>
        <w:rPr>
          <w:rFonts w:ascii="Times New Roman" w:cs="Times New Roman" w:eastAsia="Times New Roman" w:hAnsi="Times New Roman"/>
          <w:sz w:val="21"/>
          <w:szCs w:val="21"/>
          <w:color w:val="auto"/>
        </w:rPr>
        <w:t>” means the schedule attached hereto, which sets forth information relating to the grant and vesting of this Award (including the Service Condition applicable to this Award).</w:t>
      </w:r>
    </w:p>
    <w:p>
      <w:pPr>
        <w:spacing w:after="0" w:line="134" w:lineRule="exact"/>
        <w:rPr>
          <w:rFonts w:ascii="Times New Roman" w:cs="Times New Roman" w:eastAsia="Times New Roman" w:hAnsi="Times New Roman"/>
          <w:sz w:val="21"/>
          <w:szCs w:val="21"/>
          <w:color w:val="auto"/>
        </w:rPr>
      </w:pPr>
    </w:p>
    <w:p>
      <w:pPr>
        <w:ind w:right="660" w:firstLine="1952"/>
        <w:spacing w:after="0" w:line="236" w:lineRule="auto"/>
        <w:tabs>
          <w:tab w:leader="none" w:pos="2587"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the individual to whom this Award has been granted as identified on the attached Long-Term Incentive Awards Summary Schedule.</w:t>
      </w:r>
    </w:p>
    <w:p>
      <w:pPr>
        <w:spacing w:after="0" w:line="150" w:lineRule="exact"/>
        <w:rPr>
          <w:rFonts w:ascii="Times New Roman" w:cs="Times New Roman" w:eastAsia="Times New Roman" w:hAnsi="Times New Roman"/>
          <w:sz w:val="22"/>
          <w:szCs w:val="22"/>
          <w:color w:val="auto"/>
        </w:rPr>
      </w:pPr>
    </w:p>
    <w:p>
      <w:pPr>
        <w:ind w:right="380" w:firstLine="1952"/>
        <w:spacing w:after="0" w:line="236" w:lineRule="auto"/>
        <w:tabs>
          <w:tab w:leader="none" w:pos="258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2023 Omnibus Equity Incentive Plan (as amended from time to time and including any successor plan thereto), incorporated herein by reference.</w:t>
      </w:r>
    </w:p>
    <w:p>
      <w:pPr>
        <w:spacing w:after="0" w:line="150" w:lineRule="exact"/>
        <w:rPr>
          <w:rFonts w:ascii="Times New Roman" w:cs="Times New Roman" w:eastAsia="Times New Roman" w:hAnsi="Times New Roman"/>
          <w:sz w:val="22"/>
          <w:szCs w:val="22"/>
          <w:color w:val="auto"/>
        </w:rPr>
      </w:pPr>
    </w:p>
    <w:p>
      <w:pPr>
        <w:ind w:right="140" w:firstLine="1952"/>
        <w:spacing w:after="0" w:line="236" w:lineRule="auto"/>
        <w:tabs>
          <w:tab w:leader="none" w:pos="258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means, with respect to each Restricted Stock Unit, the period beginning on the Date of Grant and ending on the Vesting Date.</w:t>
      </w:r>
    </w:p>
    <w:p>
      <w:pPr>
        <w:spacing w:after="0" w:line="150" w:lineRule="exact"/>
        <w:rPr>
          <w:rFonts w:ascii="Times New Roman" w:cs="Times New Roman" w:eastAsia="Times New Roman" w:hAnsi="Times New Roman"/>
          <w:sz w:val="22"/>
          <w:szCs w:val="22"/>
          <w:color w:val="auto"/>
        </w:rPr>
      </w:pPr>
    </w:p>
    <w:p>
      <w:pPr>
        <w:ind w:right="440" w:firstLine="1952"/>
        <w:spacing w:after="0" w:line="236" w:lineRule="auto"/>
        <w:tabs>
          <w:tab w:leader="none" w:pos="2587"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means the total number of restricted stock units granted to Participant pursuant to this Award, as indicated in the attached Long-Term Incentive Awards Summary Schedule.</w:t>
      </w:r>
    </w:p>
    <w:p>
      <w:pPr>
        <w:spacing w:after="0" w:line="150" w:lineRule="exact"/>
        <w:rPr>
          <w:rFonts w:ascii="Times New Roman" w:cs="Times New Roman" w:eastAsia="Times New Roman" w:hAnsi="Times New Roman"/>
          <w:sz w:val="22"/>
          <w:szCs w:val="22"/>
          <w:color w:val="auto"/>
        </w:rPr>
      </w:pPr>
    </w:p>
    <w:p>
      <w:pPr>
        <w:ind w:right="140" w:firstLine="1952"/>
        <w:spacing w:after="0" w:line="225" w:lineRule="auto"/>
        <w:tabs>
          <w:tab w:leader="none" w:pos="2634"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Termination</w:t>
      </w:r>
      <w:r>
        <w:rPr>
          <w:rFonts w:ascii="Times New Roman" w:cs="Times New Roman" w:eastAsia="Times New Roman" w:hAnsi="Times New Roman"/>
          <w:sz w:val="22"/>
          <w:szCs w:val="22"/>
          <w:color w:val="auto"/>
        </w:rPr>
        <w:t>” means Participant’s Termination of Employment after having reached age 62 and completed 10 or more Years of Service, for any reason other than (i) due to Participant’s death or Disability or (ii) by the applicable Participating Company for Cause.</w:t>
      </w:r>
    </w:p>
    <w:p>
      <w:pPr>
        <w:sectPr>
          <w:pgSz w:w="11900" w:h="16838" w:orient="portrait"/>
          <w:cols w:equalWidth="0" w:num="1">
            <w:col w:w="11240"/>
          </w:cols>
          <w:pgMar w:left="320" w:top="111" w:right="339" w:bottom="1440" w:gutter="0" w:footer="0" w:header="0"/>
        </w:sectPr>
      </w:pPr>
    </w:p>
    <w:bookmarkStart w:id="147" w:name="page148"/>
    <w:bookmarkEnd w:id="147"/>
    <w:p>
      <w:pPr>
        <w:ind w:left="2580" w:hanging="628"/>
        <w:spacing w:after="0"/>
        <w:tabs>
          <w:tab w:leader="none" w:pos="25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means Rule 16b-3 promulgated under the 1934 Act, as in effect from time to time.</w:t>
      </w:r>
    </w:p>
    <w:p>
      <w:pPr>
        <w:spacing w:after="0" w:line="16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Condition</w:t>
      </w:r>
      <w:r>
        <w:rPr>
          <w:rFonts w:ascii="Times New Roman" w:cs="Times New Roman" w:eastAsia="Times New Roman" w:hAnsi="Times New Roman"/>
          <w:sz w:val="22"/>
          <w:szCs w:val="22"/>
          <w:color w:val="auto"/>
        </w:rPr>
        <w:t>” has the meaning set forth on the attached Long-Term Incentive Awards</w:t>
      </w:r>
    </w:p>
    <w:p>
      <w:pPr>
        <w:spacing w:after="0"/>
        <w:rPr>
          <w:sz w:val="20"/>
          <w:szCs w:val="20"/>
          <w:color w:val="auto"/>
        </w:rPr>
      </w:pPr>
      <w:r>
        <w:rPr>
          <w:rFonts w:ascii="Times New Roman" w:cs="Times New Roman" w:eastAsia="Times New Roman" w:hAnsi="Times New Roman"/>
          <w:sz w:val="22"/>
          <w:szCs w:val="22"/>
          <w:color w:val="auto"/>
        </w:rPr>
        <w:t>Summary Schedule.</w:t>
      </w:r>
    </w:p>
    <w:p>
      <w:pPr>
        <w:spacing w:after="0" w:line="142" w:lineRule="exact"/>
        <w:rPr>
          <w:sz w:val="20"/>
          <w:szCs w:val="20"/>
          <w:color w:val="auto"/>
        </w:rPr>
      </w:pPr>
    </w:p>
    <w:p>
      <w:pPr>
        <w:ind w:left="2640" w:hanging="688"/>
        <w:spacing w:after="0"/>
        <w:tabs>
          <w:tab w:leader="none" w:pos="26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Vesting Date</w:t>
      </w:r>
      <w:r>
        <w:rPr>
          <w:rFonts w:ascii="Times New Roman" w:cs="Times New Roman" w:eastAsia="Times New Roman" w:hAnsi="Times New Roman"/>
          <w:sz w:val="22"/>
          <w:szCs w:val="22"/>
          <w:color w:val="auto"/>
        </w:rPr>
        <w:t>” has the meaning set forth on the attached Long-Term Incentive Awards</w:t>
      </w:r>
    </w:p>
    <w:p>
      <w:pPr>
        <w:spacing w:after="0"/>
        <w:rPr>
          <w:sz w:val="20"/>
          <w:szCs w:val="20"/>
          <w:color w:val="auto"/>
        </w:rPr>
      </w:pPr>
      <w:r>
        <w:rPr>
          <w:rFonts w:ascii="Times New Roman" w:cs="Times New Roman" w:eastAsia="Times New Roman" w:hAnsi="Times New Roman"/>
          <w:sz w:val="22"/>
          <w:szCs w:val="22"/>
          <w:color w:val="auto"/>
        </w:rPr>
        <w:t>Summary Schedule.</w:t>
      </w:r>
    </w:p>
    <w:p>
      <w:pPr>
        <w:spacing w:after="0" w:line="155" w:lineRule="exact"/>
        <w:rPr>
          <w:sz w:val="20"/>
          <w:szCs w:val="20"/>
          <w:color w:val="auto"/>
        </w:rPr>
      </w:pPr>
    </w:p>
    <w:p>
      <w:pPr>
        <w:ind w:left="2600" w:hanging="648"/>
        <w:spacing w:after="0"/>
        <w:tabs>
          <w:tab w:leader="none" w:pos="260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 shares of the Company’s Class A Common Stock, par value $.01 per share.</w:t>
      </w:r>
    </w:p>
    <w:p>
      <w:pPr>
        <w:spacing w:after="0" w:line="179" w:lineRule="exact"/>
        <w:rPr>
          <w:rFonts w:ascii="Times New Roman" w:cs="Times New Roman" w:eastAsia="Times New Roman" w:hAnsi="Times New Roman"/>
          <w:sz w:val="22"/>
          <w:szCs w:val="22"/>
          <w:color w:val="auto"/>
        </w:rPr>
      </w:pPr>
    </w:p>
    <w:p>
      <w:pPr>
        <w:ind w:firstLine="1952"/>
        <w:spacing w:after="0" w:line="211" w:lineRule="auto"/>
        <w:tabs>
          <w:tab w:leader="none" w:pos="2587"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means Participant’s termination of employment with the Participating Companies. For purposes of the Plan and this Award, Participant’s Termination of Employment occurs on the date Participant ceases to have a regular obligation to perform services for the Participating Companies, without regard to whether (i) Participant continues on the payroll of any Participating Company for regular, severance or other pay or (ii) Participant continues to participate in one or more health and welfare plans maintained by any Participating Company on the same basis as active employees. Whether Participant ceases to have a regular obligation to perform services for the Participating Companies shall be determined by the Committee in its sole discretion. Notwithstanding the foregoing, if Participant is a party to an employment agreement or severance agreement with any Participating Company which establishes the effective date of Participant’s termination of employment for purposes of this Award, that date shall apply.</w:t>
      </w:r>
    </w:p>
    <w:p>
      <w:pPr>
        <w:spacing w:after="0" w:line="158" w:lineRule="exact"/>
        <w:rPr>
          <w:rFonts w:ascii="Times New Roman" w:cs="Times New Roman" w:eastAsia="Times New Roman" w:hAnsi="Times New Roman"/>
          <w:sz w:val="22"/>
          <w:szCs w:val="22"/>
          <w:color w:val="auto"/>
        </w:rPr>
      </w:pPr>
    </w:p>
    <w:p>
      <w:pPr>
        <w:ind w:right="280" w:firstLine="1952"/>
        <w:spacing w:after="0" w:line="225" w:lineRule="auto"/>
        <w:tabs>
          <w:tab w:leader="none" w:pos="2592"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means the date(s) on which the Service Condition applicable to any Restricted Stock Units is satisfied (or deemed satisfied) pursuant to the terms of this Agreement (including Long-Term Incentive Awards Summary Schedule).</w:t>
      </w:r>
    </w:p>
    <w:p>
      <w:pPr>
        <w:spacing w:after="0" w:line="152" w:lineRule="exact"/>
        <w:rPr>
          <w:rFonts w:ascii="Times New Roman" w:cs="Times New Roman" w:eastAsia="Times New Roman" w:hAnsi="Times New Roman"/>
          <w:sz w:val="22"/>
          <w:szCs w:val="22"/>
          <w:color w:val="auto"/>
        </w:rPr>
      </w:pPr>
    </w:p>
    <w:p>
      <w:pPr>
        <w:ind w:right="520" w:firstLine="1952"/>
        <w:spacing w:after="0" w:line="236" w:lineRule="auto"/>
        <w:tabs>
          <w:tab w:leader="none" w:pos="259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Years of Service</w:t>
      </w:r>
      <w:r>
        <w:rPr>
          <w:rFonts w:ascii="Times New Roman" w:cs="Times New Roman" w:eastAsia="Times New Roman" w:hAnsi="Times New Roman"/>
          <w:sz w:val="22"/>
          <w:szCs w:val="22"/>
          <w:color w:val="auto"/>
        </w:rPr>
        <w:t>” means completed continuous years of service as reflected in the personnel records of the Company and the Company Subsidiaries.</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1934 Act</w:t>
      </w:r>
      <w:r>
        <w:rPr>
          <w:rFonts w:ascii="Times New Roman" w:cs="Times New Roman" w:eastAsia="Times New Roman" w:hAnsi="Times New Roman"/>
          <w:sz w:val="22"/>
          <w:szCs w:val="22"/>
          <w:color w:val="auto"/>
        </w:rPr>
        <w:t>” means the Securities Exchange Act of 1934, as amended.</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40" w:firstLine="1952"/>
        <w:spacing w:after="0" w:line="225" w:lineRule="auto"/>
        <w:tabs>
          <w:tab w:leader="none" w:pos="2589"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grants to Participant the Restricted Stock Units. Each Restricted Stock Unit represents the right to receive one Share, subject to the terms and conditions set forth herein and in the Plan, upon the Vesting Date of such Restricted Stock Unit.</w:t>
      </w:r>
    </w:p>
    <w:p>
      <w:pPr>
        <w:spacing w:after="0" w:line="152" w:lineRule="exact"/>
        <w:rPr>
          <w:rFonts w:ascii="Times New Roman" w:cs="Times New Roman" w:eastAsia="Times New Roman" w:hAnsi="Times New Roman"/>
          <w:sz w:val="22"/>
          <w:szCs w:val="22"/>
          <w:color w:val="auto"/>
        </w:rPr>
      </w:pPr>
    </w:p>
    <w:p>
      <w:pPr>
        <w:ind w:right="260" w:firstLine="1952"/>
        <w:spacing w:after="0" w:line="217" w:lineRule="auto"/>
        <w:tabs>
          <w:tab w:leader="none" w:pos="2587"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409A of the Code, to the extent applicable, the Company reserves the right to replace the Restricted Stock Units, to the extent not yet vested, with other compensation of comparable value, terms and conditions if, before the applicable vesting date, the Company determines that in connection with Participant’s transfer to a location different from Participant’s principal place of business on the Date of Grant, local regulatory requirements render Participant’s continued holding of the unvested Restricted Stock Units impracticable.</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00" w:firstLine="1952"/>
        <w:spacing w:after="0" w:line="236" w:lineRule="auto"/>
        <w:tabs>
          <w:tab w:leader="none" w:pos="2589"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are granted with dividend equivalent rights. If the Company declares a cash dividend on the Shares, an amount equivalent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20" w:top="1394" w:right="399" w:bottom="1440" w:gutter="0" w:footer="0" w:header="0"/>
        </w:sectPr>
      </w:pPr>
    </w:p>
    <w:bookmarkStart w:id="148" w:name="page149"/>
    <w:bookmarkEnd w:id="148"/>
    <w:p>
      <w:pPr>
        <w:ind w:right="520"/>
        <w:spacing w:after="0" w:line="255" w:lineRule="auto"/>
        <w:rPr>
          <w:sz w:val="20"/>
          <w:szCs w:val="20"/>
          <w:color w:val="auto"/>
        </w:rPr>
      </w:pPr>
      <w:r>
        <w:rPr>
          <w:rFonts w:ascii="Times New Roman" w:cs="Times New Roman" w:eastAsia="Times New Roman" w:hAnsi="Times New Roman"/>
          <w:sz w:val="21"/>
          <w:szCs w:val="21"/>
          <w:color w:val="auto"/>
        </w:rPr>
        <w:t>dividend will be credited to an unfunded bookkeeping account on the dividend payment date with respect to each Restricted Stock Unit that is outstanding and unvested as of the record date of such dividend (the “</w:t>
      </w:r>
      <w:r>
        <w:rPr>
          <w:rFonts w:ascii="Times New Roman" w:cs="Times New Roman" w:eastAsia="Times New Roman" w:hAnsi="Times New Roman"/>
          <w:sz w:val="21"/>
          <w:szCs w:val="21"/>
          <w:u w:val="single" w:color="auto"/>
          <w:color w:val="auto"/>
        </w:rPr>
        <w:t>Dividend Equivalent Amount</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ind w:right="600" w:firstLine="1952"/>
        <w:spacing w:after="0" w:line="217" w:lineRule="auto"/>
        <w:tabs>
          <w:tab w:leader="none" w:pos="2587"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Dividend Equivalent Amount will be credited as cash, without interest, and will not be converted to Shares. The Dividend Equivalent Amount will be payable in cash, but subject to and only upon the applicable Vesting Date(s) of the underlying Restricted Stock Units as determined in accordance with Paragraph 4 below, and will be cancelled and forfeited if the underlying Restricted Stock Units are cancelled or forfeited as determined in accordance with Paragraph 5 below.</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40" w:firstLine="1952"/>
        <w:spacing w:after="0" w:line="220" w:lineRule="auto"/>
        <w:tabs>
          <w:tab w:leader="none" w:pos="2589"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herein and in the Plan, Participant shall vest in the Restricted Stock Units on the Vesting Dates, and as of each Vesting Date shall be entitled to the delivery of Shares with respect to such Restricted Stock Units;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on the Vesting Date, Participant is, and has from the Date of Grant continuously been, an employee of a Participating Company during the Restricted Period.</w:t>
      </w:r>
    </w:p>
    <w:p>
      <w:pPr>
        <w:spacing w:after="0" w:line="152" w:lineRule="exact"/>
        <w:rPr>
          <w:rFonts w:ascii="Times New Roman" w:cs="Times New Roman" w:eastAsia="Times New Roman" w:hAnsi="Times New Roman"/>
          <w:sz w:val="22"/>
          <w:szCs w:val="22"/>
          <w:color w:val="auto"/>
        </w:rPr>
      </w:pPr>
    </w:p>
    <w:p>
      <w:pPr>
        <w:ind w:firstLine="1952"/>
        <w:spacing w:after="0" w:line="225" w:lineRule="auto"/>
        <w:tabs>
          <w:tab w:leader="none" w:pos="2587"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Service Condition applicable to the Restricted Stock Units shall be deemed fully satisfied upon Participant’s Termination of Employment due to Participant’s death or Disability</w:t>
      </w:r>
    </w:p>
    <w:p>
      <w:pPr>
        <w:spacing w:after="0" w:line="152" w:lineRule="exact"/>
        <w:rPr>
          <w:rFonts w:ascii="Times New Roman" w:cs="Times New Roman" w:eastAsia="Times New Roman" w:hAnsi="Times New Roman"/>
          <w:sz w:val="22"/>
          <w:szCs w:val="22"/>
          <w:color w:val="auto"/>
        </w:rPr>
      </w:pPr>
    </w:p>
    <w:p>
      <w:pPr>
        <w:ind w:right="820" w:firstLine="1952"/>
        <w:spacing w:after="0" w:line="236" w:lineRule="auto"/>
        <w:tabs>
          <w:tab w:leader="none" w:pos="2589"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4(a) to the contrary, and subject to the obligations described in Paragraph 4(d), if, Participant has a Retirement Termination, and, at the time of such Retirement Termination:</w:t>
      </w:r>
    </w:p>
    <w:p>
      <w:pPr>
        <w:spacing w:after="0" w:line="150" w:lineRule="exact"/>
        <w:rPr>
          <w:rFonts w:ascii="Times New Roman" w:cs="Times New Roman" w:eastAsia="Times New Roman" w:hAnsi="Times New Roman"/>
          <w:sz w:val="22"/>
          <w:szCs w:val="22"/>
          <w:color w:val="auto"/>
        </w:rPr>
      </w:pPr>
    </w:p>
    <w:p>
      <w:pPr>
        <w:ind w:firstLine="2600"/>
        <w:spacing w:after="0" w:line="206" w:lineRule="auto"/>
        <w:tabs>
          <w:tab w:leader="none" w:pos="3235"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has completed at least ten (10) but less than fifteen (15) Years of Service, any Service Vesting Date applicable to the Restricted Stock Units that would have occurred on or prior to the date that is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such Retirement Termination shall continue to occur in accordance with the terms of the Long-Term Incentive Awards Summary Schedule, the Restricted Stock Units will remain outstanding and as of such each Vesting Date, Participant shall be entitled to the delivery of Shares with respect to such Restricted Stock Units; or</w:t>
      </w:r>
    </w:p>
    <w:p>
      <w:pPr>
        <w:spacing w:after="0" w:line="151" w:lineRule="exact"/>
        <w:rPr>
          <w:rFonts w:ascii="Times New Roman" w:cs="Times New Roman" w:eastAsia="Times New Roman" w:hAnsi="Times New Roman"/>
          <w:sz w:val="22"/>
          <w:szCs w:val="22"/>
          <w:color w:val="auto"/>
        </w:rPr>
      </w:pPr>
    </w:p>
    <w:p>
      <w:pPr>
        <w:ind w:right="280" w:firstLine="2600"/>
        <w:spacing w:after="0" w:line="206" w:lineRule="auto"/>
        <w:tabs>
          <w:tab w:leader="none" w:pos="3235"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has completed at least fifteen (15) but less than twenty (20) Years of Service, any Service Vesting Date applicable to the Restricted Stock Units that would have occurred on or prior to the date that is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such Retirement Termination shall continue to occur in accordance with the terms of the Long-Term Incentive Awards Summary Schedule, the Restricted Stock Units will remain outstanding and as of each such Vesting Date, Participant shall be entitled to the delivery of Shares with respect to such Restricted Stock Units; or</w:t>
      </w:r>
    </w:p>
    <w:p>
      <w:pPr>
        <w:spacing w:after="0" w:line="151" w:lineRule="exact"/>
        <w:rPr>
          <w:rFonts w:ascii="Times New Roman" w:cs="Times New Roman" w:eastAsia="Times New Roman" w:hAnsi="Times New Roman"/>
          <w:sz w:val="22"/>
          <w:szCs w:val="22"/>
          <w:color w:val="auto"/>
        </w:rPr>
      </w:pPr>
    </w:p>
    <w:p>
      <w:pPr>
        <w:ind w:right="60" w:firstLine="2600"/>
        <w:spacing w:after="0" w:line="206" w:lineRule="auto"/>
        <w:tabs>
          <w:tab w:leader="none" w:pos="3235"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has completed twenty (20) or more Years of Service, any Service Vesting Date applicable to the Restricted Stock Units that would have occurred on or prior to the date that is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such Retirement Termination shall continue to occur in accordance with the terms of the Long-Term Incentive Awards Summary Schedule, the Restricted Stock Units will remain outstanding and as of each such Vesting Date, Participant shall be entitled to the delivery of Shares with respect to such Restricted Stock Units.</w:t>
      </w:r>
    </w:p>
    <w:p>
      <w:pPr>
        <w:spacing w:after="0" w:line="151" w:lineRule="exact"/>
        <w:rPr>
          <w:rFonts w:ascii="Times New Roman" w:cs="Times New Roman" w:eastAsia="Times New Roman" w:hAnsi="Times New Roman"/>
          <w:sz w:val="22"/>
          <w:szCs w:val="22"/>
          <w:color w:val="auto"/>
        </w:rPr>
      </w:pPr>
    </w:p>
    <w:p>
      <w:pPr>
        <w:ind w:right="440" w:firstLine="1952"/>
        <w:spacing w:after="0" w:line="236" w:lineRule="auto"/>
        <w:tabs>
          <w:tab w:leader="none" w:pos="2587"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4(b) or Paragraph 4(c) the Restricted Stock Units will be subject to forfeiture by the Committee, in its sole discretion, if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4"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2"/>
          <w:szCs w:val="22"/>
          <w:color w:val="auto"/>
        </w:rPr>
        <w:t>breaches either of the following non-solicitation or non-competition obligations during the period following a Termination of</w:t>
      </w:r>
    </w:p>
    <w:p>
      <w:pPr>
        <w:spacing w:after="0"/>
        <w:rPr>
          <w:sz w:val="20"/>
          <w:szCs w:val="20"/>
          <w:color w:val="auto"/>
        </w:rPr>
      </w:pPr>
      <w:r>
        <w:rPr>
          <w:rFonts w:ascii="Times New Roman" w:cs="Times New Roman" w:eastAsia="Times New Roman" w:hAnsi="Times New Roman"/>
          <w:sz w:val="22"/>
          <w:szCs w:val="22"/>
          <w:color w:val="auto"/>
        </w:rPr>
        <w:t>Employment and before the applicable Vesting Date:</w:t>
      </w:r>
    </w:p>
    <w:p>
      <w:pPr>
        <w:spacing w:after="0" w:line="155" w:lineRule="exact"/>
        <w:rPr>
          <w:sz w:val="20"/>
          <w:szCs w:val="20"/>
          <w:color w:val="auto"/>
        </w:rPr>
      </w:pPr>
    </w:p>
    <w:p>
      <w:pPr>
        <w:jc w:val="both"/>
        <w:ind w:right="60" w:firstLine="2600"/>
        <w:spacing w:after="0" w:line="225" w:lineRule="auto"/>
        <w:tabs>
          <w:tab w:leader="none" w:pos="3235" w:val="left"/>
        </w:tabs>
        <w:numPr>
          <w:ilvl w:val="2"/>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52" w:lineRule="exact"/>
        <w:rPr>
          <w:rFonts w:ascii="Times New Roman" w:cs="Times New Roman" w:eastAsia="Times New Roman" w:hAnsi="Times New Roman"/>
          <w:sz w:val="22"/>
          <w:szCs w:val="22"/>
          <w:color w:val="auto"/>
        </w:rPr>
      </w:pPr>
    </w:p>
    <w:p>
      <w:pPr>
        <w:ind w:firstLine="2600"/>
        <w:spacing w:after="0" w:line="222" w:lineRule="auto"/>
        <w:tabs>
          <w:tab w:leader="none" w:pos="3235" w:val="left"/>
        </w:tabs>
        <w:numPr>
          <w:ilvl w:val="2"/>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shall not, directly or indirectly, engage or be financially interested in (as an agent, consultant, director, employee, independent contractor, officer, owner, partner, principal or otherwise), any activities for any business (whether conducted by an entity or individuals, including Participant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Participant’s knowledge at the time of Participant’s termination of employment. This restriction shall apply in any geographical area of the United States in which the Company carries out business activities. Nothing herein shall prevent Participant from owning for investment up to one percent (1%) of any class of equity security of an entity whose securities are traded on a national securities exchange or market.</w:t>
      </w:r>
    </w:p>
    <w:p>
      <w:pPr>
        <w:spacing w:after="0" w:line="149"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Restricted Stock Units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00" w:firstLine="1952"/>
        <w:spacing w:after="0" w:line="220" w:lineRule="auto"/>
        <w:tabs>
          <w:tab w:leader="none" w:pos="2589"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and in the Plan, in the event of Participant’s Termination of Employment during the Restricted Period, except as specifically set forth in Paragraph 4, Participant shall forfeit the Restricted Stock Units as of such Termination of Employment. Upon a forfeiture of the Restricted Stock Units as provided in this Paragraph 5, the Restricted Stock Units shall be deemed canceled.</w:t>
      </w:r>
    </w:p>
    <w:p>
      <w:pPr>
        <w:spacing w:after="0" w:line="152" w:lineRule="exact"/>
        <w:rPr>
          <w:rFonts w:ascii="Times New Roman" w:cs="Times New Roman" w:eastAsia="Times New Roman" w:hAnsi="Times New Roman"/>
          <w:sz w:val="22"/>
          <w:szCs w:val="22"/>
          <w:color w:val="auto"/>
        </w:rPr>
      </w:pPr>
    </w:p>
    <w:p>
      <w:pPr>
        <w:ind w:right="100" w:firstLine="1952"/>
        <w:spacing w:after="0" w:line="236" w:lineRule="auto"/>
        <w:tabs>
          <w:tab w:leader="none" w:pos="2587"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Paragraph 5(a) shall not apply to Shares issued in respect of the Restricted Stock Units as to which a Vesting Date has occurred.</w:t>
      </w:r>
    </w:p>
    <w:p>
      <w:pPr>
        <w:spacing w:after="0" w:line="150" w:lineRule="exact"/>
        <w:rPr>
          <w:rFonts w:ascii="Times New Roman" w:cs="Times New Roman" w:eastAsia="Times New Roman" w:hAnsi="Times New Roman"/>
          <w:sz w:val="22"/>
          <w:szCs w:val="22"/>
          <w:color w:val="auto"/>
        </w:rPr>
      </w:pPr>
    </w:p>
    <w:p>
      <w:pPr>
        <w:ind w:right="60" w:firstLine="1304"/>
        <w:spacing w:after="0" w:line="217" w:lineRule="auto"/>
        <w:tabs>
          <w:tab w:leader="none" w:pos="194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Award</w:t>
      </w:r>
      <w:r>
        <w:rPr>
          <w:rFonts w:ascii="Times New Roman" w:cs="Times New Roman" w:eastAsia="Times New Roman" w:hAnsi="Times New Roman"/>
          <w:sz w:val="22"/>
          <w:szCs w:val="22"/>
          <w:color w:val="auto"/>
        </w:rPr>
        <w:t>. The Award and any Restricted Stock Units hereunder may not be transferred or assigned by Participant other than by will or the laws of descent and distribution or be exercised during his life other than by Participant or for his benefit by his attorney-in-fact or guardian. Any attempt at assignment, transfer, pledge or disposition of any Restricted Stock Units contrary to the provisions hereof or the levy of any execution, attachment or similar process upon the Restricted Stock Units shall be null and void and without effect.</w:t>
      </w:r>
    </w:p>
    <w:p>
      <w:pPr>
        <w:spacing w:after="0" w:line="152" w:lineRule="exact"/>
        <w:rPr>
          <w:rFonts w:ascii="Times New Roman" w:cs="Times New Roman" w:eastAsia="Times New Roman" w:hAnsi="Times New Roman"/>
          <w:sz w:val="22"/>
          <w:szCs w:val="22"/>
          <w:color w:val="auto"/>
        </w:rPr>
      </w:pPr>
    </w:p>
    <w:p>
      <w:pPr>
        <w:ind w:right="100" w:firstLine="1304"/>
        <w:spacing w:after="0" w:line="220" w:lineRule="auto"/>
        <w:tabs>
          <w:tab w:leader="none" w:pos="194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to the Company under this Agreement shall be made in care of the Committee at the Company’s main office in Philadelphia, Pennsylvania. The address for Participant to which notice, demands and other communications to be given or delivered under or by reason of the provisions hereof shall be Participant’s address as reflected in the Company’s personnel records.</w:t>
      </w:r>
    </w:p>
    <w:p>
      <w:pPr>
        <w:spacing w:after="0" w:line="152" w:lineRule="exact"/>
        <w:rPr>
          <w:rFonts w:ascii="Times New Roman" w:cs="Times New Roman" w:eastAsia="Times New Roman" w:hAnsi="Times New Roman"/>
          <w:sz w:val="22"/>
          <w:szCs w:val="22"/>
          <w:color w:val="auto"/>
        </w:rPr>
      </w:pPr>
    </w:p>
    <w:p>
      <w:pPr>
        <w:ind w:right="60" w:firstLine="1304"/>
        <w:spacing w:after="0" w:line="225" w:lineRule="auto"/>
        <w:tabs>
          <w:tab w:leader="none" w:pos="194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The Committee may from time to time impose any conditions on the Shares issuable with respect to Restricted Stock Units as it deems necessary or advisable to ensure that the Plan and this Award satisfy the conditions of Rule 16b-3, and that Shares are issued and resold in compliance with the Securities Act of 1933, as amended.</w:t>
      </w:r>
    </w:p>
    <w:p>
      <w:pPr>
        <w:spacing w:after="0" w:line="152" w:lineRule="exact"/>
        <w:rPr>
          <w:rFonts w:ascii="Times New Roman" w:cs="Times New Roman" w:eastAsia="Times New Roman" w:hAnsi="Times New Roman"/>
          <w:sz w:val="22"/>
          <w:szCs w:val="22"/>
          <w:color w:val="auto"/>
        </w:rPr>
      </w:pPr>
    </w:p>
    <w:p>
      <w:pPr>
        <w:ind w:right="160" w:firstLine="1304"/>
        <w:spacing w:after="0" w:line="236" w:lineRule="auto"/>
        <w:tabs>
          <w:tab w:leader="none" w:pos="194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w:t>
      </w:r>
      <w:r>
        <w:rPr>
          <w:rFonts w:ascii="Times New Roman" w:cs="Times New Roman" w:eastAsia="Times New Roman" w:hAnsi="Times New Roman"/>
          <w:sz w:val="22"/>
          <w:szCs w:val="22"/>
          <w:color w:val="auto"/>
        </w:rPr>
        <w:t>. Within ten (10) business days of a Vesting Date, the Company shall, without payment from Participant, satisfy its obligations to (a) pay the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82" w:right="339" w:bottom="1440" w:gutter="0" w:footer="0" w:header="0"/>
        </w:sectPr>
      </w:pPr>
    </w:p>
    <w:bookmarkStart w:id="150" w:name="page151"/>
    <w:bookmarkEnd w:id="150"/>
    <w:p>
      <w:pPr>
        <w:ind w:right="160"/>
        <w:spacing w:after="0" w:line="222" w:lineRule="auto"/>
        <w:rPr>
          <w:sz w:val="20"/>
          <w:szCs w:val="20"/>
          <w:color w:val="auto"/>
        </w:rPr>
      </w:pPr>
      <w:r>
        <w:rPr>
          <w:rFonts w:ascii="Times New Roman" w:cs="Times New Roman" w:eastAsia="Times New Roman" w:hAnsi="Times New Roman"/>
          <w:sz w:val="21"/>
          <w:szCs w:val="21"/>
          <w:color w:val="auto"/>
        </w:rPr>
        <w:t xml:space="preserve">Equivalent Amount (if any) and (b) deliver Shares underlying the applicable Restricted Stock Units by arranging for the recording of Participant’s ownership of Shares issuable under the Plan on a book entry recordkeeping system maintained on behalf of the Company, without any legend or restrictions, except for such restrictions as may be imposed by the Committee, in its sole judgment, under Paragraph 8;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Dividend Equivalent Amount (if any) will not be paid and/or Shares will not be delivered to Participant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Participant of any undertakings which it may determine are required to assure that the certificates are being issued in compliance with federal and state securities laws.</w:t>
      </w:r>
    </w:p>
    <w:p>
      <w:pPr>
        <w:spacing w:after="0" w:line="157" w:lineRule="exact"/>
        <w:rPr>
          <w:sz w:val="20"/>
          <w:szCs w:val="20"/>
          <w:color w:val="auto"/>
        </w:rPr>
      </w:pPr>
    </w:p>
    <w:p>
      <w:pPr>
        <w:jc w:val="both"/>
        <w:ind w:right="140" w:firstLine="1304"/>
        <w:spacing w:after="0" w:line="225" w:lineRule="auto"/>
        <w:tabs>
          <w:tab w:leader="none" w:pos="19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Prior to Settlement</w:t>
      </w:r>
      <w:r>
        <w:rPr>
          <w:rFonts w:ascii="Times New Roman" w:cs="Times New Roman" w:eastAsia="Times New Roman" w:hAnsi="Times New Roman"/>
          <w:sz w:val="22"/>
          <w:szCs w:val="22"/>
          <w:color w:val="auto"/>
        </w:rPr>
        <w:t>. Participant shall not have any right as a stockholder with respect to any Shares subject to his or her Restricted Stock Unit until the Restricted Stock Unit shall have been settled in accordance with the terms of the Plan and this Agreement, and the Company shall have delivered the Shares.</w:t>
      </w:r>
    </w:p>
    <w:p>
      <w:pPr>
        <w:spacing w:after="0" w:line="152" w:lineRule="exact"/>
        <w:rPr>
          <w:rFonts w:ascii="Times New Roman" w:cs="Times New Roman" w:eastAsia="Times New Roman" w:hAnsi="Times New Roman"/>
          <w:sz w:val="22"/>
          <w:szCs w:val="22"/>
          <w:color w:val="auto"/>
        </w:rPr>
      </w:pPr>
    </w:p>
    <w:p>
      <w:pPr>
        <w:ind w:firstLine="1304"/>
        <w:spacing w:after="0" w:line="208" w:lineRule="auto"/>
        <w:tabs>
          <w:tab w:leader="none" w:pos="193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Participant understands and agrees that this Award and all payments with respect thereto are intended to comply with and/or be exempt from Section 409A of the Code (together with its implement regulations and guidance,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This Agreement shall be interpreted in a manner that is consistent with such intent and the Award shall be operated accordingly. If any provision of the Plan or any term or condition of this Award would otherwise frustrate or conflict with this intent, the provision, term or condition shall be interpreted an deemed amended so as to avoid this conflict. Notwithstanding anything in the Plan of this Agreement to the contrary, if the Board considers Participant to be a “specified employee” under Section 409A at the time of Participant’s “separation from service” (as defined in Section 409A), and any amount hereunder is “deferred compensation” subject to Section 409A, any distribution of such amount that otherwise would be made to Participant with respect to the Award as a result of such “separation from service” shall not be made until the date that is six months after such “separation from service,” except to the extent that earlier distribution would not result in Participant incurring interest or additional tax under Section 409A. If the Award includes a “series of installment payments” (within the meaning of Treasury Regulations § 1.409A-2(b)(2)(iii)), Participant’s right to such series of installment payments shall be treated as a right to a series of separate payments and not as a right to a single payment, and if the Award includes “dividend equivalents” (within the meaning of Treasury Regulations § 1.409A-3(e)), Participant’s right to such dividend equivalents shall be treated separately from the right to other amounts under the Award. Notwithstanding the foregoing, the tax treatment of the benefits provided under the Plan or this Agreement is not warranted or guaranteed, and in no event shall the Company be liable for all or any portion of any taxes, penalties, interest or other expenses that may be incurred by Participant on account of non-compliance with Section 409A.</w:t>
      </w:r>
    </w:p>
    <w:p>
      <w:pPr>
        <w:spacing w:after="0" w:line="157" w:lineRule="exact"/>
        <w:rPr>
          <w:rFonts w:ascii="Times New Roman" w:cs="Times New Roman" w:eastAsia="Times New Roman" w:hAnsi="Times New Roman"/>
          <w:sz w:val="22"/>
          <w:szCs w:val="22"/>
          <w:color w:val="auto"/>
        </w:rPr>
      </w:pPr>
    </w:p>
    <w:p>
      <w:pPr>
        <w:ind w:right="420" w:firstLine="1304"/>
        <w:spacing w:after="0" w:line="236" w:lineRule="auto"/>
        <w:tabs>
          <w:tab w:leader="none" w:pos="19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Not to Affect Employment</w:t>
      </w:r>
      <w:r>
        <w:rPr>
          <w:rFonts w:ascii="Times New Roman" w:cs="Times New Roman" w:eastAsia="Times New Roman" w:hAnsi="Times New Roman"/>
          <w:sz w:val="22"/>
          <w:szCs w:val="22"/>
          <w:color w:val="auto"/>
        </w:rPr>
        <w:t>. The Award granted hereunder shall not confer upon Participant any right to continue in the employment of the Company or any Subsidiary Company or Affiliate of the Company.</w:t>
      </w:r>
    </w:p>
    <w:p>
      <w:pPr>
        <w:spacing w:after="0" w:line="150" w:lineRule="exact"/>
        <w:rPr>
          <w:rFonts w:ascii="Times New Roman" w:cs="Times New Roman" w:eastAsia="Times New Roman" w:hAnsi="Times New Roman"/>
          <w:sz w:val="22"/>
          <w:szCs w:val="22"/>
          <w:color w:val="auto"/>
        </w:rPr>
      </w:pPr>
    </w:p>
    <w:p>
      <w:pPr>
        <w:ind w:right="120" w:firstLine="1304"/>
        <w:spacing w:after="0" w:line="236" w:lineRule="auto"/>
        <w:tabs>
          <w:tab w:leader="none" w:pos="19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performance, construction and effect of this Award shall be governed by the laws of the Commonwealth of Pennsylvania, without giving effect to principles of conflicts of law</w:t>
      </w:r>
    </w:p>
    <w:p>
      <w:pPr>
        <w:spacing w:after="0" w:line="150" w:lineRule="exact"/>
        <w:rPr>
          <w:rFonts w:ascii="Times New Roman" w:cs="Times New Roman" w:eastAsia="Times New Roman" w:hAnsi="Times New Roman"/>
          <w:sz w:val="22"/>
          <w:szCs w:val="22"/>
          <w:color w:val="auto"/>
        </w:rPr>
      </w:pPr>
    </w:p>
    <w:p>
      <w:pPr>
        <w:ind w:right="40" w:firstLine="1304"/>
        <w:spacing w:after="0" w:line="236" w:lineRule="auto"/>
        <w:tabs>
          <w:tab w:leader="none" w:pos="19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Protection</w:t>
      </w:r>
      <w:r>
        <w:rPr>
          <w:rFonts w:ascii="Times New Roman" w:cs="Times New Roman" w:eastAsia="Times New Roman" w:hAnsi="Times New Roman"/>
          <w:sz w:val="22"/>
          <w:szCs w:val="22"/>
          <w:color w:val="auto"/>
        </w:rPr>
        <w:t>. Participant acknowledges that their personal data will be processed in accordance with the data privacy policy, notice and/or agreement that is applicable to them in connection with their employment.</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4" w:right="339" w:bottom="1440" w:gutter="0" w:footer="0" w:header="0"/>
        </w:sectPr>
      </w:pPr>
    </w:p>
    <w:bookmarkStart w:id="151" w:name="page152"/>
    <w:bookmarkEnd w:id="151"/>
    <w:p>
      <w:pPr>
        <w:ind w:left="-20" w:right="340" w:firstLine="1304"/>
        <w:spacing w:after="0" w:line="236" w:lineRule="auto"/>
        <w:tabs>
          <w:tab w:leader="none" w:pos="192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Cancellation/Clawback</w:t>
      </w:r>
      <w:r>
        <w:rPr>
          <w:rFonts w:ascii="Times New Roman" w:cs="Times New Roman" w:eastAsia="Times New Roman" w:hAnsi="Times New Roman"/>
          <w:sz w:val="22"/>
          <w:szCs w:val="22"/>
          <w:color w:val="auto"/>
        </w:rPr>
        <w:t>. Participant hereby acknowledges and agrees that Participant and the Award are subject to the terms and conditions of Section 14 (Repayment) of the Plan.</w:t>
      </w:r>
    </w:p>
    <w:p>
      <w:pPr>
        <w:spacing w:after="0" w:line="150" w:lineRule="exact"/>
        <w:rPr>
          <w:rFonts w:ascii="Times New Roman" w:cs="Times New Roman" w:eastAsia="Times New Roman" w:hAnsi="Times New Roman"/>
          <w:sz w:val="22"/>
          <w:szCs w:val="22"/>
          <w:color w:val="auto"/>
        </w:rPr>
      </w:pPr>
    </w:p>
    <w:p>
      <w:pPr>
        <w:ind w:left="-20" w:right="20" w:firstLine="1304"/>
        <w:spacing w:after="0" w:line="217" w:lineRule="auto"/>
        <w:tabs>
          <w:tab w:leader="none" w:pos="192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Plan Control</w:t>
      </w:r>
      <w:r>
        <w:rPr>
          <w:rFonts w:ascii="Times New Roman" w:cs="Times New Roman" w:eastAsia="Times New Roman" w:hAnsi="Times New Roman"/>
          <w:sz w:val="22"/>
          <w:szCs w:val="22"/>
          <w:color w:val="auto"/>
        </w:rPr>
        <w:t>. This Agreement is subject to all the terms, conditions and provisions of the Plan, including the amendment provisions thereof, and to such rules, regulations and interpretations relating to the Plan as may be adopted by the Committee and as may be in effect from time to time. The terms of the Plan are incorporated herein by reference. If and to the extent that this Agreement conflicts with the Plan, the Plan shall control, and this Agreement shall be deemed to be modified accordingly.</w:t>
      </w:r>
    </w:p>
    <w:p>
      <w:pPr>
        <w:spacing w:after="0" w:line="152" w:lineRule="exact"/>
        <w:rPr>
          <w:rFonts w:ascii="Times New Roman" w:cs="Times New Roman" w:eastAsia="Times New Roman" w:hAnsi="Times New Roman"/>
          <w:sz w:val="22"/>
          <w:szCs w:val="22"/>
          <w:color w:val="auto"/>
        </w:rPr>
      </w:pPr>
    </w:p>
    <w:p>
      <w:pPr>
        <w:ind w:left="-20" w:right="160" w:firstLine="1304"/>
        <w:spacing w:after="0" w:line="231" w:lineRule="auto"/>
        <w:tabs>
          <w:tab w:leader="none" w:pos="1924"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the Plan and any other agreements, schedules, exhibits and other 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w:t>
      </w:r>
    </w:p>
    <w:p>
      <w:pPr>
        <w:spacing w:after="0" w:line="150" w:lineRule="exact"/>
        <w:rPr>
          <w:rFonts w:ascii="Times New Roman" w:cs="Times New Roman" w:eastAsia="Times New Roman" w:hAnsi="Times New Roman"/>
          <w:sz w:val="21"/>
          <w:szCs w:val="21"/>
          <w:color w:val="auto"/>
        </w:rPr>
      </w:pPr>
    </w:p>
    <w:p>
      <w:pPr>
        <w:ind w:left="-20" w:right="200" w:firstLine="1304"/>
        <w:spacing w:after="0" w:line="227" w:lineRule="auto"/>
        <w:tabs>
          <w:tab w:leader="none" w:pos="1924"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is or becomes or is deemed to be invalid, illegal or unenforceable in any jurisdiction, or would disqualify the Plan or this Agreement under any law deemed applicable by the Committee, such provision shall be construed or deemed amended to conform to applicable laws, or if it cannot be so construed or deemed amended without, in the determination of the Committee, materially altering the intent of this Agreement, such provision shall be stricken as to such jurisdiction, and the remainder of this Agreement shall remain in full force and effect.</w:t>
      </w:r>
    </w:p>
    <w:p>
      <w:pPr>
        <w:spacing w:after="0" w:line="153" w:lineRule="exact"/>
        <w:rPr>
          <w:rFonts w:ascii="Times New Roman" w:cs="Times New Roman" w:eastAsia="Times New Roman" w:hAnsi="Times New Roman"/>
          <w:sz w:val="21"/>
          <w:szCs w:val="21"/>
          <w:color w:val="auto"/>
        </w:rPr>
      </w:pPr>
    </w:p>
    <w:p>
      <w:pPr>
        <w:ind w:left="-20" w:right="40" w:firstLine="1304"/>
        <w:spacing w:after="0" w:line="217" w:lineRule="auto"/>
        <w:tabs>
          <w:tab w:leader="none" w:pos="192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 No Third-Party Beneficiaries</w:t>
      </w:r>
      <w:r>
        <w:rPr>
          <w:rFonts w:ascii="Times New Roman" w:cs="Times New Roman" w:eastAsia="Times New Roman" w:hAnsi="Times New Roman"/>
          <w:sz w:val="22"/>
          <w:szCs w:val="22"/>
          <w:color w:val="auto"/>
        </w:rPr>
        <w:t>. This Agreement shall inure to the benefit of and be binding upon the Company and Participant and their respective heirs, successors, legal representatives and permitted assigns. Nothing in this Agreement, express or implied, is intended to confer on any Person other than the Company and Participant, and their respective heirs, successors, legal representatives and permitted assigns, any rights, remedies, obligations or liabilities under or by reason of this Agreement.</w:t>
      </w:r>
    </w:p>
    <w:p>
      <w:pPr>
        <w:spacing w:after="0" w:line="152" w:lineRule="exact"/>
        <w:rPr>
          <w:rFonts w:ascii="Times New Roman" w:cs="Times New Roman" w:eastAsia="Times New Roman" w:hAnsi="Times New Roman"/>
          <w:sz w:val="22"/>
          <w:szCs w:val="22"/>
          <w:color w:val="auto"/>
        </w:rPr>
      </w:pPr>
    </w:p>
    <w:p>
      <w:pPr>
        <w:ind w:left="-20" w:firstLine="1304"/>
        <w:spacing w:after="0" w:line="215" w:lineRule="auto"/>
        <w:tabs>
          <w:tab w:leader="none" w:pos="192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 and Participant Undertaking</w:t>
      </w:r>
      <w:r>
        <w:rPr>
          <w:rFonts w:ascii="Times New Roman" w:cs="Times New Roman" w:eastAsia="Times New Roman" w:hAnsi="Times New Roman"/>
          <w:sz w:val="22"/>
          <w:szCs w:val="22"/>
          <w:color w:val="auto"/>
        </w:rPr>
        <w:t>. The Company reserves the right to impose other requirements on Participant’s participation in the Plan, on the Award and on any Shares to be issued upon settlement of the Award, to the extent the Company determines it is necessary or advisable for legal or administrative reasons. Participant agrees to take whatever additional action and execute whatever additional documents the Company may deem necessary or advisable to accomplish the foregoing or to carry out or give effect to any of the obligations or restrictions imposed on either Participant or the Award pursuant to this Agreement.</w:t>
      </w:r>
    </w:p>
    <w:p>
      <w:pPr>
        <w:spacing w:after="0" w:line="152" w:lineRule="exact"/>
        <w:rPr>
          <w:rFonts w:ascii="Times New Roman" w:cs="Times New Roman" w:eastAsia="Times New Roman" w:hAnsi="Times New Roman"/>
          <w:sz w:val="22"/>
          <w:szCs w:val="22"/>
          <w:color w:val="auto"/>
        </w:rPr>
      </w:pPr>
    </w:p>
    <w:p>
      <w:pPr>
        <w:jc w:val="both"/>
        <w:ind w:left="-20" w:right="360" w:firstLine="1304"/>
        <w:spacing w:after="0" w:line="225" w:lineRule="auto"/>
        <w:tabs>
          <w:tab w:leader="none" w:pos="192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References herein to rights and obligations of Participant shall apply, where appropriate, to Participant’s legal representative or estate without regard to whether specific reference to such legal representative or estate is contained in a particular provision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40" w:top="1394" w:right="339" w:bottom="1440" w:gutter="0" w:footer="0" w:header="0"/>
        </w:sectPr>
      </w:pPr>
    </w:p>
    <w:bookmarkStart w:id="152" w:name="page153"/>
    <w:bookmarkEnd w:id="152"/>
    <w:p>
      <w:pPr>
        <w:ind w:left="20"/>
        <w:spacing w:after="0"/>
        <w:rPr>
          <w:sz w:val="20"/>
          <w:szCs w:val="20"/>
          <w:color w:val="auto"/>
        </w:rPr>
      </w:pPr>
      <w:r>
        <w:rPr>
          <w:rFonts w:ascii="Times New Roman" w:cs="Times New Roman" w:eastAsia="Times New Roman" w:hAnsi="Times New Roman"/>
          <w:sz w:val="22"/>
          <w:szCs w:val="22"/>
          <w:color w:val="auto"/>
        </w:rPr>
        <w:t>WITNESS WHEREOF, the Company has granted this Award on the Date of Grant.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-160020</wp:posOffset>
            </wp:positionV>
            <wp:extent cx="33000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Title:</w:t>
      </w:r>
    </w:p>
    <w:p>
      <w:pPr>
        <w:spacing w:after="0" w:line="3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LONG-TERM INCENTIVE AWARDS SUMMARY SCHEDULE</w:t>
      </w:r>
    </w:p>
    <w:p>
      <w:pPr>
        <w:spacing w:after="0" w:line="237" w:lineRule="exact"/>
        <w:rPr>
          <w:sz w:val="20"/>
          <w:szCs w:val="20"/>
          <w:color w:val="auto"/>
        </w:rPr>
      </w:pPr>
    </w:p>
    <w:p>
      <w:pPr>
        <w:ind w:left="20"/>
        <w:spacing w:after="0" w:line="275" w:lineRule="auto"/>
        <w:rPr>
          <w:sz w:val="20"/>
          <w:szCs w:val="20"/>
          <w:color w:val="auto"/>
        </w:rPr>
      </w:pPr>
      <w:r>
        <w:rPr>
          <w:rFonts w:ascii="Times New Roman" w:cs="Times New Roman" w:eastAsia="Times New Roman" w:hAnsi="Times New Roman"/>
          <w:sz w:val="21"/>
          <w:szCs w:val="21"/>
          <w:color w:val="auto"/>
        </w:rPr>
        <w:t xml:space="preserve">This Long-Term Incentive Awards Summary Schedule (this “Schedule”) provides certain information related to the Restricted Stock Units you were granted by Comcast Corporation on the Date of Grant (as described below). </w:t>
      </w:r>
      <w:r>
        <w:rPr>
          <w:rFonts w:ascii="Times New Roman" w:cs="Times New Roman" w:eastAsia="Times New Roman" w:hAnsi="Times New Roman"/>
          <w:sz w:val="21"/>
          <w:szCs w:val="21"/>
          <w:b w:val="1"/>
          <w:bCs w:val="1"/>
          <w:color w:val="auto"/>
        </w:rPr>
        <w:t>This Schedule is intended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be, and shall at all times be interpreted as, a part of your Comcast Corporation Restricted Stock Unit Award document.</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Award</w:t>
      </w:r>
    </w:p>
    <w:p>
      <w:pPr>
        <w:spacing w:after="0" w:line="271" w:lineRule="exact"/>
        <w:rPr>
          <w:sz w:val="20"/>
          <w:szCs w:val="20"/>
          <w:color w:val="auto"/>
        </w:rPr>
      </w:pPr>
    </w:p>
    <w:tbl>
      <w:tblPr>
        <w:tblLayout w:type="fixed"/>
        <w:tblInd w:w="30" w:type="dxa"/>
        <w:tblCellMar>
          <w:top w:w="0" w:type="dxa"/>
          <w:left w:w="0" w:type="dxa"/>
          <w:bottom w:w="0" w:type="dxa"/>
          <w:right w:w="0" w:type="dxa"/>
        </w:tblCellMar>
      </w:tblPr>
      <w:tr>
        <w:trPr>
          <w:trHeight w:val="283"/>
        </w:trPr>
        <w:tc>
          <w:tcPr>
            <w:tcW w:w="34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Participant:</w:t>
            </w:r>
          </w:p>
        </w:tc>
        <w:tc>
          <w:tcPr>
            <w:tcW w:w="728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Date of Grant:</w:t>
            </w:r>
          </w:p>
        </w:tc>
        <w:tc>
          <w:tcPr>
            <w:tcW w:w="7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March 1, 2024</w:t>
            </w:r>
          </w:p>
        </w:tc>
        <w:tc>
          <w:tcPr>
            <w:tcW w:w="0" w:type="dxa"/>
            <w:vAlign w:val="bottom"/>
          </w:tcPr>
          <w:p>
            <w:pPr>
              <w:spacing w:after="0"/>
              <w:rPr>
                <w:sz w:val="1"/>
                <w:szCs w:val="1"/>
                <w:color w:val="auto"/>
              </w:rPr>
            </w:pPr>
          </w:p>
        </w:tc>
      </w:tr>
      <w:tr>
        <w:trPr>
          <w:trHeight w:val="263"/>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Common Stock:</w:t>
            </w:r>
          </w:p>
        </w:tc>
        <w:tc>
          <w:tcPr>
            <w:tcW w:w="7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Comcast Corporation Class A Common Stock</w:t>
            </w:r>
          </w:p>
        </w:tc>
        <w:tc>
          <w:tcPr>
            <w:tcW w:w="0" w:type="dxa"/>
            <w:vAlign w:val="bottom"/>
          </w:tcPr>
          <w:p>
            <w:pPr>
              <w:spacing w:after="0"/>
              <w:rPr>
                <w:sz w:val="1"/>
                <w:szCs w:val="1"/>
                <w:color w:val="auto"/>
              </w:rPr>
            </w:pPr>
          </w:p>
        </w:tc>
      </w:tr>
      <w:tr>
        <w:trPr>
          <w:trHeight w:val="196"/>
        </w:trPr>
        <w:tc>
          <w:tcPr>
            <w:tcW w:w="340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Service Vesting Dates of Restricted</w:t>
            </w:r>
          </w:p>
        </w:tc>
        <w:tc>
          <w:tcPr>
            <w:tcW w:w="7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Stock Units:</w:t>
            </w:r>
          </w:p>
        </w:tc>
        <w:tc>
          <w:tcPr>
            <w:tcW w:w="7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400" w:type="dxa"/>
            <w:vAlign w:val="bottom"/>
            <w:tcBorders>
              <w:left w:val="single" w:sz="8" w:color="auto"/>
              <w:right w:val="single" w:sz="8" w:color="auto"/>
            </w:tcBorders>
          </w:tcPr>
          <w:p>
            <w:pPr>
              <w:spacing w:after="0"/>
              <w:rPr>
                <w:sz w:val="24"/>
                <w:szCs w:val="24"/>
                <w:color w:val="auto"/>
              </w:rPr>
            </w:pPr>
          </w:p>
        </w:tc>
        <w:tc>
          <w:tcPr>
            <w:tcW w:w="7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Except as otherwise provided in Paragraph 4 of the Restricted Stock Unit Award</w:t>
            </w:r>
          </w:p>
        </w:tc>
        <w:tc>
          <w:tcPr>
            <w:tcW w:w="0" w:type="dxa"/>
            <w:vAlign w:val="bottom"/>
          </w:tcPr>
          <w:p>
            <w:pPr>
              <w:spacing w:after="0"/>
              <w:rPr>
                <w:sz w:val="1"/>
                <w:szCs w:val="1"/>
                <w:color w:val="auto"/>
              </w:rPr>
            </w:pPr>
          </w:p>
        </w:tc>
      </w:tr>
      <w:tr>
        <w:trPr>
          <w:trHeight w:val="260"/>
        </w:trPr>
        <w:tc>
          <w:tcPr>
            <w:tcW w:w="3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Service Condition:</w:t>
            </w:r>
          </w:p>
        </w:tc>
        <w:tc>
          <w:tcPr>
            <w:tcW w:w="7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Agreement, Participant will satisfy the “</w:t>
            </w:r>
            <w:r>
              <w:rPr>
                <w:rFonts w:ascii="Times New Roman" w:cs="Times New Roman" w:eastAsia="Times New Roman" w:hAnsi="Times New Roman"/>
                <w:sz w:val="22"/>
                <w:szCs w:val="22"/>
                <w:b w:val="1"/>
                <w:bCs w:val="1"/>
                <w:color w:val="auto"/>
              </w:rPr>
              <w:t>Service Condition</w:t>
            </w:r>
            <w:r>
              <w:rPr>
                <w:rFonts w:ascii="Times New Roman" w:cs="Times New Roman" w:eastAsia="Times New Roman" w:hAnsi="Times New Roman"/>
                <w:sz w:val="22"/>
                <w:szCs w:val="22"/>
                <w:color w:val="auto"/>
              </w:rPr>
              <w:t>” applicable to the</w:t>
            </w:r>
          </w:p>
        </w:tc>
        <w:tc>
          <w:tcPr>
            <w:tcW w:w="0" w:type="dxa"/>
            <w:vAlign w:val="bottom"/>
          </w:tcPr>
          <w:p>
            <w:pPr>
              <w:spacing w:after="0"/>
              <w:rPr>
                <w:sz w:val="1"/>
                <w:szCs w:val="1"/>
                <w:color w:val="auto"/>
              </w:rPr>
            </w:pPr>
          </w:p>
        </w:tc>
      </w:tr>
      <w:tr>
        <w:trPr>
          <w:trHeight w:val="147"/>
        </w:trPr>
        <w:tc>
          <w:tcPr>
            <w:tcW w:w="3400" w:type="dxa"/>
            <w:vAlign w:val="bottom"/>
            <w:tcBorders>
              <w:left w:val="single" w:sz="8" w:color="auto"/>
              <w:right w:val="single" w:sz="8" w:color="auto"/>
            </w:tcBorders>
            <w:vMerge w:val="continue"/>
          </w:tcPr>
          <w:p>
            <w:pPr>
              <w:spacing w:after="0"/>
              <w:rPr>
                <w:sz w:val="12"/>
                <w:szCs w:val="12"/>
                <w:color w:val="auto"/>
              </w:rPr>
            </w:pPr>
          </w:p>
        </w:tc>
        <w:tc>
          <w:tcPr>
            <w:tcW w:w="72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Restricted Stock Units on the Service Vesting Dates as set forth above, subject to</w:t>
            </w:r>
          </w:p>
        </w:tc>
        <w:tc>
          <w:tcPr>
            <w:tcW w:w="0" w:type="dxa"/>
            <w:vAlign w:val="bottom"/>
          </w:tcPr>
          <w:p>
            <w:pPr>
              <w:spacing w:after="0"/>
              <w:rPr>
                <w:sz w:val="1"/>
                <w:szCs w:val="1"/>
                <w:color w:val="auto"/>
              </w:rPr>
            </w:pPr>
          </w:p>
        </w:tc>
      </w:tr>
      <w:tr>
        <w:trPr>
          <w:trHeight w:val="123"/>
        </w:trPr>
        <w:tc>
          <w:tcPr>
            <w:tcW w:w="3400" w:type="dxa"/>
            <w:vAlign w:val="bottom"/>
            <w:tcBorders>
              <w:left w:val="single" w:sz="8" w:color="auto"/>
              <w:right w:val="single" w:sz="8" w:color="auto"/>
            </w:tcBorders>
          </w:tcPr>
          <w:p>
            <w:pPr>
              <w:spacing w:after="0"/>
              <w:rPr>
                <w:sz w:val="10"/>
                <w:szCs w:val="10"/>
                <w:color w:val="auto"/>
              </w:rPr>
            </w:pPr>
          </w:p>
        </w:tc>
        <w:tc>
          <w:tcPr>
            <w:tcW w:w="7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3400" w:type="dxa"/>
            <w:vAlign w:val="bottom"/>
            <w:tcBorders>
              <w:left w:val="single" w:sz="8" w:color="auto"/>
              <w:right w:val="single" w:sz="8" w:color="auto"/>
            </w:tcBorders>
          </w:tcPr>
          <w:p>
            <w:pPr>
              <w:spacing w:after="0"/>
              <w:rPr>
                <w:sz w:val="24"/>
                <w:szCs w:val="24"/>
                <w:color w:val="auto"/>
              </w:rPr>
            </w:pPr>
          </w:p>
        </w:tc>
        <w:tc>
          <w:tcPr>
            <w:tcW w:w="7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w w:val="99"/>
              </w:rPr>
              <w:t>Participant’s continued employment through the applicable Service Vesting Date.</w:t>
            </w:r>
          </w:p>
        </w:tc>
        <w:tc>
          <w:tcPr>
            <w:tcW w:w="0" w:type="dxa"/>
            <w:vAlign w:val="bottom"/>
          </w:tcPr>
          <w:p>
            <w:pPr>
              <w:spacing w:after="0"/>
              <w:rPr>
                <w:sz w:val="1"/>
                <w:szCs w:val="1"/>
                <w:color w:val="auto"/>
              </w:rPr>
            </w:pPr>
          </w:p>
        </w:tc>
      </w:tr>
      <w:tr>
        <w:trPr>
          <w:trHeight w:val="42"/>
        </w:trPr>
        <w:tc>
          <w:tcPr>
            <w:tcW w:w="3400" w:type="dxa"/>
            <w:vAlign w:val="bottom"/>
            <w:tcBorders>
              <w:left w:val="single" w:sz="8" w:color="auto"/>
              <w:bottom w:val="single" w:sz="8" w:color="auto"/>
              <w:right w:val="single" w:sz="8" w:color="auto"/>
            </w:tcBorders>
          </w:tcPr>
          <w:p>
            <w:pPr>
              <w:spacing w:after="0"/>
              <w:rPr>
                <w:sz w:val="3"/>
                <w:szCs w:val="3"/>
                <w:color w:val="auto"/>
              </w:rPr>
            </w:pPr>
          </w:p>
        </w:tc>
        <w:tc>
          <w:tcPr>
            <w:tcW w:w="7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40"/>
          </w:cols>
          <w:pgMar w:left="300" w:top="1395" w:right="45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19</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VERSANT MEDIA GROUP,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Purpose</w:t>
      </w:r>
    </w:p>
    <w:p>
      <w:pPr>
        <w:spacing w:after="0" w:line="143"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Versant Media Group, Inc. and its consolidated subsidiaries (the “Company”) are committed to complying with securities laws, including the federal and state securities laws of the United States (collectively, “securities laws”), which prohibit insider trading.</w:t>
      </w:r>
    </w:p>
    <w:p>
      <w:pPr>
        <w:spacing w:after="0" w:line="149"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22"/>
          <w:szCs w:val="22"/>
          <w:color w:val="auto"/>
        </w:rPr>
        <w:t>The Company has adopted this Insider Trading Policy (this “Policy”) to reinforce the Company’s prohibition of insider trading and illegal stock tipping, and help protect the Company, and its employees and directors from potential violations of insider trading under the securities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 Covered Persons</w:t>
      </w:r>
    </w:p>
    <w:p>
      <w:pPr>
        <w:spacing w:after="0" w:line="143"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This Policy applies to all Company employees and to all directors of the Company (collectively, “Covered Personnel”). The Company may also determine that other persons should be subject to this Policy, such as contractors or consultants who have access to material nonpublic information, in which case such persons will be notified accordingly. This Policy also applies to family members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persons covered by this Policy, other members of a person’s household and entities controlled by a person covered by this Policy (together with Covered Personnel, “Covered Persons”). For purposes of this Policy, unless context indicates otherwise, references to “Covered Persons” includes Covered Persons’ family members and controlled entities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of Covered Persons and their family members. Covered Personnel are responsible for the transactions of these other persons and entities and therefore should make them aware of the need to confer with them before they trade in Company securities, and Covered Personnel should treat all such transactions for the purposes of this Policy and applicable securities laws as if the transactions were for their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6459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71" w:lineRule="exact"/>
        <w:rPr>
          <w:sz w:val="20"/>
          <w:szCs w:val="20"/>
          <w:color w:val="auto"/>
        </w:rPr>
      </w:pPr>
    </w:p>
    <w:p>
      <w:pPr>
        <w:ind w:right="100" w:firstLine="8"/>
        <w:spacing w:after="0" w:line="241" w:lineRule="auto"/>
        <w:tabs>
          <w:tab w:leader="none" w:pos="103" w:val="left"/>
        </w:tabs>
        <w:numPr>
          <w:ilvl w:val="0"/>
          <w:numId w:val="1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this Policy, “family members” includes family members who reside with an employee (including a spouse, a child, a child away at college, stepchildren, grandchildren, parents, stepparents, grandparents, siblings and in-laws), anyone else who lives in the employee’s household, and any family members who do not live in the employee’s household but whose transactions in Company securities are directed by the employee or are subject to the employee’s influence or control, such as parents or children who consult with you before they trade in Company Securities (collectively referred to in this Policy as “family members”).</w:t>
      </w:r>
    </w:p>
    <w:p>
      <w:pPr>
        <w:spacing w:after="0" w:line="226" w:lineRule="exact"/>
        <w:rPr>
          <w:sz w:val="20"/>
          <w:szCs w:val="20"/>
          <w:color w:val="auto"/>
        </w:rPr>
      </w:pPr>
    </w:p>
    <w:p>
      <w:pPr>
        <w:ind w:right="380" w:firstLine="8"/>
        <w:spacing w:after="0" w:line="229" w:lineRule="auto"/>
        <w:tabs>
          <w:tab w:leader="none" w:pos="103" w:val="left"/>
        </w:tabs>
        <w:numPr>
          <w:ilvl w:val="0"/>
          <w:numId w:val="1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this Policy, “controlled entities” means any entities that an employee or his or her family member manages or controls, including any corporations, partnerships or trusts.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822" w:right="339" w:bottom="1440" w:gutter="0" w:footer="0" w:header="0"/>
        </w:sectPr>
      </w:pPr>
    </w:p>
    <w:bookmarkStart w:id="154" w:name="page155"/>
    <w:bookmarkEnd w:id="154"/>
    <w:p>
      <w:pPr>
        <w:spacing w:after="0" w:line="171" w:lineRule="exact"/>
        <w:rPr>
          <w:sz w:val="20"/>
          <w:szCs w:val="20"/>
          <w:color w:val="auto"/>
        </w:rPr>
      </w:pPr>
    </w:p>
    <w:p>
      <w:pPr>
        <w:ind w:right="60"/>
        <w:spacing w:after="0" w:line="322" w:lineRule="auto"/>
        <w:rPr>
          <w:sz w:val="20"/>
          <w:szCs w:val="20"/>
          <w:color w:val="auto"/>
        </w:rPr>
      </w:pPr>
      <w:r>
        <w:rPr>
          <w:rFonts w:ascii="Times New Roman" w:cs="Times New Roman" w:eastAsia="Times New Roman" w:hAnsi="Times New Roman"/>
          <w:sz w:val="22"/>
          <w:szCs w:val="22"/>
          <w:color w:val="auto"/>
        </w:rPr>
        <w:t>In addition, certain Covered Persons subject to this Policy are subject to blackout periods and/or have additional requirements to pre-clear trades involving Company securities as described in Section 5.0.</w:t>
      </w:r>
    </w:p>
    <w:p>
      <w:pPr>
        <w:spacing w:after="0" w:line="172" w:lineRule="exact"/>
        <w:rPr>
          <w:sz w:val="20"/>
          <w:szCs w:val="20"/>
          <w:color w:val="auto"/>
        </w:rPr>
      </w:pPr>
    </w:p>
    <w:p>
      <w:pPr>
        <w:ind w:right="100"/>
        <w:spacing w:after="0" w:line="309" w:lineRule="auto"/>
        <w:rPr>
          <w:sz w:val="20"/>
          <w:szCs w:val="20"/>
          <w:color w:val="auto"/>
        </w:rPr>
      </w:pPr>
      <w:r>
        <w:rPr>
          <w:rFonts w:ascii="Times New Roman" w:cs="Times New Roman" w:eastAsia="Times New Roman" w:hAnsi="Times New Roman"/>
          <w:sz w:val="22"/>
          <w:szCs w:val="22"/>
          <w:color w:val="auto"/>
        </w:rPr>
        <w:t>In all instances, no Covered Person may trade, directly or indirectly, in Company securities while he or she is aware of material, nonpublic information about the Company or its securities, even if a Company is not in a blackout period.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3.0 Principles and Definitions</w:t>
      </w:r>
    </w:p>
    <w:p>
      <w:pPr>
        <w:spacing w:after="0" w:line="14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2"/>
          <w:szCs w:val="22"/>
          <w:color w:val="auto"/>
        </w:rPr>
        <w:t>The Company strictly prohibits insider trading. Insider trading is against the law, can lead to serious penalties, and can harm the Company’s reputation. As a result, we strictly prohibit using material, non-public information to buy or sell securities of our Company or sharing that information with others. We also strictly prohibit the buying or selling of securities of another company if an employee learns material, non-public information about that other company through such employee’s work at the Company. “Another company” could include the Company’s suppliers, contractors, customers, business partners, companies in which the Company has an investment, or other similar third parties with whom the Company does business.</w:t>
      </w:r>
    </w:p>
    <w:p>
      <w:pPr>
        <w:spacing w:after="0" w:line="197" w:lineRule="exact"/>
        <w:rPr>
          <w:sz w:val="20"/>
          <w:szCs w:val="20"/>
          <w:color w:val="auto"/>
        </w:rPr>
      </w:pPr>
    </w:p>
    <w:p>
      <w:pPr>
        <w:ind w:right="140"/>
        <w:spacing w:after="0" w:line="308" w:lineRule="auto"/>
        <w:rPr>
          <w:sz w:val="20"/>
          <w:szCs w:val="20"/>
          <w:color w:val="auto"/>
        </w:rPr>
      </w:pPr>
      <w:r>
        <w:rPr>
          <w:rFonts w:ascii="Times New Roman" w:cs="Times New Roman" w:eastAsia="Times New Roman" w:hAnsi="Times New Roman"/>
          <w:sz w:val="21"/>
          <w:szCs w:val="21"/>
          <w:color w:val="auto"/>
        </w:rPr>
        <w:t>For purposes of this Policy, “securities” are broadly defined to include stock, put and call options, other derivatives, debt securities (such as bonds and notes), stock issued under Company-sponsored stock purchase plans, and any other similar equity or debt or instruments of the Company or of another company. As such, all forms of hedging or monetization transactions and other complex transactions that involve securities should be considered trades in securities for purposes of this Policy.</w:t>
      </w:r>
    </w:p>
    <w:p>
      <w:pPr>
        <w:spacing w:after="0" w:line="178" w:lineRule="exact"/>
        <w:rPr>
          <w:sz w:val="20"/>
          <w:szCs w:val="20"/>
          <w:color w:val="auto"/>
        </w:rPr>
      </w:pPr>
    </w:p>
    <w:p>
      <w:pPr>
        <w:jc w:val="both"/>
        <w:ind w:right="120"/>
        <w:spacing w:after="0" w:line="295" w:lineRule="auto"/>
        <w:rPr>
          <w:sz w:val="20"/>
          <w:szCs w:val="20"/>
          <w:color w:val="auto"/>
        </w:rPr>
      </w:pPr>
      <w:r>
        <w:rPr>
          <w:rFonts w:ascii="Times New Roman" w:cs="Times New Roman" w:eastAsia="Times New Roman" w:hAnsi="Times New Roman"/>
          <w:sz w:val="22"/>
          <w:szCs w:val="22"/>
          <w:color w:val="auto"/>
        </w:rPr>
        <w:t>Information is “material” if there is a substantial likelihood that a reasonable investor would consider the information important in deciding whether to buy, sell, or hold a security. Some examples of information that could potentially be considered material, depending on the actual context and the company in question, include:</w:t>
      </w:r>
    </w:p>
    <w:p>
      <w:pPr>
        <w:spacing w:after="0" w:line="174" w:lineRule="exact"/>
        <w:rPr>
          <w:sz w:val="20"/>
          <w:szCs w:val="20"/>
          <w:color w:val="auto"/>
        </w:rPr>
      </w:pPr>
    </w:p>
    <w:p>
      <w:pPr>
        <w:ind w:left="660" w:hanging="328"/>
        <w:spacing w:after="0"/>
        <w:tabs>
          <w:tab w:leader="none" w:pos="6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revenue or similar financial information;</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near-term financial forecasts;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financial developments (including new dividend or share repurchase actions);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acquisitions or divestitures;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product, technology, or strategy developments;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commercial contracts;</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 or loss of a significant customer or supplier;</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withdrawal of audit opinions;</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60"/>
          </w:cols>
          <w:pgMar w:left="320" w:top="1440" w:right="419" w:bottom="1440" w:gutter="0" w:footer="0" w:header="0"/>
        </w:sectPr>
      </w:pPr>
    </w:p>
    <w:bookmarkStart w:id="155" w:name="page156"/>
    <w:bookmarkEnd w:id="155"/>
    <w:p>
      <w:pPr>
        <w:spacing w:after="0" w:line="171" w:lineRule="exact"/>
        <w:rPr>
          <w:sz w:val="20"/>
          <w:szCs w:val="20"/>
          <w:color w:val="auto"/>
        </w:rPr>
      </w:pPr>
    </w:p>
    <w:p>
      <w:pPr>
        <w:ind w:left="660" w:hanging="328"/>
        <w:spacing w:after="0"/>
        <w:tabs>
          <w:tab w:leader="none" w:pos="6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or liquidity concerns or developments;</w:t>
      </w:r>
    </w:p>
    <w:p>
      <w:pPr>
        <w:spacing w:after="0" w:line="57" w:lineRule="exact"/>
        <w:rPr>
          <w:rFonts w:ascii="Times New Roman" w:cs="Times New Roman" w:eastAsia="Times New Roman" w:hAnsi="Times New Roman"/>
          <w:sz w:val="22"/>
          <w:szCs w:val="22"/>
          <w:color w:val="auto"/>
        </w:rPr>
      </w:pPr>
    </w:p>
    <w:p>
      <w:pPr>
        <w:ind w:left="660" w:right="300" w:hanging="328"/>
        <w:spacing w:after="0" w:line="281" w:lineRule="auto"/>
        <w:tabs>
          <w:tab w:leader="none" w:pos="65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incidents that significantly compromise operations or expose or lose a significant amount of customer or other sensitive information;</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labor negotiations; and</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institution of, or developments in, major litigation, investigations, or regulatory actions or proceedings.</w:t>
      </w:r>
    </w:p>
    <w:p>
      <w:pPr>
        <w:spacing w:after="0" w:line="301"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2"/>
          <w:szCs w:val="22"/>
          <w:color w:val="auto"/>
        </w:rPr>
        <w:t>Information is “nonpublic” if it has not yet been widely disseminated publicly, such as through press releases, including quarterly earnings releases, filings with the U.S. Securities and Exchange Commission, shareholder conferences where executives speak that are open to the public and pre-announced, and widely-available news reports based on information provided by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 Types of Transactions Covered by the Policy and Outside the Policy</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Trading restrictions (including, if applicable, blackout periods and pre-clearance procedures) under this Policy involving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securities extend to:</w:t>
      </w:r>
    </w:p>
    <w:p>
      <w:pPr>
        <w:spacing w:after="0" w:line="260" w:lineRule="exact"/>
        <w:rPr>
          <w:sz w:val="20"/>
          <w:szCs w:val="20"/>
          <w:color w:val="auto"/>
        </w:rPr>
      </w:pPr>
    </w:p>
    <w:p>
      <w:pPr>
        <w:ind w:left="1300" w:hanging="320"/>
        <w:spacing w:after="0"/>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buying or selling Company securities (including pursuant to “sell-to-cover” transactions);</w:t>
      </w:r>
    </w:p>
    <w:p>
      <w:pPr>
        <w:spacing w:after="0" w:line="44"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gifting Company securities;</w:t>
      </w:r>
    </w:p>
    <w:p>
      <w:pPr>
        <w:spacing w:after="0" w:line="57" w:lineRule="exact"/>
        <w:rPr>
          <w:rFonts w:ascii="Times New Roman" w:cs="Times New Roman" w:eastAsia="Times New Roman" w:hAnsi="Times New Roman"/>
          <w:sz w:val="22"/>
          <w:szCs w:val="22"/>
          <w:color w:val="auto"/>
        </w:rPr>
      </w:pPr>
    </w:p>
    <w:p>
      <w:pPr>
        <w:ind w:left="1300" w:right="20" w:hanging="320"/>
        <w:spacing w:after="0" w:line="281" w:lineRule="auto"/>
        <w:tabs>
          <w:tab w:leader="none" w:pos="1295"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exercising stock options (except for the limited exception for expiring options provided below and for options that automatically exercise upon expiration), regardless of whether there is a sale on the market;</w:t>
      </w:r>
    </w:p>
    <w:p>
      <w:pPr>
        <w:spacing w:after="0" w:line="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stock acquired through an employee stock purchase plan or sharesave plan;</w:t>
      </w:r>
    </w:p>
    <w:p>
      <w:pPr>
        <w:spacing w:after="0" w:line="44"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initiating or terminating elections to reinvest cash dividends in Company stock;</w:t>
      </w:r>
    </w:p>
    <w:p>
      <w:pPr>
        <w:spacing w:after="0" w:line="57" w:lineRule="exact"/>
        <w:rPr>
          <w:rFonts w:ascii="Times New Roman" w:cs="Times New Roman" w:eastAsia="Times New Roman" w:hAnsi="Times New Roman"/>
          <w:sz w:val="22"/>
          <w:szCs w:val="22"/>
          <w:color w:val="auto"/>
        </w:rPr>
      </w:pPr>
    </w:p>
    <w:p>
      <w:pPr>
        <w:ind w:left="1300" w:hanging="320"/>
        <w:spacing w:after="0" w:line="281" w:lineRule="auto"/>
        <w:tabs>
          <w:tab w:leader="none" w:pos="1295"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election to participate in the plan, changes to an election to participate in the plan for any enrollment period, and to sales of Company securities purchased pursuant to the plan;</w:t>
      </w:r>
    </w:p>
    <w:p>
      <w:pPr>
        <w:spacing w:after="0" w:line="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contributing securities to a family trust or other estate planning transactions; and</w:t>
      </w:r>
    </w:p>
    <w:p>
      <w:pPr>
        <w:spacing w:after="0" w:line="44"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any other transfer not expressly permitted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Policy does not apply to the following types of transactions:</w:t>
      </w:r>
    </w:p>
    <w:p>
      <w:pPr>
        <w:spacing w:after="0" w:line="274" w:lineRule="exact"/>
        <w:rPr>
          <w:sz w:val="20"/>
          <w:szCs w:val="20"/>
          <w:color w:val="auto"/>
        </w:rPr>
      </w:pPr>
    </w:p>
    <w:p>
      <w:pPr>
        <w:ind w:left="1300" w:right="480" w:hanging="320"/>
        <w:spacing w:after="0" w:line="309" w:lineRule="auto"/>
        <w:tabs>
          <w:tab w:leader="none" w:pos="1295"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or settlement of restricted stock or restricted stock units, or the exercise of a tax withholding right (without a corresponding sale on the market);</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40" w:right="379" w:bottom="1440" w:gutter="0" w:footer="0" w:header="0"/>
        </w:sectPr>
      </w:pPr>
    </w:p>
    <w:bookmarkStart w:id="156" w:name="page157"/>
    <w:bookmarkEnd w:id="156"/>
    <w:p>
      <w:pPr>
        <w:spacing w:after="0" w:line="171" w:lineRule="exact"/>
        <w:rPr>
          <w:sz w:val="20"/>
          <w:szCs w:val="20"/>
          <w:color w:val="auto"/>
        </w:rPr>
      </w:pPr>
    </w:p>
    <w:p>
      <w:pPr>
        <w:ind w:left="1300" w:right="540" w:hanging="320"/>
        <w:spacing w:after="0" w:line="301" w:lineRule="auto"/>
        <w:tabs>
          <w:tab w:leader="none" w:pos="129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purchases of Company securities in the employee stock purchase plan resulting from a periodic or lump sum contribution of money to the plan pursuant to the election made at the time of your enrollment in the plan;</w:t>
      </w:r>
    </w:p>
    <w:p>
      <w:pPr>
        <w:spacing w:after="0" w:line="1" w:lineRule="exact"/>
        <w:rPr>
          <w:rFonts w:ascii="Times New Roman" w:cs="Times New Roman" w:eastAsia="Times New Roman" w:hAnsi="Times New Roman"/>
          <w:sz w:val="21"/>
          <w:szCs w:val="21"/>
          <w:color w:val="auto"/>
        </w:rPr>
      </w:pPr>
    </w:p>
    <w:p>
      <w:pPr>
        <w:ind w:left="1300" w:right="80" w:hanging="320"/>
        <w:spacing w:after="0" w:line="281" w:lineRule="auto"/>
        <w:tabs>
          <w:tab w:leader="none" w:pos="129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mutual funds that are invested in Company securities where Company securities do not represent a substantial portion of the fund are not transactions subject to this Policy;</w:t>
      </w:r>
    </w:p>
    <w:p>
      <w:pPr>
        <w:spacing w:after="0" w:line="1" w:lineRule="exact"/>
        <w:rPr>
          <w:rFonts w:ascii="Times New Roman" w:cs="Times New Roman" w:eastAsia="Times New Roman" w:hAnsi="Times New Roman"/>
          <w:sz w:val="22"/>
          <w:szCs w:val="22"/>
          <w:color w:val="auto"/>
        </w:rPr>
      </w:pPr>
    </w:p>
    <w:p>
      <w:pPr>
        <w:ind w:left="1300" w:right="180" w:hanging="320"/>
        <w:spacing w:after="0" w:line="288" w:lineRule="auto"/>
        <w:tabs>
          <w:tab w:leader="none" w:pos="129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to reinvest cash dividends in Company stock pursuant to an existing Company dividend reinvestment plan; or</w:t>
      </w:r>
    </w:p>
    <w:p>
      <w:pPr>
        <w:jc w:val="both"/>
        <w:ind w:left="1300" w:right="620" w:hanging="320"/>
        <w:spacing w:after="0" w:line="315" w:lineRule="auto"/>
        <w:tabs>
          <w:tab w:leader="none" w:pos="129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exercising a stock option that is scheduled to expire during a blackout period, provided that the Company’s General Counsel or his or her designee first grants the Covered Person permission to do so and the Covered Person does not sell any Company securities acquired upon exercising such stock option.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4.0 Requirements and Procedures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4.1 Insider Trading Prohibition</w:t>
      </w:r>
    </w:p>
    <w:p>
      <w:pPr>
        <w:spacing w:after="0" w:line="264" w:lineRule="exact"/>
        <w:rPr>
          <w:sz w:val="20"/>
          <w:szCs w:val="20"/>
          <w:color w:val="auto"/>
        </w:rPr>
      </w:pPr>
    </w:p>
    <w:p>
      <w:pPr>
        <w:ind w:right="80"/>
        <w:spacing w:after="0" w:line="322" w:lineRule="auto"/>
        <w:rPr>
          <w:sz w:val="20"/>
          <w:szCs w:val="20"/>
          <w:color w:val="auto"/>
        </w:rPr>
      </w:pPr>
      <w:r>
        <w:rPr>
          <w:rFonts w:ascii="Times New Roman" w:cs="Times New Roman" w:eastAsia="Times New Roman" w:hAnsi="Times New Roman"/>
          <w:sz w:val="22"/>
          <w:szCs w:val="22"/>
          <w:color w:val="auto"/>
        </w:rPr>
        <w:t>Covered Persons are prohibited from buying, selling, or otherwise trading, directly or indirectly through another person or entity, the following:</w:t>
      </w:r>
    </w:p>
    <w:p>
      <w:pPr>
        <w:spacing w:after="0" w:line="37" w:lineRule="exact"/>
        <w:rPr>
          <w:sz w:val="20"/>
          <w:szCs w:val="20"/>
          <w:color w:val="auto"/>
        </w:rPr>
      </w:pPr>
    </w:p>
    <w:p>
      <w:pPr>
        <w:ind w:left="660" w:right="60" w:hanging="328"/>
        <w:spacing w:after="0" w:line="281" w:lineRule="auto"/>
        <w:tabs>
          <w:tab w:leader="none" w:pos="65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security of the Company based on material, nonpublic information about the Company or Company securities that they learned in the course of their work; or</w:t>
      </w:r>
    </w:p>
    <w:p>
      <w:pPr>
        <w:spacing w:after="0" w:line="1" w:lineRule="exact"/>
        <w:rPr>
          <w:rFonts w:ascii="Times New Roman" w:cs="Times New Roman" w:eastAsia="Times New Roman" w:hAnsi="Times New Roman"/>
          <w:sz w:val="22"/>
          <w:szCs w:val="22"/>
          <w:color w:val="auto"/>
        </w:rPr>
      </w:pPr>
    </w:p>
    <w:p>
      <w:pPr>
        <w:ind w:left="660" w:right="280" w:hanging="328"/>
        <w:spacing w:after="0" w:line="309" w:lineRule="auto"/>
        <w:tabs>
          <w:tab w:leader="none" w:pos="65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security of another company, if the Covered Person learns material, nonpublic information about that other company through such Covered Person’s work at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4.2 Illegal Stock Tipping Prohibition</w:t>
      </w:r>
    </w:p>
    <w:p>
      <w:pPr>
        <w:spacing w:after="0" w:line="26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2"/>
          <w:szCs w:val="22"/>
          <w:color w:val="auto"/>
        </w:rPr>
        <w:t>Covered Persons also are prohibited from illegal stock “tipping”, which is recommending or suggesting that anyone else buy, sell, or otherwise trade a security of the Company or another company, as discussed in Section 4.1 above, based on material, nonpublic information described above in Section 4.1.</w:t>
      </w:r>
    </w:p>
    <w:p>
      <w:pPr>
        <w:spacing w:after="0" w:line="188"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22"/>
          <w:szCs w:val="22"/>
          <w:color w:val="auto"/>
        </w:rPr>
        <w:t>Both the tipper (the person providing the information) and the tippee (the person who receives the information) violate insider trading laws if the tippee then trades in that security based on the material, nonpublic information provided by the tipper, even if the tipper did not trade in the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4.3 Other Related Requirements</w:t>
      </w:r>
    </w:p>
    <w:p>
      <w:pPr>
        <w:spacing w:after="0" w:line="278" w:lineRule="exact"/>
        <w:rPr>
          <w:sz w:val="20"/>
          <w:szCs w:val="20"/>
          <w:color w:val="auto"/>
        </w:rPr>
      </w:pPr>
    </w:p>
    <w:p>
      <w:pPr>
        <w:ind w:right="560"/>
        <w:spacing w:after="0" w:line="291" w:lineRule="auto"/>
        <w:rPr>
          <w:sz w:val="20"/>
          <w:szCs w:val="20"/>
          <w:color w:val="auto"/>
        </w:rPr>
      </w:pPr>
      <w:r>
        <w:rPr>
          <w:rFonts w:ascii="Times New Roman" w:cs="Times New Roman" w:eastAsia="Times New Roman" w:hAnsi="Times New Roman"/>
          <w:sz w:val="22"/>
          <w:szCs w:val="22"/>
          <w:color w:val="auto"/>
        </w:rPr>
        <w:t>In addition, under the Company’s Guidelines for Public Disclosures and Communicating with the Investment Community, Covered Personnel may not disclose material, nonpublic information about the Company to analysts, shareholders, or other securities market professionals, when the Company has not publicly disclosed such material, nonpublic information simultaneously, without authorized approval.</w:t>
      </w:r>
    </w:p>
    <w:p>
      <w:pPr>
        <w:spacing w:after="0" w:line="191"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2"/>
          <w:szCs w:val="22"/>
          <w:color w:val="auto"/>
        </w:rPr>
        <w:t>Consistent with the Safeguard Proprietary and Confidential Information section of the Code of Conduct, Covered Personnel must protect confidential information, including material information, that they learn in the course of their work – regarding the Company or another company – and guard against its unauthorized use or dissemination.</w:t>
      </w:r>
    </w:p>
    <w:p>
      <w:pPr>
        <w:spacing w:after="0" w:line="174" w:lineRule="exact"/>
        <w:rPr>
          <w:sz w:val="20"/>
          <w:szCs w:val="20"/>
          <w:color w:val="auto"/>
        </w:rPr>
      </w:pPr>
    </w:p>
    <w:p>
      <w:pPr>
        <w:ind w:right="560"/>
        <w:spacing w:after="0" w:line="309" w:lineRule="auto"/>
        <w:rPr>
          <w:sz w:val="20"/>
          <w:szCs w:val="20"/>
          <w:color w:val="auto"/>
        </w:rPr>
      </w:pPr>
      <w:r>
        <w:rPr>
          <w:rFonts w:ascii="Times New Roman" w:cs="Times New Roman" w:eastAsia="Times New Roman" w:hAnsi="Times New Roman"/>
          <w:sz w:val="22"/>
          <w:szCs w:val="22"/>
          <w:color w:val="auto"/>
        </w:rPr>
        <w:t>All Covered Personnel are responsible for adhering to this Policy and any other policies and procedures applicable to them, including any policies and procedures applicable to the Company’s news organizations.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4.4 Company Transactions</w:t>
      </w:r>
    </w:p>
    <w:p>
      <w:pPr>
        <w:spacing w:after="0" w:line="143"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22"/>
          <w:szCs w:val="22"/>
          <w:color w:val="auto"/>
        </w:rPr>
        <w:t>From time to time, the Company may engage in transactions in Company securities. It is the Company’s policy to comply with all applicable securities and state laws (including appropriate approvals by the Board of Directors or appropriate committee, if required) when engaging in transactions in Company securities (and/or with the terms of the Company’s equity plans when engaging in transactions under such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5.0 Special and Prohibited Transactions</w:t>
      </w:r>
    </w:p>
    <w:p>
      <w:pPr>
        <w:spacing w:after="0" w:line="143"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It therefore is the Company’s policy that all Covered Persons may not engage in any of the following transactions, or should otherwise consider the Company’s preferences as described below:</w:t>
      </w:r>
    </w:p>
    <w:p>
      <w:pPr>
        <w:spacing w:after="0" w:line="17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2"/>
          <w:szCs w:val="22"/>
          <w:i w:val="1"/>
          <w:iCs w:val="1"/>
          <w:color w:val="auto"/>
        </w:rPr>
        <w:t>Short Sales</w:t>
      </w:r>
      <w:r>
        <w:rPr>
          <w:rFonts w:ascii="Times New Roman" w:cs="Times New Roman" w:eastAsia="Times New Roman" w:hAnsi="Times New Roman"/>
          <w:sz w:val="22"/>
          <w:szCs w:val="22"/>
          <w:color w:val="auto"/>
        </w:rPr>
        <w:t>: Short sales of Company securities (i.e., the sale of a security that the seller does not own) may evidence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Securities and Exchange Act of 1934, as amended, prohibits officers and directors from engaging in short sales. (Short sales arising from certain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types of hedging transactions are governed by the paragraph below captioned “Hedging Transactions.”)</w:t>
      </w:r>
    </w:p>
    <w:p>
      <w:pPr>
        <w:spacing w:after="0" w:line="27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2"/>
          <w:szCs w:val="22"/>
          <w:i w:val="1"/>
          <w:iCs w:val="1"/>
          <w:color w:val="auto"/>
        </w:rPr>
        <w:t>Publicly-Traded Options</w:t>
      </w:r>
      <w:r>
        <w:rPr>
          <w:rFonts w:ascii="Times New Roman" w:cs="Times New Roman" w:eastAsia="Times New Roman" w:hAnsi="Times New Roman"/>
          <w:sz w:val="22"/>
          <w:szCs w:val="22"/>
          <w:color w:val="auto"/>
        </w:rPr>
        <w:t>: Given the relatively short term of publicly-traded options, transactions in options may create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appearance that a director, officer or employee is trading based on material nonpublic information and focus a director’s, officer’s or other employee’s attention on short-term performance at the expense of the Company’s long-term objectives. Accordingly, transactions by Covered Persons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177"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22"/>
          <w:szCs w:val="22"/>
          <w:i w:val="1"/>
          <w:iCs w:val="1"/>
          <w:color w:val="auto"/>
        </w:rPr>
        <w:t>Hedging Transactions</w:t>
      </w:r>
      <w:r>
        <w:rPr>
          <w:rFonts w:ascii="Times New Roman" w:cs="Times New Roman" w:eastAsia="Times New Roman" w:hAnsi="Times New Roman"/>
          <w:sz w:val="22"/>
          <w:szCs w:val="22"/>
          <w:color w:val="auto"/>
        </w:rPr>
        <w:t>: Hedging or monetization transactions can be accomplished through a number of possible mechanisms,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the Company prohibits Covered Persons from engaging in such transactions.</w:t>
      </w:r>
    </w:p>
    <w:p>
      <w:pPr>
        <w:spacing w:after="0" w:line="177" w:lineRule="exact"/>
        <w:rPr>
          <w:sz w:val="20"/>
          <w:szCs w:val="20"/>
          <w:color w:val="auto"/>
        </w:rPr>
      </w:pPr>
    </w:p>
    <w:p>
      <w:pPr>
        <w:ind w:right="120"/>
        <w:spacing w:after="0" w:line="309" w:lineRule="auto"/>
        <w:rPr>
          <w:sz w:val="20"/>
          <w:szCs w:val="20"/>
          <w:color w:val="auto"/>
        </w:rPr>
      </w:pPr>
      <w:r>
        <w:rPr>
          <w:rFonts w:ascii="Times New Roman" w:cs="Times New Roman" w:eastAsia="Times New Roman" w:hAnsi="Times New Roman"/>
          <w:sz w:val="21"/>
          <w:szCs w:val="21"/>
          <w:i w:val="1"/>
          <w:iCs w:val="1"/>
          <w:color w:val="auto"/>
        </w:rPr>
        <w:t>Margin Accounts and Pledged Securities</w:t>
      </w:r>
      <w:r>
        <w:rPr>
          <w:rFonts w:ascii="Times New Roman" w:cs="Times New Roman" w:eastAsia="Times New Roman" w:hAnsi="Times New Roman"/>
          <w:sz w:val="21"/>
          <w:szCs w:val="21"/>
          <w:color w:val="auto"/>
        </w:rPr>
        <w:t>: Securities held in a margin account as collateral for a margin loan may be sold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pledger is aware of material nonpublic information or otherwise is not permitted to trade in Company securities, Covered Persons are prohibited from purchasing the Company securities on margin, or borrowing against any account in which the Company securities are held or otherwise pledging Company securities as collateral for a loan.</w:t>
      </w:r>
    </w:p>
    <w:p>
      <w:pPr>
        <w:spacing w:after="0" w:line="16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22"/>
          <w:szCs w:val="22"/>
          <w:i w:val="1"/>
          <w:iCs w:val="1"/>
          <w:u w:val="single" w:color="auto"/>
          <w:color w:val="auto"/>
        </w:rPr>
        <w:t>Standing and Limit Orders</w:t>
      </w:r>
      <w:r>
        <w:rPr>
          <w:rFonts w:ascii="Times New Roman" w:cs="Times New Roman" w:eastAsia="Times New Roman" w:hAnsi="Times New Roman"/>
          <w:sz w:val="22"/>
          <w:szCs w:val="22"/>
          <w:color w:val="auto"/>
        </w:rPr>
        <w:t>: Standing and limit orders (except standing and limit orders under approved Rule 10b5-1 Trading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aware of material nonpublic information. The Company therefore prohibits Pre-Clearance Persons (as defined below) from placing standing or limit orders on Company securities (and discourages other Covered Persons from placing standing or limit orders and, if applicable, any limit order must be completed or cancelled before the start of any applicable blackout period, as described in Section 6.0 below).</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6.0 Blackout Periods</w:t>
      </w:r>
    </w:p>
    <w:p>
      <w:pPr>
        <w:spacing w:after="0" w:line="139"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21"/>
          <w:szCs w:val="21"/>
          <w:i w:val="1"/>
          <w:iCs w:val="1"/>
          <w:color w:val="auto"/>
        </w:rPr>
        <w:t xml:space="preserve">Quarterly Blackout Periods. </w:t>
      </w:r>
      <w:r>
        <w:rPr>
          <w:rFonts w:ascii="Times New Roman" w:cs="Times New Roman" w:eastAsia="Times New Roman" w:hAnsi="Times New Roman"/>
          <w:sz w:val="21"/>
          <w:szCs w:val="21"/>
          <w:color w:val="auto"/>
        </w:rPr>
        <w:t>Our announcement of quarterly financial results almost always has the potential to have a material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effect on the market for our securities. Therefore, to avoid even the appearance of trading while aware of material, nonpublic information about the Company or Company securities, our directors, executive officers and other employees designated by the Company’s General Counsel or his or her designee (“Blackout Persons”) may not engage in any transaction involving Company securities as described below during a quarterly blackout period. Each quarterly blackout period begins at end of day on the date that is two weeks prior to the end of each fiscal quarter and ends at the open of the second trading day following one full trading day after the issuance of our quarterly earnings release. The Company’s General Counsel or his or her designee(s) will send persons subject to quarterly blackout periods an email reminder before the start of each blackout period.</w:t>
      </w:r>
    </w:p>
    <w:p>
      <w:pPr>
        <w:spacing w:after="0" w:line="16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2"/>
          <w:szCs w:val="22"/>
          <w:i w:val="1"/>
          <w:iCs w:val="1"/>
          <w:color w:val="auto"/>
        </w:rPr>
        <w:t>Event-Specific Blackout Periods</w:t>
      </w:r>
      <w:r>
        <w:rPr>
          <w:rFonts w:ascii="Times New Roman" w:cs="Times New Roman" w:eastAsia="Times New Roman" w:hAnsi="Times New Roman"/>
          <w:sz w:val="22"/>
          <w:szCs w:val="22"/>
          <w:color w:val="auto"/>
        </w:rPr>
        <w:t>. From time to time, facts and circumstances may arise that are potentially material to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or another company. In such an instance, the Company’s General Counsel or his or her designee may require that certain persons not trade in Company securities or another company’s securities while the potentially material information remains nonpublic. The existence of an event-specific blackout period will not be announced to anyone other than those who are subject to that blackout period. Any person made aware of the existence of an event-specific blackout period may not disclose its existence to any other person.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7.0 Pre-Clearance Procedures</w:t>
      </w:r>
    </w:p>
    <w:p>
      <w:pPr>
        <w:spacing w:after="0" w:line="143"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21"/>
          <w:szCs w:val="21"/>
          <w:color w:val="auto"/>
        </w:rPr>
        <w:t>In addition to being subject to our quarterly blackout periods, our directors, executive officers and certain senior level employees designated by the Company’s General Counsel or his or her designee as well as their family members and controlled entities (“Pre-Clearance Persons”) may not at any time (even if outside of a blackout period) engage in any transaction involving Company securities as described below without first obtaining pre-clearance of the transaction from the Company’s General Counsel or his or her designees. The Company’s General Counsel or his or her designees are under no obligation to approve a transaction submitted for pre-clearance or to disclose the reason for not approving it. A request for pre-clearance should be submitted to the Office of General Counsel at least two business days in advance of the proposed transaction (please contact the Office of General Counsel for a pre-clearance form). When a request for pre-clearance is made, the requestor should carefully consider whether he or she may be aware of any material nonpublic information about the Company or Company Securities, and should describe fully those circumstances in the request. If a person seeks pre-clearance and permission to engage in the transaction is granted, then such trade must be effected within five business days of receipt of pre-clearance (or a shorter period of time if specified), unless an exception is granted, but regardless of this the requesting person may not execute such</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80"/>
          </w:cols>
          <w:pgMar w:left="320" w:top="1440" w:right="399" w:bottom="1440" w:gutter="0" w:footer="0" w:header="0"/>
        </w:sectPr>
      </w:pPr>
    </w:p>
    <w:bookmarkStart w:id="160" w:name="page161"/>
    <w:bookmarkEnd w:id="160"/>
    <w:p>
      <w:pPr>
        <w:spacing w:after="0" w:line="17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22"/>
          <w:szCs w:val="22"/>
          <w:color w:val="auto"/>
        </w:rPr>
        <w:t>transaction if he or she becomes aware of material nonpublic information about the Company or its securities during that time. A person who has not effected a transaction within the time limit may not engage in such transaction without again obtaining pre-clearance of the transaction as described above.</w:t>
      </w:r>
    </w:p>
    <w:p>
      <w:pPr>
        <w:spacing w:after="0" w:line="179" w:lineRule="exact"/>
        <w:rPr>
          <w:sz w:val="20"/>
          <w:szCs w:val="20"/>
          <w:color w:val="auto"/>
        </w:rPr>
      </w:pPr>
    </w:p>
    <w:p>
      <w:pPr>
        <w:ind w:right="300"/>
        <w:spacing w:after="0" w:line="325" w:lineRule="auto"/>
        <w:rPr>
          <w:sz w:val="20"/>
          <w:szCs w:val="20"/>
          <w:color w:val="auto"/>
        </w:rPr>
      </w:pPr>
      <w:r>
        <w:rPr>
          <w:rFonts w:ascii="Times New Roman" w:cs="Times New Roman" w:eastAsia="Times New Roman" w:hAnsi="Times New Roman"/>
          <w:sz w:val="22"/>
          <w:szCs w:val="22"/>
          <w:color w:val="auto"/>
        </w:rPr>
        <w:t>Because express permission is at all times required for such Pre-Clearance Persons to trade, limit orders (in which a broker is instructed to buy or sell a specified number of shares in the future if and when the stock reaches a predetermined price) are prohibited, unless they are effected pursuant to a written trading plan entered into in accordance with our Rule 10b5-1 Trading Plan Policy. See “Rule 10b5-1 Trading Plans” below for more information.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8.0 Rule 10b5-1 Trading Plans</w:t>
      </w:r>
    </w:p>
    <w:p>
      <w:pPr>
        <w:spacing w:after="0" w:line="14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2"/>
          <w:szCs w:val="22"/>
          <w:color w:val="auto"/>
        </w:rPr>
        <w:t xml:space="preserve">Blackout Persons and Pre-Clearance Persons may consider entering into a written Rule 10b5-1 trading plan with respect to Company stock. All such persons who wish to enter into a Rule 10b5-1 trading plan must first pre-clear the plan with the Company’s General Counsel or his or her designee as required by our Rule 10b5-1 Trading Plan Policy and otherwise comply with the Rule 10b5-1 Trading Plan Policy. Trades in Company stock pursuant to a Rule 10b5-1 trading plan that is entered into in accordance with our Rule 10b5-1 Trading Plan Policy may be effected during a quarterly blackout period and without further pre-clearance. Our Rule 10b5-1 Trading Plan Policy is attached as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9.0 Consequences of Violations</w:t>
      </w:r>
    </w:p>
    <w:p>
      <w:pPr>
        <w:spacing w:after="0" w:line="143" w:lineRule="exact"/>
        <w:rPr>
          <w:sz w:val="20"/>
          <w:szCs w:val="20"/>
          <w:color w:val="auto"/>
        </w:rPr>
      </w:pPr>
    </w:p>
    <w:p>
      <w:pPr>
        <w:ind w:right="700"/>
        <w:spacing w:after="0" w:line="295" w:lineRule="auto"/>
        <w:rPr>
          <w:sz w:val="20"/>
          <w:szCs w:val="20"/>
          <w:color w:val="auto"/>
        </w:rPr>
      </w:pPr>
      <w:r>
        <w:rPr>
          <w:rFonts w:ascii="Times New Roman" w:cs="Times New Roman" w:eastAsia="Times New Roman" w:hAnsi="Times New Roman"/>
          <w:sz w:val="22"/>
          <w:szCs w:val="22"/>
          <w:color w:val="auto"/>
        </w:rPr>
        <w:t>Insider trading is against the law. Covered Personnel who violate the law (and anyone who illegally trades on information provided by an employee) may be subject to severe penalties, including imprisonment, disgorgement (forfeit) of profits, substantial fines, and monetary damages.</w:t>
      </w:r>
    </w:p>
    <w:p>
      <w:pPr>
        <w:spacing w:after="0" w:line="174" w:lineRule="exact"/>
        <w:rPr>
          <w:sz w:val="20"/>
          <w:szCs w:val="20"/>
          <w:color w:val="auto"/>
        </w:rPr>
      </w:pPr>
    </w:p>
    <w:p>
      <w:pPr>
        <w:ind w:right="660"/>
        <w:spacing w:after="0" w:line="335" w:lineRule="auto"/>
        <w:rPr>
          <w:sz w:val="20"/>
          <w:szCs w:val="20"/>
          <w:color w:val="auto"/>
        </w:rPr>
      </w:pPr>
      <w:r>
        <w:rPr>
          <w:rFonts w:ascii="Times New Roman" w:cs="Times New Roman" w:eastAsia="Times New Roman" w:hAnsi="Times New Roman"/>
          <w:sz w:val="21"/>
          <w:szCs w:val="21"/>
          <w:color w:val="auto"/>
        </w:rPr>
        <w:t>In addition, failure to comply with this Policy may result in disciplinary action, including but not limited to termination of employment, impact to compensation, or other appropriate action, regardless of a Covered Personnel’s title or tenure.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10.0 Post-Employment Transactions</w:t>
      </w:r>
    </w:p>
    <w:p>
      <w:pPr>
        <w:spacing w:after="0" w:line="264"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22"/>
          <w:szCs w:val="22"/>
          <w:color w:val="auto"/>
        </w:rPr>
        <w:t>Even after a Covered Personnel’s employment terminates, he or she may not trade in Company securities while aware of any material, nonpublic information about the Company or Company securities until such information is publicly disclosed or is no longer material.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11.0 Reporting Violations or Concerns</w:t>
      </w:r>
    </w:p>
    <w:p>
      <w:pPr>
        <w:spacing w:after="0" w:line="143"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22"/>
          <w:szCs w:val="22"/>
          <w:color w:val="auto"/>
        </w:rPr>
        <w:t>The Company expects you to report any suspected or actual violations of this Policy by contacting your supervisor, another local leader, or HR representative; Compliance or Legal; or the Versant Listens Helpline or Web Portal. For more information on the available reporting channels, visit the Company intranet or www.VersantListens.com.</w:t>
      </w:r>
    </w:p>
    <w:p>
      <w:pPr>
        <w:spacing w:after="0" w:line="166"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22"/>
          <w:szCs w:val="22"/>
          <w:color w:val="auto"/>
        </w:rPr>
        <w:t>Company policy prohibits retaliation against any member of Company Personnel who in good faith raises a concern or assists in the investigation of suspected illegal or unethical conduct, even if a reported concern is ultimately unsubstantiated.</w:t>
      </w:r>
    </w:p>
    <w:p>
      <w:pPr>
        <w:spacing w:after="0" w:line="159"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22"/>
          <w:szCs w:val="22"/>
          <w:color w:val="auto"/>
        </w:rPr>
        <w:t>Nothing in this Policy or any other Company policy limits a member of Company Personnel’s ability to communicate with or provide information to any governmental agency or commission, including the U.S. Securities and Exchange Commission or foreign equivalent, regarding possible legal violations without disclosure to the Company, as protected under applicable whistleblower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12.0 Points of Contact</w:t>
      </w:r>
    </w:p>
    <w:p>
      <w:pPr>
        <w:spacing w:after="0" w:line="143" w:lineRule="exact"/>
        <w:rPr>
          <w:sz w:val="20"/>
          <w:szCs w:val="20"/>
          <w:color w:val="auto"/>
        </w:rPr>
      </w:pPr>
    </w:p>
    <w:p>
      <w:pPr>
        <w:ind w:right="480"/>
        <w:spacing w:after="0" w:line="322" w:lineRule="auto"/>
        <w:rPr>
          <w:sz w:val="20"/>
          <w:szCs w:val="20"/>
          <w:color w:val="auto"/>
        </w:rPr>
      </w:pPr>
      <w:r>
        <w:rPr>
          <w:rFonts w:ascii="Times New Roman" w:cs="Times New Roman" w:eastAsia="Times New Roman" w:hAnsi="Times New Roman"/>
          <w:sz w:val="22"/>
          <w:szCs w:val="22"/>
          <w:color w:val="auto"/>
        </w:rPr>
        <w:t>For inquiries about this Policy or for general questions about insider trading compliance requirements, Company Personnel should contact the General Counsel or SVP, Chief Corporate Affairs Counsel.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40"/>
          </w:cols>
          <w:pgMar w:left="320" w:top="1440" w:right="439" w:bottom="1440" w:gutter="0" w:footer="0" w:header="0"/>
        </w:sectPr>
      </w:pPr>
    </w:p>
    <w:bookmarkStart w:id="162" w:name="page163"/>
    <w:bookmarkEnd w:id="162"/>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I</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Rule 10b5-1 Trading Plan Policy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91" w:lineRule="exact"/>
        <w:rPr>
          <w:sz w:val="20"/>
          <w:szCs w:val="20"/>
          <w:color w:val="auto"/>
        </w:rPr>
      </w:pPr>
    </w:p>
    <w:p>
      <w:pPr>
        <w:ind w:right="160"/>
        <w:spacing w:after="0" w:line="307" w:lineRule="auto"/>
        <w:rPr>
          <w:sz w:val="20"/>
          <w:szCs w:val="20"/>
          <w:color w:val="auto"/>
        </w:rPr>
      </w:pPr>
      <w:r>
        <w:rPr>
          <w:rFonts w:ascii="Times New Roman" w:cs="Times New Roman" w:eastAsia="Times New Roman" w:hAnsi="Times New Roman"/>
          <w:sz w:val="21"/>
          <w:szCs w:val="21"/>
          <w:color w:val="auto"/>
        </w:rPr>
        <w:t>U.S. federal securities laws and the Code of Conduct of the Company prohibit the purchase or sale of company securities on the basis of material nonpublic information about the securities of the company. As described below, Rule 10b5-1 under the U.S. Securities Exchange Act of 1934, as amended (the “Exchange Act”), may provide a “safe harbor” under which transactions in company securities will not be deemed in violation of this “insider trading” prohibition. The Company has adopted this Rule 10b5-1 Trading Plan Policy to set forth the terms and conditions under which it will permit employees and directors who are Blackout Persons and/or Pre-Clearance Persons (“Covered Persons”)</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 xml:space="preserve"> to enter into trading plans under Rule 10b5-1.</w:t>
      </w:r>
      <w:r>
        <w:rPr>
          <w:rFonts w:ascii="Times New Roman" w:cs="Times New Roman" w:eastAsia="Times New Roman" w:hAnsi="Times New Roman"/>
          <w:sz w:val="27"/>
          <w:szCs w:val="27"/>
          <w:color w:val="auto"/>
          <w:vertAlign w:val="superscript"/>
        </w:rPr>
        <w:t>4</w:t>
      </w:r>
    </w:p>
    <w:p>
      <w:pPr>
        <w:spacing w:after="0" w:line="9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2"/>
          <w:szCs w:val="22"/>
          <w:color w:val="auto"/>
        </w:rPr>
        <w:t>Under Rule 10b5-1, the U.S. Securities and Exchange Commission (“SEC”) provides a tool for managing the risk of insider trading by establishing an affirmative defense so that purchases and sales of securities which satisfy the objective and subjective conditions of the rule will not be deemed made “on the basis of” material nonpublic information. The tool can be a binding contract, an instruction to another person to purchase or sell securities or a written plan to purchase or sell securities, in each case that complies with all the applicable requirements of Rule 10b5-1. Any such binding contract, instruction or written plan, referred to in this policy as a “Trading Plan,” must also comply with the more restrictive provisions of this policy.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Types of Trading Plans Permitted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Trading Plan must:</w:t>
      </w:r>
    </w:p>
    <w:p>
      <w:pPr>
        <w:spacing w:after="0" w:line="287" w:lineRule="exact"/>
        <w:rPr>
          <w:sz w:val="20"/>
          <w:szCs w:val="20"/>
          <w:color w:val="auto"/>
        </w:rPr>
      </w:pPr>
    </w:p>
    <w:p>
      <w:pPr>
        <w:ind w:left="1300" w:hanging="644"/>
        <w:spacing w:after="0"/>
        <w:tabs>
          <w:tab w:leader="none" w:pos="130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the amount, price and date of purchases or 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6459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7" w:lineRule="exact"/>
        <w:rPr>
          <w:sz w:val="20"/>
          <w:szCs w:val="20"/>
          <w:color w:val="auto"/>
        </w:rPr>
      </w:pPr>
    </w:p>
    <w:p>
      <w:pPr>
        <w:ind w:right="320" w:firstLine="8"/>
        <w:spacing w:after="0" w:line="246" w:lineRule="auto"/>
        <w:tabs>
          <w:tab w:leader="none" w:pos="103" w:val="left"/>
        </w:tabs>
        <w:numPr>
          <w:ilvl w:val="0"/>
          <w:numId w:val="1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of the Company’s directors and executive officers are Covered Persons. The Company’s General Counsel or his or her designee determines which other employees are Covered Persons and communicates information regarding blackout periods to Covered Persons at least quarterly.</w:t>
      </w:r>
    </w:p>
    <w:p>
      <w:pPr>
        <w:spacing w:after="0" w:line="259" w:lineRule="exact"/>
        <w:rPr>
          <w:sz w:val="20"/>
          <w:szCs w:val="20"/>
          <w:color w:val="auto"/>
        </w:rPr>
      </w:pPr>
    </w:p>
    <w:p>
      <w:pPr>
        <w:jc w:val="both"/>
        <w:ind w:right="120" w:firstLine="8"/>
        <w:spacing w:after="0" w:line="246" w:lineRule="auto"/>
        <w:tabs>
          <w:tab w:leader="none" w:pos="103" w:val="left"/>
        </w:tabs>
        <w:numPr>
          <w:ilvl w:val="0"/>
          <w:numId w:val="1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 employee who is not a Blackout Person or Pre-Clearance Person may enter into a Rule 10b5-1 trading plan consistent with the requirements set forth in this policy without the Company’s pre-clearance. Such employee must (i) enter into, modify or terminate such trading plan only when not aware of any</w:t>
      </w:r>
    </w:p>
    <w:p>
      <w:pPr>
        <w:spacing w:after="0" w:line="16" w:lineRule="exact"/>
        <w:rPr>
          <w:rFonts w:ascii="Times New Roman" w:cs="Times New Roman" w:eastAsia="Times New Roman" w:hAnsi="Times New Roman"/>
          <w:sz w:val="23"/>
          <w:szCs w:val="23"/>
          <w:color w:val="auto"/>
          <w:vertAlign w:val="superscript"/>
        </w:rPr>
      </w:pPr>
    </w:p>
    <w:p>
      <w:pPr>
        <w:ind w:right="80"/>
        <w:spacing w:after="0" w:line="313"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material nonpublic information about the securities of the company and (ii) comply with all other requirements of this policy applicable to Non-Section 16 Insiders.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171" w:lineRule="exact"/>
        <w:rPr>
          <w:sz w:val="20"/>
          <w:szCs w:val="20"/>
          <w:color w:val="auto"/>
        </w:rPr>
      </w:pPr>
    </w:p>
    <w:p>
      <w:pPr>
        <w:ind w:left="1300" w:right="160" w:hanging="644"/>
        <w:spacing w:after="0" w:line="288" w:lineRule="auto"/>
        <w:tabs>
          <w:tab w:leader="none" w:pos="13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formula or other method for determining the amount, price and date of purchases or sales of securities, or</w:t>
      </w:r>
    </w:p>
    <w:p>
      <w:pPr>
        <w:ind w:left="1300" w:hanging="644"/>
        <w:spacing w:after="0"/>
        <w:tabs>
          <w:tab w:leader="none" w:pos="13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 any subsequent influence over how, when or whether to effect purchases or sales of securities.</w:t>
      </w:r>
    </w:p>
    <w:p>
      <w:pPr>
        <w:spacing w:after="0" w:line="287"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 Trading Plan may provide for the exercise of stock options, the sale of shares acquired from a stock option exercise, or the sale of restricted stock upon vesting.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Limitations on When a Covered Person May Enter into a Trading Plan</w:t>
      </w:r>
    </w:p>
    <w:p>
      <w:pPr>
        <w:spacing w:after="0" w:line="29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22"/>
          <w:szCs w:val="22"/>
          <w:color w:val="auto"/>
        </w:rPr>
        <w:t>A Covered Person may enter into a Trading Plan only during a “Permitted Time,” which is a time when the person can otherwise purchase or sell securities under the Blackout Period and Pre-Clearance Policy and the Insider Trading Policy (i.e., not during a quarterly blackout period, event-specific blackout period or otherwise when the person is aware of material nonpublic information about the Company or Company securities). A Covered Person must (i) enter into a Trading Plan in good faith and not as part of a plan or scheme to evade the insider trading laws or Company policy and (ii) act in good faith with respect to a Trading Plan throughout its duration.</w:t>
      </w:r>
    </w:p>
    <w:p>
      <w:pPr>
        <w:spacing w:after="0" w:line="21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22"/>
          <w:szCs w:val="22"/>
          <w:color w:val="auto"/>
        </w:rPr>
        <w:t>A Covered Person may not enter into more than two Trading Plans in any calendar year. In addition, if a Trading Plan is only for one trade (i.e., a single-trade plan), a Covered Person may not enter into another Trading Plan within a 12-month period following the adoption of such Trading Plan.</w:t>
      </w:r>
    </w:p>
    <w:p>
      <w:pPr>
        <w:spacing w:after="0" w:line="193"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22"/>
          <w:szCs w:val="22"/>
          <w:color w:val="auto"/>
        </w:rPr>
        <w:t>Rule 10b5-1 does not permit a person to enter into or alter a corresponding or hedging transaction or position with respect to the securities contained in a Trading Plan, and, subject to limited exceptions, a Covered Person may not enter into multiple overlapping trading plans, i.e., plans that are designed to set up pre-existing hedged trading programs.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Pre-Clearance of Trading Plans</w:t>
      </w:r>
    </w:p>
    <w:p>
      <w:pPr>
        <w:spacing w:after="0" w:line="29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22"/>
          <w:szCs w:val="22"/>
          <w:color w:val="auto"/>
        </w:rPr>
        <w:t>A Covered Person must obtain written pre-clearance from the Company’s General Counsel or his or her designee before entering into a Trading Plan. Upon request, the Company will (i) provide a Covered Person’s broker with a letter attaching a current copy of this Rule 10b5-1 Trading Plan Policy and (ii) acknowledge to a Covered Person’s broker that the Covered Person may then enter into a Trading Plan (i.e., it is then a Permitted Time). It is the Covered Person’s, and his or her broker’s, responsibility to assure that a Trading Plan complies with this Rule 10b5-1 Trading Plan Policy . The Company is not required to approve a Trading Plan, sign any Trading Plan</w:t>
      </w: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80"/>
          </w:cols>
          <w:pgMar w:left="320" w:top="1440" w:right="399" w:bottom="1440" w:gutter="0" w:footer="0" w:header="0"/>
        </w:sectPr>
      </w:pPr>
    </w:p>
    <w:bookmarkStart w:id="164" w:name="page165"/>
    <w:bookmarkEnd w:id="164"/>
    <w:p>
      <w:pPr>
        <w:spacing w:after="0" w:line="17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documents (other than for the purpose of the acknowledgement specified above) or provide any representations or indemnities to a Covered Person or his or her broker. The Company reserves the right, however, to pre-approve a Trading Plan. Pre-clearance by the Company’s General Counsel or his or her designee for a Covered Person to enter into a Trading Plan will not be deemed confirmation that the Trading Plan complies with this Rule 10b5-1 Trading Plan Policy. However, a Trading Plan with the Company’s stock plan administrator shall be deemed in compliance with this Rule 10b5-1 Trading Plan Policy.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Cooling-Off Periods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Section 16 Insiders</w:t>
      </w:r>
    </w:p>
    <w:p>
      <w:pPr>
        <w:spacing w:after="0" w:line="293"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21"/>
          <w:szCs w:val="21"/>
          <w:color w:val="auto"/>
        </w:rPr>
        <w:t>The first trade under a Trading Plan for Section 16 Insiders (consisting of directors and officers under Section 16) may not occur until the later of (i) 90 calendar days following the date on which the Trading Plan is entered into or modified or (ii) two business days following the filing of the Annual Report on Form 10-K (the “10-K”) or Quarterly Report on Form 10-Q (the “10-Q”) if a Trading Plan is entered into or modified during the quarterly period covered by the 10-K or 10-Q, not to exceed 120 days.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Non-Section 16 Insiders</w:t>
      </w:r>
    </w:p>
    <w:p>
      <w:pPr>
        <w:spacing w:after="0" w:line="293"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The first trade under a Trading Plan for employees other than Section 16 Insiders (“Non-Section 16 Insiders”) may not occur until on or after 30 calendar days following the date on which the Trading Plan is adopted or modified.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 on When a Covered Person May Modify or Terminate a Trading Plan</w:t>
      </w:r>
    </w:p>
    <w:p>
      <w:pPr>
        <w:spacing w:after="0" w:line="291"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22"/>
          <w:szCs w:val="22"/>
          <w:color w:val="auto"/>
        </w:rPr>
        <w:t>A Covered Person may modify or terminate a Trading Plan only (i) during a Permitted Time and (ii) with the prior written approval of both the Company’s General Counsel and Chief Financial Officer. The approving persons shall determine, in their sole judgment and at their sole discretion, whether the proposed modification or termination is appropriate under the circumstances.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Suspension</w:t>
      </w:r>
    </w:p>
    <w:p>
      <w:pPr>
        <w:spacing w:after="0" w:line="291" w:lineRule="exact"/>
        <w:rPr>
          <w:sz w:val="20"/>
          <w:szCs w:val="20"/>
          <w:color w:val="auto"/>
        </w:rPr>
      </w:pPr>
    </w:p>
    <w:p>
      <w:pPr>
        <w:ind w:right="120"/>
        <w:spacing w:after="0" w:line="309" w:lineRule="auto"/>
        <w:rPr>
          <w:sz w:val="20"/>
          <w:szCs w:val="20"/>
          <w:color w:val="auto"/>
        </w:rPr>
      </w:pPr>
      <w:r>
        <w:rPr>
          <w:rFonts w:ascii="Times New Roman" w:cs="Times New Roman" w:eastAsia="Times New Roman" w:hAnsi="Times New Roman"/>
          <w:sz w:val="22"/>
          <w:szCs w:val="22"/>
          <w:color w:val="auto"/>
        </w:rPr>
        <w:t>All Trading Plans must permit the Company to suspend purchases and sales of securities if the Company notifies the broker that such a suspension is required by law, regulation or court order,</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40" w:right="379" w:bottom="1440" w:gutter="0" w:footer="0" w:header="0"/>
        </w:sectPr>
      </w:pPr>
    </w:p>
    <w:bookmarkStart w:id="165" w:name="page166"/>
    <w:bookmarkEnd w:id="165"/>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policy is amended or if other events occur that would prohibit sales under such Trading Plan.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Public Disclosure</w:t>
      </w:r>
    </w:p>
    <w:p>
      <w:pPr>
        <w:spacing w:after="0" w:line="29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22"/>
          <w:szCs w:val="22"/>
          <w:color w:val="auto"/>
        </w:rPr>
        <w:t>The Company is required to publicly disclose in its periodic reports under the Exchange Act the adoption, modification or termination of Trading Plans by Section 16 Insiders, including the identity of the Section 16 Insider and a description of the material terms of a Trading Plan (e.g. date of adoption or termination, duration and the aggregate amount of securities to be sold or purchased under the Trading Plan). If applicable, the Company must also publicly disclose in its periodic reports any trading plans adopted or terminated by any Section 16 Insiders, whether or not adopted under Rule 10b5-1, along with a description of their material terms.</w:t>
      </w:r>
    </w:p>
    <w:p>
      <w:pPr>
        <w:spacing w:after="0" w:line="21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Adoption of a Trading Plan does not eliminate the need for filing with the SEC of Forms 4 or 144, if otherwise required. Persons who file Forms 4 must check a box indicating that a transaction was made pursuant to a Trading Plan. Forms 144 are valid only for 90 days and persons who file Forms 144 in connection with a Trading Plan must indicate on the Form 144 (in the applicable location) the date of the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20"/>
          </w:cols>
          <w:pgMar w:left="320" w:top="1440" w:right="45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Subsidiaries of Versant Media Group, Inc.</w:t>
      </w:r>
    </w:p>
    <w:p>
      <w:pPr>
        <w:sectPr>
          <w:pgSz w:w="11900" w:h="16838" w:orient="portrait"/>
          <w:cols w:equalWidth="0" w:num="1">
            <w:col w:w="10860"/>
          </w:cols>
          <w:pgMar w:left="700" w:top="120" w:right="339" w:bottom="1440" w:gutter="0" w:footer="0" w:header="0"/>
        </w:sect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Albatros Datenservice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Albatros Solutions (Pty)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Blackstream Media,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Blastr Productions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BRS Golf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News (Asia)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News (Europe) Partnership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(UK)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CNBC Advertising (Shanghai) Co., Ltd.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Media Productions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Productions of Louisiana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Publishing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World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Golf Solutions SAS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Entertainment Television,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Media Productions,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Networks Productions,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Exclamation Music,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EZLinks Golf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EZLinks Golf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Fandango at Home,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Fandango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Fandango Loyalty Solutions,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Fandango Marketing,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Fandango Media,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Fandango Merchandising,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TV Networks,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FTV Acquisition Co,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Golfcolorado.com,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GolfNow Enterprises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Golfnow,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Incuborn Solutions,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INDY Cinema Group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INDY Cinema Group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INDY Cinema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INDY Cinema Group Pty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LSS Football LLC</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England &amp; Wales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Louisiana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Columbia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Arizona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Carolina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ectPr>
          <w:pgSz w:w="11900" w:h="16838" w:orient="portrait"/>
          <w:cols w:equalWidth="0" w:num="2">
            <w:col w:w="4540" w:space="720"/>
            <w:col w:w="5600"/>
          </w:cols>
          <w:pgMar w:left="700" w:top="120" w:right="339" w:bottom="1440" w:gutter="0" w:footer="0" w:header="0"/>
          <w:type w:val="continuous"/>
        </w:sectPr>
      </w:pPr>
    </w:p>
    <w:bookmarkStart w:id="167" w:name="page168"/>
    <w:bookmarkEnd w:id="167"/>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MediaNaviCo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Mighty Ticket,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MovieTickets.com Promotions,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MovieTickets.com,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NOW Cable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NOW Music Publishing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NOW Super Desk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NOW,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MTC Acquisition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Music of Syfy Channel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Music of USA Cable Entertainment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Music of USA Network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 Center for Safety Initiatives, LLC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NewCo Cable,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O2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O2 Music,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Oxygen Cable,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Oxygen Media Interactive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Oxygen Media Productions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Oxygen Media,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Papaya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 Productions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 Fi (VCSF) Holding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 Fi Lab Development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 Fi Lab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Spark EC Property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 Cards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SportsEngine Canada,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SportsEngine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SportsEngine UK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SportsEngine,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Syfy Channel Publishing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Syfy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Syfy Media Productions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TeamUnify,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TGC,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TST Events,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TST Management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TZGZ Productions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Cable Entertainment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USA Cable Entertainment Publishing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Kentucky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Columbia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Oregon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4540" w:space="720"/>
            <w:col w:w="4499"/>
          </w:cols>
          <w:pgMar w:left="700" w:top="1440" w:right="1440" w:bottom="1440" w:gutter="0" w:footer="0" w:header="0"/>
        </w:sectPr>
      </w:pPr>
    </w:p>
    <w:bookmarkStart w:id="168" w:name="page169"/>
    <w:bookmarkEnd w:id="168"/>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Network Media Productions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Network Publishing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(Singapore) Holdings I Pte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Versant (Singapore) Holdings II Pte Ltd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(UK)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Fandango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Media Holdings,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Media,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Sports Mobile Apps,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Television Networks,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England &amp; Wales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ectPr>
          <w:pgSz w:w="11900" w:h="16838" w:orient="portrait"/>
          <w:cols w:equalWidth="0" w:num="2">
            <w:col w:w="4540" w:space="720"/>
            <w:col w:w="4499"/>
          </w:cols>
          <w:pgMar w:left="700" w:top="1440" w:right="1440" w:bottom="1440" w:gutter="0" w:footer="0" w:header="0"/>
        </w:sectPr>
      </w:pPr>
    </w:p>
    <w:bookmarkStart w:id="169" w:name="page170"/>
    <w:bookmarkEnd w:id="169"/>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93"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We consent to the incorporation by reference in Registration Statement No. 333-292663 on Form S-8 of our report dated March 3, 2026, relating to the financial statements of Versant Media Group, Inc. appearing in this Annual Report on Form 10-K for the year ended December 31, 2025.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3, 2026</w:t>
      </w:r>
    </w:p>
    <w:p>
      <w:pPr>
        <w:sectPr>
          <w:pgSz w:w="11900" w:h="16838" w:orient="portrait"/>
          <w:cols w:equalWidth="0" w:num="1">
            <w:col w:w="11180"/>
          </w:cols>
          <w:pgMar w:left="320" w:top="1440" w:right="39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13a-14(a) and 15d-14(a) UNDER THE SECURITIES EXCHANGE ACT OF 1934, 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Lazarus, certify that:</w:t>
      </w:r>
    </w:p>
    <w:p>
      <w:pPr>
        <w:spacing w:after="0" w:line="252"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Versant Media Group, Inc;</w:t>
      </w:r>
    </w:p>
    <w:p>
      <w:pPr>
        <w:spacing w:after="0" w:line="117" w:lineRule="exact"/>
        <w:rPr>
          <w:rFonts w:ascii="Times New Roman" w:cs="Times New Roman" w:eastAsia="Times New Roman" w:hAnsi="Times New Roman"/>
          <w:sz w:val="18"/>
          <w:szCs w:val="18"/>
          <w:color w:val="auto"/>
        </w:rPr>
      </w:pPr>
    </w:p>
    <w:p>
      <w:pPr>
        <w:ind w:right="120" w:firstLine="8"/>
        <w:spacing w:after="0" w:line="312" w:lineRule="auto"/>
        <w:tabs>
          <w:tab w:leader="none" w:pos="648"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80" w:firstLine="8"/>
        <w:spacing w:after="0" w:line="282" w:lineRule="auto"/>
        <w:tabs>
          <w:tab w:leader="none" w:pos="64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300" w:firstLine="8"/>
        <w:spacing w:after="0" w:line="282" w:lineRule="auto"/>
        <w:tabs>
          <w:tab w:leader="none" w:pos="64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7" w:lineRule="exact"/>
        <w:rPr>
          <w:rFonts w:ascii="Times New Roman" w:cs="Times New Roman" w:eastAsia="Times New Roman" w:hAnsi="Times New Roman"/>
          <w:sz w:val="18"/>
          <w:szCs w:val="18"/>
          <w:color w:val="auto"/>
        </w:rPr>
      </w:pPr>
    </w:p>
    <w:p>
      <w:pPr>
        <w:ind w:left="660" w:right="140" w:hanging="4"/>
        <w:spacing w:after="0" w:line="266" w:lineRule="auto"/>
        <w:tabs>
          <w:tab w:leader="none" w:pos="90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20" w:hanging="4"/>
        <w:spacing w:after="0" w:line="312" w:lineRule="auto"/>
        <w:tabs>
          <w:tab w:leader="none" w:pos="915"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660" w:right="80" w:hanging="4"/>
        <w:spacing w:after="0" w:line="266" w:lineRule="auto"/>
        <w:tabs>
          <w:tab w:leader="none" w:pos="90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40" w:hanging="4"/>
        <w:spacing w:after="0" w:line="282" w:lineRule="auto"/>
        <w:tabs>
          <w:tab w:leader="none" w:pos="90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540" w:hanging="4"/>
        <w:spacing w:after="0" w:line="282" w:lineRule="auto"/>
        <w:tabs>
          <w:tab w:leader="none" w:pos="91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3, 2026</w:t>
            </w:r>
          </w:p>
        </w:tc>
        <w:tc>
          <w:tcPr>
            <w:tcW w:w="27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Lazarus</w:t>
            </w:r>
          </w:p>
        </w:tc>
      </w:tr>
      <w:tr>
        <w:trPr>
          <w:trHeight w:val="218"/>
        </w:trPr>
        <w:tc>
          <w:tcPr>
            <w:tcW w:w="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Lazarus</w:t>
            </w:r>
          </w:p>
        </w:tc>
      </w:tr>
      <w:tr>
        <w:trPr>
          <w:trHeight w:val="234"/>
        </w:trPr>
        <w:tc>
          <w:tcPr>
            <w:tcW w:w="6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0"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13a-14(a) and 15d-14(a) UNDER THE SECURITIES EXCHANGE ACT OF 1934, 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Anand Kini, certify that:</w:t>
      </w:r>
    </w:p>
    <w:p>
      <w:pPr>
        <w:spacing w:after="0" w:line="252"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Versant Media Group, Inc;</w:t>
      </w:r>
    </w:p>
    <w:p>
      <w:pPr>
        <w:spacing w:after="0" w:line="117" w:lineRule="exact"/>
        <w:rPr>
          <w:rFonts w:ascii="Times New Roman" w:cs="Times New Roman" w:eastAsia="Times New Roman" w:hAnsi="Times New Roman"/>
          <w:sz w:val="18"/>
          <w:szCs w:val="18"/>
          <w:color w:val="auto"/>
        </w:rPr>
      </w:pPr>
    </w:p>
    <w:p>
      <w:pPr>
        <w:ind w:right="120" w:firstLine="8"/>
        <w:spacing w:after="0" w:line="312" w:lineRule="auto"/>
        <w:tabs>
          <w:tab w:leader="none" w:pos="648"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80" w:firstLine="8"/>
        <w:spacing w:after="0" w:line="282" w:lineRule="auto"/>
        <w:tabs>
          <w:tab w:leader="none" w:pos="64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300" w:firstLine="8"/>
        <w:spacing w:after="0" w:line="282" w:lineRule="auto"/>
        <w:tabs>
          <w:tab w:leader="none" w:pos="64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7" w:lineRule="exact"/>
        <w:rPr>
          <w:rFonts w:ascii="Times New Roman" w:cs="Times New Roman" w:eastAsia="Times New Roman" w:hAnsi="Times New Roman"/>
          <w:sz w:val="18"/>
          <w:szCs w:val="18"/>
          <w:color w:val="auto"/>
        </w:rPr>
      </w:pPr>
    </w:p>
    <w:p>
      <w:pPr>
        <w:ind w:left="660" w:right="140" w:hanging="4"/>
        <w:spacing w:after="0" w:line="266" w:lineRule="auto"/>
        <w:tabs>
          <w:tab w:leader="none" w:pos="90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20" w:hanging="4"/>
        <w:spacing w:after="0" w:line="312" w:lineRule="auto"/>
        <w:tabs>
          <w:tab w:leader="none" w:pos="915"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660" w:right="80" w:hanging="4"/>
        <w:spacing w:after="0" w:line="266" w:lineRule="auto"/>
        <w:tabs>
          <w:tab w:leader="none" w:pos="905"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40" w:hanging="4"/>
        <w:spacing w:after="0" w:line="282" w:lineRule="auto"/>
        <w:tabs>
          <w:tab w:leader="none" w:pos="905"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540" w:hanging="4"/>
        <w:spacing w:after="0" w:line="282" w:lineRule="auto"/>
        <w:tabs>
          <w:tab w:leader="none" w:pos="915"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3, 2026</w:t>
            </w:r>
          </w:p>
        </w:tc>
        <w:tc>
          <w:tcPr>
            <w:tcW w:w="27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Anand Kini</w:t>
            </w:r>
          </w:p>
        </w:tc>
      </w:tr>
      <w:tr>
        <w:trPr>
          <w:trHeight w:val="218"/>
        </w:trPr>
        <w:tc>
          <w:tcPr>
            <w:tcW w:w="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Anand Kini</w:t>
            </w:r>
          </w:p>
        </w:tc>
      </w:tr>
      <w:tr>
        <w:trPr>
          <w:trHeight w:val="234"/>
        </w:trPr>
        <w:tc>
          <w:tcPr>
            <w:tcW w:w="6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bl>
    <w:p>
      <w:pPr>
        <w:sectPr>
          <w:pgSz w:w="11900" w:h="16838" w:orient="portrait"/>
          <w:cols w:equalWidth="0" w:num="1">
            <w:col w:w="11240"/>
          </w:cols>
          <w:pgMar w:left="320" w:top="120"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 OF THE SARBANES-OXLEY ACT OF 2002</w:t>
      </w:r>
    </w:p>
    <w:p>
      <w:pPr>
        <w:spacing w:after="0" w:line="2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Versant Media Group, Inc on Form 10-K for the fiscal year ended December 31, 2025, as filed with the Securities and Exchange Commission on the date hereof (the “Report”), we, the undersigned officers of Versant Media Group, Inc, certify, pursuant to 18 U.S.C. §1350, as adopted pursuant to §906 of the Sarbanes-Oxley Act of 2002, that, to the best of our knowledge:</w:t>
      </w:r>
    </w:p>
    <w:p>
      <w:pPr>
        <w:spacing w:after="0" w:line="122" w:lineRule="exact"/>
        <w:rPr>
          <w:sz w:val="20"/>
          <w:szCs w:val="20"/>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Versant Media Group, Inc.</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3, 2026</w:t>
            </w:r>
          </w:p>
        </w:tc>
        <w:tc>
          <w:tcPr>
            <w:tcW w:w="27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Lazarus</w:t>
            </w:r>
          </w:p>
        </w:tc>
      </w:tr>
      <w:tr>
        <w:trPr>
          <w:trHeight w:val="218"/>
        </w:trPr>
        <w:tc>
          <w:tcPr>
            <w:tcW w:w="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Lazarus</w:t>
            </w:r>
          </w:p>
        </w:tc>
      </w:tr>
      <w:tr>
        <w:trPr>
          <w:trHeight w:val="234"/>
        </w:trPr>
        <w:tc>
          <w:tcPr>
            <w:tcW w:w="6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99"/>
        </w:trPr>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Anand Kini</w:t>
            </w:r>
          </w:p>
        </w:tc>
      </w:tr>
      <w:tr>
        <w:trPr>
          <w:trHeight w:val="218"/>
        </w:trPr>
        <w:tc>
          <w:tcPr>
            <w:tcW w:w="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Anand Kini</w:t>
            </w:r>
          </w:p>
        </w:tc>
      </w:tr>
      <w:tr>
        <w:trPr>
          <w:trHeight w:val="234"/>
        </w:trPr>
        <w:tc>
          <w:tcPr>
            <w:tcW w:w="6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bl>
    <w:p>
      <w:pPr>
        <w:sectPr>
          <w:pgSz w:w="11900" w:h="16838" w:orient="portrait"/>
          <w:cols w:equalWidth="0" w:num="1">
            <w:col w:w="11240"/>
          </w:cols>
          <w:pgMar w:left="320" w:top="120"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VERSANT MEDIA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Recoupment Policy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This Recoupment Policy (“Policy”) has been adopted by the Board of Directors (the “Board”) and Compensation Committee (the “Committee”) of the Board of Versant Media Group, Inc. (the “Company”). This Policy requires the recoupment of certain executive compensation in the event of an accounting restatement resulting from material noncompliance with financial reporting requirements under U.S. federal securities laws as set forth below.</w:t>
      </w:r>
    </w:p>
    <w:p>
      <w:pPr>
        <w:spacing w:after="0" w:line="19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If the Company is required to seek to recover incentive-based compensation awards (including any amounts determined based on or otherwise calculated therefrom) (“Awards”) received by any Covered Executive Officer (as defined below) pursuant to Rule 10D-1 of the Securities Exchange Act of 1934 (the “Exchange Act”), as implemented pursuant to Nasdaq Listing Rule 5608 (or any other applicable Nasdaq listing standard, the “Nasdaq Rules”), as a result of (i) a restatement that corrects errors that are material to previously issued financial statements or (ii) a restatement that corrects errors that are not material to previously issued financial statements but would result in a material misstatement if the errors were left uncorrected in the current report or the error correction was recognized in the current period, the applicable Awards (including any amounts or benefits arising therefrom) shall be canceled, forfeited or required to be repaid by such Covered Executive Officer to the Company to the extent required under the Nasdaq Rules.</w:t>
      </w:r>
    </w:p>
    <w:p>
      <w:pPr>
        <w:spacing w:after="0" w:line="2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For purposes of this policy, “Covered Executive Officers” means the officers of the Company as determined under Rule 16a-1(f) under the Exchange Act, including any former officers who served in such roles during the period covered by the Nasdaq Rules.</w:t>
      </w:r>
    </w:p>
    <w:p>
      <w:pPr>
        <w:spacing w:after="0" w:line="193"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color w:val="auto"/>
        </w:rPr>
        <w:t>Any applicable agreement or other document setting forth the terms and conditions of any compensation covered by this Policy shall be deemed to include the restrictions imposed herein and to incorporate this Policy by reference and, in the event of any inconsistency, the terms of this Policy will govern. For the avoidance of doubt, this Policy applies to all compensation that is received on or after the date first set forth above, regardless of the date on which the agreement or other document setting forth the terms and conditions of the Covered Executive Officer’s compensation became effective.</w:t>
      </w:r>
    </w:p>
    <w:p>
      <w:pPr>
        <w:spacing w:after="0" w:line="21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This Policy shall be administered by the Committee. The Committee shall have full power and authority to (i) administer and interpret this Policy, (ii) correct any defect, supply any omission and reconcile any inconsistency in this Policy and (iii) make any other determination and take any other action that it deems necessary or desirable for the administration of this Policy and to comply with applicable law (including Section 10D of the Exchange Act) and applicable stock market or exchange rules and regulations (including Section 5608 of the Nasdaq Listing Rules). Notwithstanding anything to the contrary contained herein, to the extent permitted by Section 10D of the Exchange Act and Section 5608 of the Nasdaq Listing Rules, the Board may, in its sole discretion, at any time and from time to time, administer this Policy. The action permitted to be taken by the Committee or the Board under this Policy is in addition to any and all other rights of the Company with respect to the clawback or recoupment of any compensation under applicable law and contract.</w:t>
      </w:r>
    </w:p>
    <w:p>
      <w:pPr>
        <w:spacing w:after="0" w:line="203"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This Policy shall be binding and enforceable against all Covered Executives and their beneficiaries, heirs, executors, administrators or other legal representatives. All issues concerning the construction, validity, enforcement and interpretation of this Policy and all related documents, including any employment agreement, offer letter, equity award agreement or similar agreement, shall be governed by, and construed in accordance with, the laws of the Commonwealth of Pennsylvania, without giving effect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6" w:right="339" w:bottom="1440" w:gutter="0" w:footer="0" w:header="0"/>
        </w:sectPr>
      </w:pPr>
    </w:p>
    <w:bookmarkStart w:id="174" w:name="page175"/>
    <w:bookmarkEnd w:id="174"/>
    <w:p>
      <w:pPr>
        <w:spacing w:after="0" w:line="12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any choice of law or conflict of law rules or provisions (whether of the Commonwealth of Pennsylvania or any other jurisdiction) that would cause the application of the laws of any other jurisdiction.</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Policy is intended to comply with the requirements of Section 10D of the Exchange Act and Section 5608 of the Nasdaq Listing Rules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w:t>
      </w:r>
    </w:p>
    <w:sectPr>
      <w:pgSz w:w="11900" w:h="16838" w:orient="portrait"/>
      <w:cols w:equalWidth="0" w:num="1">
        <w:col w:w="11080"/>
      </w:cols>
      <w:pgMar w:left="32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1)"/>
      <w:numFmt w:val="decimal"/>
      <w:start w:val="1"/>
    </w:lvl>
  </w:abstractNum>
  <w:abstractNum w:abstractNumId="8">
    <w:nsid w:val="14330624"/>
    <w:multiLevelType w:val="hybridMultilevel"/>
    <w:lvl w:ilvl="0">
      <w:lvlJc w:val="left"/>
      <w:lvlText w:val="(%1)"/>
      <w:numFmt w:val="decimal"/>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1)"/>
      <w:numFmt w:val="lowerLetter"/>
      <w:start w:val="1"/>
    </w:lvl>
  </w:abstractNum>
  <w:abstractNum w:abstractNumId="23">
    <w:nsid w:val="74DE0EE3"/>
    <w:multiLevelType w:val="hybridMultilevel"/>
    <w:lvl w:ilvl="0">
      <w:lvlJc w:val="left"/>
      <w:lvlText w:val="(%1)"/>
      <w:numFmt w:val="lowerLetter"/>
      <w:start w:val="1"/>
    </w:lvl>
  </w:abstractNum>
  <w:abstractNum w:abstractNumId="24">
    <w:nsid w:val="68EBC550"/>
    <w:multiLevelType w:val="hybridMultilevel"/>
    <w:lvl w:ilvl="0">
      <w:lvlJc w:val="left"/>
      <w:lvlText w:val="(%1)"/>
      <w:numFmt w:val="decimal"/>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1)"/>
      <w:numFmt w:val="lowerLetter"/>
      <w:start w:val="1"/>
    </w:lvl>
  </w:abstractNum>
  <w:abstractNum w:abstractNumId="27">
    <w:nsid w:val="4A2AC315"/>
    <w:multiLevelType w:val="hybridMultilevel"/>
    <w:lvl w:ilvl="0">
      <w:lvlJc w:val="left"/>
      <w:lvlText w:val="(%1)"/>
      <w:numFmt w:val="lowerLetter"/>
      <w:start w:val="1"/>
    </w:lvl>
  </w:abstractNum>
  <w:abstractNum w:abstractNumId="28">
    <w:nsid w:val="39EE015C"/>
    <w:multiLevelType w:val="hybridMultilevel"/>
    <w:lvl w:ilvl="0">
      <w:lvlJc w:val="left"/>
      <w:lvlText w:val="(%1)"/>
      <w:numFmt w:val="lowerLetter"/>
      <w:start w:val="1"/>
    </w:lvl>
  </w:abstractNum>
  <w:abstractNum w:abstractNumId="29">
    <w:nsid w:val="57FC4FBB"/>
    <w:multiLevelType w:val="hybridMultilevel"/>
    <w:lvl w:ilvl="0">
      <w:lvlJc w:val="left"/>
      <w:lvlText w:val="%1"/>
      <w:numFmt w:val="decimal"/>
      <w:start w:val="10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1."/>
      <w:numFmt w:val="decimal"/>
      <w:start w:val="1"/>
    </w:lvl>
  </w:abstractNum>
  <w:abstractNum w:abstractNumId="35">
    <w:nsid w:val="49DA307D"/>
    <w:multiLevelType w:val="hybridMultilevel"/>
    <w:lvl w:ilvl="0">
      <w:lvlJc w:val="left"/>
      <w:lvlText w:val="%1."/>
      <w:numFmt w:val="decimal"/>
      <w:start w:val="2"/>
    </w:lvl>
  </w:abstractNum>
  <w:abstractNum w:abstractNumId="36">
    <w:nsid w:val="7055A5F5"/>
    <w:multiLevelType w:val="hybridMultilevel"/>
    <w:lvl w:ilvl="0">
      <w:lvlJc w:val="left"/>
      <w:lvlText w:val="(%1)"/>
      <w:numFmt w:val="lowerLetter"/>
      <w:start w:val="1"/>
    </w:lvl>
  </w:abstractNum>
  <w:abstractNum w:abstractNumId="37">
    <w:nsid w:val="5FB8370B"/>
    <w:multiLevelType w:val="hybridMultilevel"/>
    <w:lvl w:ilvl="0">
      <w:lvlJc w:val="left"/>
      <w:lvlText w:val="(%1)"/>
      <w:numFmt w:val="lowerLetter"/>
      <w:start w:val="3"/>
    </w:lvl>
  </w:abstractNum>
  <w:abstractNum w:abstractNumId="38">
    <w:nsid w:val="50801EE1"/>
    <w:multiLevelType w:val="hybridMultilevel"/>
    <w:lvl w:ilvl="0">
      <w:lvlJc w:val="left"/>
      <w:lvlText w:val="(%1)"/>
      <w:numFmt w:val="lowerLetter"/>
      <w:start w:val="4"/>
    </w:lvl>
  </w:abstractNum>
  <w:abstractNum w:abstractNumId="39">
    <w:nsid w:val="488AC1A"/>
    <w:multiLevelType w:val="hybridMultilevel"/>
    <w:lvl w:ilvl="0">
      <w:lvlJc w:val="left"/>
      <w:lvlText w:val="%1."/>
      <w:numFmt w:val="decimal"/>
      <w:start w:val="3"/>
    </w:lvl>
  </w:abstractNum>
  <w:abstractNum w:abstractNumId="40">
    <w:nsid w:val="5FB8011C"/>
    <w:multiLevelType w:val="hybridMultilevel"/>
    <w:lvl w:ilvl="0">
      <w:lvlJc w:val="left"/>
      <w:lvlText w:val="%1."/>
      <w:numFmt w:val="decimal"/>
      <w:start w:val="4"/>
    </w:lvl>
  </w:abstractNum>
  <w:abstractNum w:abstractNumId="41">
    <w:nsid w:val="6AA78F7F"/>
    <w:multiLevelType w:val="hybridMultilevel"/>
    <w:lvl w:ilvl="0">
      <w:lvlJc w:val="left"/>
      <w:lvlText w:val="%1."/>
      <w:numFmt w:val="decimal"/>
      <w:start w:val="5"/>
    </w:lvl>
  </w:abstractNum>
  <w:abstractNum w:abstractNumId="42">
    <w:nsid w:val="7672BD23"/>
    <w:multiLevelType w:val="hybridMultilevel"/>
    <w:lvl w:ilvl="0">
      <w:lvlJc w:val="left"/>
      <w:lvlText w:val="%1."/>
      <w:numFmt w:val="decimal"/>
      <w:start w:val="6"/>
    </w:lvl>
  </w:abstractNum>
  <w:abstractNum w:abstractNumId="43">
    <w:nsid w:val="6FC75AF8"/>
    <w:multiLevelType w:val="hybridMultilevel"/>
    <w:lvl w:ilvl="0">
      <w:lvlJc w:val="left"/>
      <w:lvlText w:val="%1."/>
      <w:numFmt w:val="decimal"/>
      <w:start w:val="7"/>
    </w:lvl>
  </w:abstractNum>
  <w:abstractNum w:abstractNumId="44">
    <w:nsid w:val="6A5F7029"/>
    <w:multiLevelType w:val="hybridMultilevel"/>
    <w:lvl w:ilvl="0">
      <w:lvlJc w:val="left"/>
      <w:lvlText w:val="%1."/>
      <w:numFmt w:val="decimal"/>
      <w:start w:val="8"/>
    </w:lvl>
  </w:abstractNum>
  <w:abstractNum w:abstractNumId="45">
    <w:nsid w:val="7D5E18F8"/>
    <w:multiLevelType w:val="hybridMultilevel"/>
    <w:lvl w:ilvl="0">
      <w:lvlJc w:val="left"/>
      <w:lvlText w:val="%1."/>
      <w:numFmt w:val="decimal"/>
      <w:start w:val="9"/>
    </w:lvl>
  </w:abstractNum>
  <w:abstractNum w:abstractNumId="46">
    <w:nsid w:val="5F3534A4"/>
    <w:multiLevelType w:val="hybridMultilevel"/>
    <w:lvl w:ilvl="0">
      <w:lvlJc w:val="left"/>
      <w:lvlText w:val="%1."/>
      <w:numFmt w:val="decimal"/>
      <w:start w:val="1"/>
    </w:lvl>
    <w:lvl w:ilvl="1">
      <w:lvlJc w:val="left"/>
      <w:lvlText w:val="(%2)"/>
      <w:numFmt w:val="lowerLetter"/>
      <w:start w:val="1"/>
    </w:lvl>
  </w:abstractNum>
  <w:abstractNum w:abstractNumId="47">
    <w:nsid w:val="73A1821B"/>
    <w:multiLevelType w:val="hybridMultilevel"/>
    <w:lvl w:ilvl="0">
      <w:lvlJc w:val="left"/>
      <w:lvlText w:val="%1."/>
      <w:numFmt w:val="decimal"/>
      <w:start w:val="3"/>
    </w:lvl>
    <w:lvl w:ilvl="1">
      <w:lvlJc w:val="left"/>
      <w:lvlText w:val="(%2)"/>
      <w:numFmt w:val="lowerLetter"/>
      <w:start w:val="1"/>
    </w:lvl>
  </w:abstractNum>
  <w:abstractNum w:abstractNumId="48">
    <w:nsid w:val="7DE6771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9">
    <w:nsid w:val="555C55B5"/>
    <w:multiLevelType w:val="hybridMultilevel"/>
    <w:lvl w:ilvl="0">
      <w:lvlJc w:val="left"/>
      <w:lvlText w:val="(%1)"/>
      <w:numFmt w:val="lowerLetter"/>
      <w:start w:val="26"/>
    </w:lvl>
    <w:lvl w:ilvl="1">
      <w:lvlJc w:val="left"/>
      <w:lvlText w:val="(%2)"/>
      <w:numFmt w:val="lowerLetter"/>
      <w:start w:val="3"/>
    </w:lvl>
    <w:lvl w:ilvl="2">
      <w:lvlJc w:val="left"/>
      <w:lvlText w:val="(%3)"/>
      <w:numFmt w:val="lowerRoman"/>
      <w:start w:val="1"/>
    </w:lvl>
  </w:abstractNum>
  <w:abstractNum w:abstractNumId="50">
    <w:nsid w:val="3FA62ACA"/>
    <w:multiLevelType w:val="hybridMultilevel"/>
    <w:lvl w:ilvl="0">
      <w:lvlJc w:val="left"/>
      <w:lvlText w:val="%1"/>
      <w:numFmt w:val="decimal"/>
      <w:start w:val="1"/>
    </w:lvl>
    <w:lvl w:ilvl="1">
      <w:lvlJc w:val="left"/>
      <w:lvlText w:val="(%2)"/>
      <w:numFmt w:val="lowerLetter"/>
      <w:start w:val="5"/>
    </w:lvl>
  </w:abstractNum>
  <w:abstractNum w:abstractNumId="51">
    <w:nsid w:val="14FCE74E"/>
    <w:multiLevelType w:val="hybridMultilevel"/>
    <w:lvl w:ilvl="0">
      <w:lvlJc w:val="left"/>
      <w:lvlText w:val="%1."/>
      <w:numFmt w:val="decimal"/>
      <w:start w:val="5"/>
    </w:lvl>
    <w:lvl w:ilvl="1">
      <w:lvlJc w:val="left"/>
      <w:lvlText w:val="(%2)"/>
      <w:numFmt w:val="lowerLetter"/>
      <w:start w:val="1"/>
    </w:lvl>
  </w:abstractNum>
  <w:abstractNum w:abstractNumId="52">
    <w:nsid w:val="6A3DD3E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3">
    <w:nsid w:val="71C9129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4">
    <w:nsid w:val="9DAF6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5">
    <w:nsid w:val="5329993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6">
    <w:nsid w:val="1FBFE8E0"/>
    <w:multiLevelType w:val="hybridMultilevel"/>
    <w:lvl w:ilvl="0">
      <w:lvlJc w:val="left"/>
      <w:lvlText w:val="%1"/>
      <w:numFmt w:val="decimal"/>
      <w:start w:val="1"/>
    </w:lvl>
    <w:lvl w:ilvl="1">
      <w:lvlJc w:val="left"/>
      <w:lvlText w:val="(%2)"/>
      <w:numFmt w:val="lowerLetter"/>
      <w:start w:val="2"/>
    </w:lvl>
  </w:abstractNum>
  <w:abstractNum w:abstractNumId="57">
    <w:nsid w:val="5092CA79"/>
    <w:multiLevelType w:val="hybridMultilevel"/>
    <w:lvl w:ilvl="0">
      <w:lvlJc w:val="left"/>
      <w:lvlText w:val="%1."/>
      <w:numFmt w:val="decimal"/>
      <w:start w:val="9"/>
    </w:lvl>
    <w:lvl w:ilvl="1">
      <w:lvlJc w:val="left"/>
      <w:lvlText w:val="(%2)"/>
      <w:numFmt w:val="lowerLetter"/>
      <w:start w:val="1"/>
    </w:lvl>
  </w:abstractNum>
  <w:abstractNum w:abstractNumId="58">
    <w:nsid w:val="1D545C4D"/>
    <w:multiLevelType w:val="hybridMultilevel"/>
    <w:lvl w:ilvl="0">
      <w:lvlJc w:val="left"/>
      <w:lvlText w:val="(%1)"/>
      <w:numFmt w:val="lowerLetter"/>
      <w:start w:val="8"/>
    </w:lvl>
  </w:abstractNum>
  <w:abstractNum w:abstractNumId="59">
    <w:nsid w:val="59ADEA3D"/>
    <w:multiLevelType w:val="hybridMultilevel"/>
    <w:lvl w:ilvl="0">
      <w:lvlJc w:val="left"/>
      <w:lvlText w:val="%1."/>
      <w:numFmt w:val="decimal"/>
      <w:start w:val="1"/>
    </w:lvl>
    <w:lvl w:ilvl="1">
      <w:lvlJc w:val="left"/>
      <w:lvlText w:val="(%2)"/>
      <w:numFmt w:val="lowerLetter"/>
      <w:start w:val="1"/>
    </w:lvl>
  </w:abstractNum>
  <w:abstractNum w:abstractNumId="60">
    <w:nsid w:val="288F1A34"/>
    <w:multiLevelType w:val="hybridMultilevel"/>
    <w:lvl w:ilvl="0">
      <w:lvlJc w:val="left"/>
      <w:lvlText w:val="%1"/>
      <w:numFmt w:val="decimal"/>
      <w:start w:val="1"/>
    </w:lvl>
    <w:lvl w:ilvl="1">
      <w:lvlJc w:val="left"/>
      <w:lvlText w:val="(%2)"/>
      <w:numFmt w:val="lowerLetter"/>
      <w:start w:val="14"/>
    </w:lvl>
  </w:abstractNum>
  <w:abstractNum w:abstractNumId="61">
    <w:nsid w:val="2A155DBC"/>
    <w:multiLevelType w:val="hybridMultilevel"/>
    <w:lvl w:ilvl="0">
      <w:lvlJc w:val="left"/>
      <w:lvlText w:val="%1."/>
      <w:numFmt w:val="decimal"/>
      <w:start w:val="2"/>
    </w:lvl>
    <w:lvl w:ilvl="1">
      <w:lvlJc w:val="left"/>
      <w:lvlText w:val="(%2)"/>
      <w:numFmt w:val="lowerLetter"/>
      <w:start w:val="1"/>
    </w:lvl>
  </w:abstractNum>
  <w:abstractNum w:abstractNumId="62">
    <w:nsid w:val="1D9F6E5F"/>
    <w:multiLevelType w:val="hybridMultilevel"/>
    <w:lvl w:ilvl="0">
      <w:lvlJc w:val="left"/>
      <w:lvlText w:val="%1."/>
      <w:numFmt w:val="decimal"/>
      <w:start w:val="3"/>
    </w:lvl>
    <w:lvl w:ilvl="1">
      <w:lvlJc w:val="left"/>
      <w:lvlText w:val="(%2)"/>
      <w:numFmt w:val="lowerLetter"/>
      <w:start w:val="1"/>
    </w:lvl>
  </w:abstractNum>
  <w:abstractNum w:abstractNumId="63">
    <w:nsid w:val="97E1B4E"/>
    <w:multiLevelType w:val="hybridMultilevel"/>
    <w:lvl w:ilvl="0">
      <w:lvlJc w:val="left"/>
      <w:lvlText w:val="%1"/>
      <w:numFmt w:val="decimal"/>
      <w:start w:val="1"/>
    </w:lvl>
    <w:lvl w:ilvl="1">
      <w:lvlJc w:val="left"/>
      <w:lvlText w:val="(%2)"/>
      <w:numFmt w:val="lowerLetter"/>
      <w:start w:val="1"/>
    </w:lvl>
  </w:abstractNum>
  <w:abstractNum w:abstractNumId="64">
    <w:nsid w:val="51088277"/>
    <w:multiLevelType w:val="hybridMultilevel"/>
    <w:lvl w:ilvl="0">
      <w:lvlJc w:val="left"/>
      <w:lvlText w:val="%1."/>
      <w:numFmt w:val="decimal"/>
      <w:start w:val="6"/>
    </w:lvl>
    <w:lvl w:ilvl="1">
      <w:lvlJc w:val="left"/>
      <w:lvlText w:val="%2"/>
      <w:numFmt w:val="lowerLetter"/>
      <w:start w:val="1"/>
    </w:lvl>
  </w:abstractNum>
  <w:abstractNum w:abstractNumId="65">
    <w:nsid w:val="1CA0C5FA"/>
    <w:multiLevelType w:val="hybridMultilevel"/>
    <w:lvl w:ilvl="0">
      <w:lvlJc w:val="left"/>
      <w:lvlText w:val="%1."/>
      <w:numFmt w:val="decimal"/>
      <w:start w:val="13"/>
    </w:lvl>
  </w:abstractNum>
  <w:abstractNum w:abstractNumId="66">
    <w:nsid w:val="53584BCB"/>
    <w:multiLevelType w:val="hybridMultilevel"/>
    <w:lvl w:ilvl="0">
      <w:lvlJc w:val="left"/>
      <w:lvlText w:val="%1."/>
      <w:numFmt w:val="decimal"/>
      <w:start w:val="20"/>
    </w:lvl>
  </w:abstractNum>
  <w:abstractNum w:abstractNumId="67">
    <w:nsid w:val="415E286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8">
    <w:nsid w:val="7C58FD05"/>
    <w:multiLevelType w:val="hybridMultilevel"/>
    <w:lvl w:ilvl="0">
      <w:lvlJc w:val="left"/>
      <w:lvlText w:val="(%1)"/>
      <w:numFmt w:val="decimal"/>
      <w:start w:val="90"/>
    </w:lvl>
    <w:lvl w:ilvl="1">
      <w:lvlJc w:val="left"/>
      <w:lvlText w:val="%2"/>
      <w:numFmt w:val="decimal"/>
      <w:start w:val="1"/>
    </w:lvl>
    <w:lvl w:ilvl="2">
      <w:lvlJc w:val="left"/>
      <w:lvlText w:val="(%3)"/>
      <w:numFmt w:val="lowerLetter"/>
      <w:start w:val="8"/>
    </w:lvl>
  </w:abstractNum>
  <w:abstractNum w:abstractNumId="69">
    <w:nsid w:val="23D86AAC"/>
    <w:multiLevelType w:val="hybridMultilevel"/>
    <w:lvl w:ilvl="0">
      <w:lvlJc w:val="left"/>
      <w:lvlText w:val="%1"/>
      <w:numFmt w:val="decimal"/>
      <w:start w:val="1"/>
    </w:lvl>
    <w:lvl w:ilvl="1">
      <w:lvlJc w:val="left"/>
      <w:lvlText w:val="(%2)"/>
      <w:numFmt w:val="lowerLetter"/>
      <w:start w:val="13"/>
    </w:lvl>
  </w:abstractNum>
  <w:abstractNum w:abstractNumId="70">
    <w:nsid w:val="45E6D486"/>
    <w:multiLevelType w:val="hybridMultilevel"/>
    <w:lvl w:ilvl="0">
      <w:lvlJc w:val="left"/>
      <w:lvlText w:val="%1."/>
      <w:numFmt w:val="decimal"/>
      <w:start w:val="2"/>
    </w:lvl>
    <w:lvl w:ilvl="1">
      <w:lvlJc w:val="left"/>
      <w:lvlText w:val="(%2)"/>
      <w:numFmt w:val="lowerLetter"/>
      <w:start w:val="1"/>
    </w:lvl>
  </w:abstractNum>
  <w:abstractNum w:abstractNumId="71">
    <w:nsid w:val="5C10FE21"/>
    <w:multiLevelType w:val="hybridMultilevel"/>
    <w:lvl w:ilvl="0">
      <w:lvlJc w:val="left"/>
      <w:lvlText w:val="%1"/>
      <w:numFmt w:val="decimal"/>
      <w:start w:val="1"/>
    </w:lvl>
    <w:lvl w:ilvl="1">
      <w:lvlJc w:val="left"/>
      <w:lvlText w:val="(%2)"/>
      <w:numFmt w:val="lowerLetter"/>
      <w:start w:val="2"/>
    </w:lvl>
  </w:abstractNum>
  <w:abstractNum w:abstractNumId="72">
    <w:nsid w:val="E7FFA2B"/>
    <w:multiLevelType w:val="hybridMultilevel"/>
    <w:lvl w:ilvl="0">
      <w:lvlJc w:val="left"/>
      <w:lvlText w:val="%1."/>
      <w:numFmt w:val="decimal"/>
      <w:start w:val="5"/>
    </w:lvl>
    <w:lvl w:ilvl="1">
      <w:lvlJc w:val="left"/>
      <w:lvlText w:val="(%2)"/>
      <w:numFmt w:val="lowerLetter"/>
      <w:start w:val="1"/>
    </w:lvl>
  </w:abstractNum>
  <w:abstractNum w:abstractNumId="73">
    <w:nsid w:val="3C5991AA"/>
    <w:multiLevelType w:val="hybridMultilevel"/>
    <w:lvl w:ilvl="0">
      <w:lvlJc w:val="left"/>
      <w:lvlText w:val="%1."/>
      <w:numFmt w:val="decimal"/>
      <w:start w:val="8"/>
    </w:lvl>
  </w:abstractNum>
  <w:abstractNum w:abstractNumId="74">
    <w:nsid w:val="4BD8591A"/>
    <w:multiLevelType w:val="hybridMultilevel"/>
    <w:lvl w:ilvl="0">
      <w:lvlJc w:val="left"/>
      <w:lvlText w:val="%1."/>
      <w:numFmt w:val="decimal"/>
      <w:start w:val="14"/>
    </w:lvl>
  </w:abstractNum>
  <w:abstractNum w:abstractNumId="75">
    <w:nsid w:val="78DF6A55"/>
    <w:multiLevelType w:val="hybridMultilevel"/>
    <w:lvl w:ilvl="0">
      <w:lvlJc w:val="left"/>
      <w:lvlText w:val="%1."/>
      <w:numFmt w:val="decimal"/>
      <w:start w:val="24"/>
    </w:lvl>
  </w:abstractNum>
  <w:abstractNum w:abstractNumId="76">
    <w:nsid w:val="39B7AAA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7">
    <w:nsid w:val="2B0D8DBE"/>
    <w:multiLevelType w:val="hybridMultilevel"/>
    <w:lvl w:ilvl="0">
      <w:lvlJc w:val="left"/>
      <w:lvlText w:val="(%1)"/>
      <w:numFmt w:val="decimal"/>
      <w:start w:val="90"/>
    </w:lvl>
    <w:lvl w:ilvl="1">
      <w:lvlJc w:val="left"/>
      <w:lvlText w:val="%2"/>
      <w:numFmt w:val="decimal"/>
      <w:start w:val="1"/>
    </w:lvl>
    <w:lvl w:ilvl="2">
      <w:lvlJc w:val="left"/>
      <w:lvlText w:val="(%3)"/>
      <w:numFmt w:val="lowerLetter"/>
      <w:start w:val="7"/>
    </w:lvl>
  </w:abstractNum>
  <w:abstractNum w:abstractNumId="78">
    <w:nsid w:val="6C80EC70"/>
    <w:multiLevelType w:val="hybridMultilevel"/>
    <w:lvl w:ilvl="0">
      <w:lvlJc w:val="left"/>
      <w:lvlText w:val="(%1)"/>
      <w:numFmt w:val="lowerLetter"/>
      <w:start w:val="13"/>
    </w:lvl>
  </w:abstractNum>
  <w:abstractNum w:abstractNumId="79">
    <w:nsid w:val="379E21B5"/>
    <w:multiLevelType w:val="hybridMultilevel"/>
    <w:lvl w:ilvl="0">
      <w:lvlJc w:val="left"/>
      <w:lvlText w:val="(%1)"/>
      <w:numFmt w:val="lowerLetter"/>
      <w:start w:val="14"/>
    </w:lvl>
  </w:abstractNum>
  <w:abstractNum w:abstractNumId="80">
    <w:nsid w:val="69E373"/>
    <w:multiLevelType w:val="hybridMultilevel"/>
    <w:lvl w:ilvl="0">
      <w:lvlJc w:val="left"/>
      <w:lvlText w:val="(%1)"/>
      <w:numFmt w:val="lowerLetter"/>
      <w:start w:val="15"/>
    </w:lvl>
  </w:abstractNum>
  <w:abstractNum w:abstractNumId="81">
    <w:nsid w:val="2C27173B"/>
    <w:multiLevelType w:val="hybridMultilevel"/>
    <w:lvl w:ilvl="0">
      <w:lvlJc w:val="left"/>
      <w:lvlText w:val="%1"/>
      <w:numFmt w:val="decimal"/>
      <w:start w:val="1"/>
    </w:lvl>
    <w:lvl w:ilvl="1">
      <w:lvlJc w:val="left"/>
      <w:lvlText w:val="(%2)"/>
      <w:numFmt w:val="lowerLetter"/>
      <w:start w:val="17"/>
    </w:lvl>
  </w:abstractNum>
  <w:abstractNum w:abstractNumId="82">
    <w:nsid w:val="4C9B0904"/>
    <w:multiLevelType w:val="hybridMultilevel"/>
    <w:lvl w:ilvl="0">
      <w:lvlJc w:val="left"/>
      <w:lvlText w:val="%1."/>
      <w:numFmt w:val="decimal"/>
      <w:start w:val="2"/>
    </w:lvl>
    <w:lvl w:ilvl="1">
      <w:lvlJc w:val="left"/>
      <w:lvlText w:val="(%2)"/>
      <w:numFmt w:val="lowerLetter"/>
      <w:start w:val="1"/>
    </w:lvl>
  </w:abstractNum>
  <w:abstractNum w:abstractNumId="83">
    <w:nsid w:val="6AA7B75C"/>
    <w:multiLevelType w:val="hybridMultilevel"/>
    <w:lvl w:ilvl="0">
      <w:lvlJc w:val="left"/>
      <w:lvlText w:val="%1."/>
      <w:numFmt w:val="decimal"/>
      <w:start w:val="3"/>
    </w:lvl>
    <w:lvl w:ilvl="1">
      <w:lvlJc w:val="left"/>
      <w:lvlText w:val="(%2)"/>
      <w:numFmt w:val="lowerLetter"/>
      <w:start w:val="1"/>
    </w:lvl>
  </w:abstractNum>
  <w:abstractNum w:abstractNumId="84">
    <w:nsid w:val="1DF029D3"/>
    <w:multiLevelType w:val="hybridMultilevel"/>
    <w:lvl w:ilvl="0">
      <w:lvlJc w:val="left"/>
      <w:lvlText w:val="%1"/>
      <w:numFmt w:val="decimal"/>
      <w:start w:val="1"/>
    </w:lvl>
    <w:lvl w:ilvl="1">
      <w:lvlJc w:val="left"/>
      <w:lvlText w:val="(%2)"/>
      <w:numFmt w:val="lowerLetter"/>
      <w:start w:val="2"/>
    </w:lvl>
  </w:abstractNum>
  <w:abstractNum w:abstractNumId="85">
    <w:nsid w:val="5675FF36"/>
    <w:multiLevelType w:val="hybridMultilevel"/>
    <w:lvl w:ilvl="0">
      <w:lvlJc w:val="left"/>
      <w:lvlText w:val="%1."/>
      <w:numFmt w:val="decimal"/>
      <w:start w:val="5"/>
    </w:lvl>
    <w:lvl w:ilvl="1">
      <w:lvlJc w:val="left"/>
      <w:lvlText w:val="(%2)"/>
      <w:numFmt w:val="lowerLetter"/>
      <w:start w:val="1"/>
    </w:lvl>
  </w:abstractNum>
  <w:abstractNum w:abstractNumId="86">
    <w:nsid w:val="3DD15094"/>
    <w:multiLevelType w:val="hybridMultilevel"/>
    <w:lvl w:ilvl="0">
      <w:lvlJc w:val="left"/>
      <w:lvlText w:val="%1."/>
      <w:numFmt w:val="decimal"/>
      <w:start w:val="11"/>
    </w:lvl>
  </w:abstractNum>
  <w:abstractNum w:abstractNumId="87">
    <w:nsid w:val="3DB012B3"/>
    <w:multiLevelType w:val="hybridMultilevel"/>
    <w:lvl w:ilvl="0">
      <w:lvlJc w:val="left"/>
      <w:lvlText w:val="%1."/>
      <w:numFmt w:val="decimal"/>
      <w:start w:val="17"/>
    </w:lvl>
  </w:abstractNum>
  <w:abstractNum w:abstractNumId="88">
    <w:nsid w:val="2708C9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9">
    <w:nsid w:val="5B25ACE2"/>
    <w:multiLevelType w:val="hybridMultilevel"/>
    <w:lvl w:ilvl="0">
      <w:lvlJc w:val="left"/>
      <w:lvlText w:val="(%1)"/>
      <w:numFmt w:val="decimal"/>
      <w:start w:val="90"/>
    </w:lvl>
    <w:lvl w:ilvl="1">
      <w:lvlJc w:val="left"/>
      <w:lvlText w:val="%2"/>
      <w:numFmt w:val="decimal"/>
      <w:start w:val="1"/>
    </w:lvl>
    <w:lvl w:ilvl="2">
      <w:lvlJc w:val="left"/>
      <w:lvlText w:val="(%3)"/>
      <w:numFmt w:val="lowerLetter"/>
      <w:start w:val="8"/>
    </w:lvl>
  </w:abstractNum>
  <w:abstractNum w:abstractNumId="90">
    <w:nsid w:val="175DFCF0"/>
    <w:multiLevelType w:val="hybridMultilevel"/>
    <w:lvl w:ilvl="0">
      <w:lvlJc w:val="left"/>
      <w:lvlText w:val="%1"/>
      <w:numFmt w:val="decimal"/>
      <w:start w:val="1"/>
    </w:lvl>
    <w:lvl w:ilvl="1">
      <w:lvlJc w:val="left"/>
      <w:lvlText w:val="(%2)"/>
      <w:numFmt w:val="lowerLetter"/>
      <w:start w:val="13"/>
    </w:lvl>
  </w:abstractNum>
  <w:abstractNum w:abstractNumId="91">
    <w:nsid w:val="4F97E3E4"/>
    <w:multiLevelType w:val="hybridMultilevel"/>
    <w:lvl w:ilvl="0">
      <w:lvlJc w:val="left"/>
      <w:lvlText w:val="%1."/>
      <w:numFmt w:val="decimal"/>
      <w:start w:val="2"/>
    </w:lvl>
    <w:lvl w:ilvl="1">
      <w:lvlJc w:val="left"/>
      <w:lvlText w:val="(%2)"/>
      <w:numFmt w:val="lowerLetter"/>
      <w:start w:val="1"/>
    </w:lvl>
  </w:abstractNum>
  <w:abstractNum w:abstractNumId="92">
    <w:nsid w:val="53B0A9E"/>
    <w:multiLevelType w:val="hybridMultilevel"/>
    <w:lvl w:ilvl="0">
      <w:lvlJc w:val="left"/>
      <w:lvlText w:val="%1"/>
      <w:numFmt w:val="decimal"/>
      <w:start w:val="1"/>
    </w:lvl>
    <w:lvl w:ilvl="1">
      <w:lvlJc w:val="left"/>
      <w:lvlText w:val="(%2)"/>
      <w:numFmt w:val="lowerLetter"/>
      <w:start w:val="3"/>
    </w:lvl>
  </w:abstractNum>
  <w:abstractNum w:abstractNumId="93">
    <w:nsid w:val="34FD6B4F"/>
    <w:multiLevelType w:val="hybridMultilevel"/>
    <w:lvl w:ilvl="0">
      <w:lvlJc w:val="left"/>
      <w:lvlText w:val="%1."/>
      <w:numFmt w:val="decimal"/>
      <w:start w:val="5"/>
    </w:lvl>
    <w:lvl w:ilvl="1">
      <w:lvlJc w:val="left"/>
      <w:lvlText w:val="(%2)"/>
      <w:numFmt w:val="lowerLetter"/>
      <w:start w:val="1"/>
    </w:lvl>
  </w:abstractNum>
  <w:abstractNum w:abstractNumId="94">
    <w:nsid w:val="5915FF32"/>
    <w:multiLevelType w:val="hybridMultilevel"/>
    <w:lvl w:ilvl="0">
      <w:lvlJc w:val="left"/>
      <w:lvlText w:val="%1."/>
      <w:numFmt w:val="decimal"/>
      <w:start w:val="8"/>
    </w:lvl>
  </w:abstractNum>
  <w:abstractNum w:abstractNumId="95">
    <w:nsid w:val="56438D15"/>
    <w:multiLevelType w:val="hybridMultilevel"/>
    <w:lvl w:ilvl="0">
      <w:lvlJc w:val="left"/>
      <w:lvlText w:val="%1."/>
      <w:numFmt w:val="decimal"/>
      <w:start w:val="14"/>
    </w:lvl>
  </w:abstractNum>
  <w:abstractNum w:abstractNumId="96">
    <w:nsid w:val="519E3149"/>
    <w:multiLevelType w:val="hybridMultilevel"/>
    <w:lvl w:ilvl="0">
      <w:lvlJc w:val="left"/>
      <w:lvlText w:val="%1."/>
      <w:numFmt w:val="decimal"/>
      <w:start w:val="22"/>
    </w:lvl>
  </w:abstractNum>
  <w:abstractNum w:abstractNumId="97">
    <w:nsid w:val="2C6E4AF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8">
    <w:nsid w:val="17A1B582"/>
    <w:multiLevelType w:val="hybridMultilevel"/>
    <w:lvl w:ilvl="0">
      <w:lvlJc w:val="left"/>
      <w:lvlText w:val="(%1)"/>
      <w:numFmt w:val="decimal"/>
      <w:start w:val="90"/>
    </w:lvl>
    <w:lvl w:ilvl="1">
      <w:lvlJc w:val="left"/>
      <w:lvlText w:val="%2"/>
      <w:numFmt w:val="decimal"/>
      <w:start w:val="1"/>
    </w:lvl>
    <w:lvl w:ilvl="2">
      <w:lvlJc w:val="left"/>
      <w:lvlText w:val="(%3)"/>
      <w:numFmt w:val="lowerLetter"/>
      <w:start w:val="7"/>
    </w:lvl>
  </w:abstractNum>
  <w:abstractNum w:abstractNumId="99">
    <w:nsid w:val="4DF72E4E"/>
    <w:multiLevelType w:val="hybridMultilevel"/>
    <w:lvl w:ilvl="0">
      <w:lvlJc w:val="left"/>
      <w:lvlText w:val="(%1)"/>
      <w:numFmt w:val="lowerLetter"/>
      <w:start w:val="13"/>
    </w:lvl>
  </w:abstractNum>
  <w:abstractNum w:abstractNumId="100">
    <w:nsid w:val="5046B5A9"/>
    <w:multiLevelType w:val="hybridMultilevel"/>
    <w:lvl w:ilvl="0">
      <w:lvlJc w:val="left"/>
      <w:lvlText w:val="(%1)"/>
      <w:numFmt w:val="lowerLetter"/>
      <w:start w:val="15"/>
    </w:lvl>
  </w:abstractNum>
  <w:abstractNum w:abstractNumId="101">
    <w:nsid w:val="5D888A08"/>
    <w:multiLevelType w:val="hybridMultilevel"/>
    <w:lvl w:ilvl="0">
      <w:lvlJc w:val="left"/>
      <w:lvlText w:val="%1"/>
      <w:numFmt w:val="decimal"/>
      <w:start w:val="1"/>
    </w:lvl>
    <w:lvl w:ilvl="1">
      <w:lvlJc w:val="left"/>
      <w:lvlText w:val="(%2)"/>
      <w:numFmt w:val="lowerLetter"/>
      <w:start w:val="16"/>
    </w:lvl>
  </w:abstractNum>
  <w:abstractNum w:abstractNumId="102">
    <w:nsid w:val="2A082C70"/>
    <w:multiLevelType w:val="hybridMultilevel"/>
    <w:lvl w:ilvl="0">
      <w:lvlJc w:val="left"/>
      <w:lvlText w:val="%1."/>
      <w:numFmt w:val="decimal"/>
      <w:start w:val="2"/>
    </w:lvl>
    <w:lvl w:ilvl="1">
      <w:lvlJc w:val="left"/>
      <w:lvlText w:val="(%2)"/>
      <w:numFmt w:val="lowerLetter"/>
      <w:start w:val="1"/>
    </w:lvl>
  </w:abstractNum>
  <w:abstractNum w:abstractNumId="103">
    <w:nsid w:val="5EC6AFD4"/>
    <w:multiLevelType w:val="hybridMultilevel"/>
    <w:lvl w:ilvl="0">
      <w:lvlJc w:val="left"/>
      <w:lvlText w:val="%1."/>
      <w:numFmt w:val="decimal"/>
      <w:start w:val="3"/>
    </w:lvl>
    <w:lvl w:ilvl="1">
      <w:lvlJc w:val="left"/>
      <w:lvlText w:val="(%2)"/>
      <w:numFmt w:val="lowerLetter"/>
      <w:start w:val="1"/>
    </w:lvl>
  </w:abstractNum>
  <w:abstractNum w:abstractNumId="104">
    <w:nsid w:val="19E21BB2"/>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105">
    <w:nsid w:val="75E0858A"/>
    <w:multiLevelType w:val="hybridMultilevel"/>
    <w:lvl w:ilvl="0">
      <w:lvlJc w:val="left"/>
      <w:lvlText w:val="%1."/>
      <w:numFmt w:val="decimal"/>
      <w:start w:val="6"/>
    </w:lvl>
    <w:lvl w:ilvl="1">
      <w:lvlJc w:val="left"/>
      <w:lvlText w:val="(%2)"/>
      <w:numFmt w:val="lowerLetter"/>
      <w:start w:val="1"/>
    </w:lvl>
  </w:abstractNum>
  <w:abstractNum w:abstractNumId="106">
    <w:nsid w:val="57A61A29"/>
    <w:multiLevelType w:val="hybridMultilevel"/>
    <w:lvl w:ilvl="0">
      <w:lvlJc w:val="left"/>
      <w:lvlText w:val="%1."/>
      <w:numFmt w:val="decimal"/>
      <w:start w:val="13"/>
    </w:lvl>
  </w:abstractNum>
  <w:abstractNum w:abstractNumId="107">
    <w:nsid w:val="5399C654"/>
    <w:multiLevelType w:val="hybridMultilevel"/>
    <w:lvl w:ilvl="0">
      <w:lvlJc w:val="left"/>
      <w:lvlText w:val="%1."/>
      <w:numFmt w:val="decimal"/>
      <w:start w:val="20"/>
    </w:lvl>
  </w:abstractNum>
  <w:abstractNum w:abstractNumId="108">
    <w:nsid w:val="20EE13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9">
    <w:nsid w:val="4427069A"/>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4"/>
    </w:lvl>
  </w:abstractNum>
  <w:abstractNum w:abstractNumId="110">
    <w:nsid w:val="B37E80A"/>
    <w:multiLevelType w:val="hybridMultilevel"/>
    <w:lvl w:ilvl="0">
      <w:lvlJc w:val="left"/>
      <w:lvlText w:val="(%1)"/>
      <w:numFmt w:val="lowerLetter"/>
      <w:start w:val="13"/>
    </w:lvl>
  </w:abstractNum>
  <w:abstractNum w:abstractNumId="111">
    <w:nsid w:val="2157F6BC"/>
    <w:multiLevelType w:val="hybridMultilevel"/>
    <w:lvl w:ilvl="0">
      <w:lvlJc w:val="left"/>
      <w:lvlText w:val="(%1)"/>
      <w:numFmt w:val="lowerLetter"/>
      <w:start w:val="15"/>
    </w:lvl>
  </w:abstractNum>
  <w:abstractNum w:abstractNumId="112">
    <w:nsid w:val="704E1DD5"/>
    <w:multiLevelType w:val="hybridMultilevel"/>
    <w:lvl w:ilvl="0">
      <w:lvlJc w:val="left"/>
      <w:lvlText w:val="%1"/>
      <w:numFmt w:val="decimal"/>
      <w:start w:val="1"/>
    </w:lvl>
    <w:lvl w:ilvl="1">
      <w:lvlJc w:val="left"/>
      <w:lvlText w:val="(%2)"/>
      <w:numFmt w:val="lowerLetter"/>
      <w:start w:val="16"/>
    </w:lvl>
  </w:abstractNum>
  <w:abstractNum w:abstractNumId="113">
    <w:nsid w:val="57D2F10E"/>
    <w:multiLevelType w:val="hybridMultilevel"/>
    <w:lvl w:ilvl="0">
      <w:lvlJc w:val="left"/>
      <w:lvlText w:val="%1."/>
      <w:numFmt w:val="decimal"/>
      <w:start w:val="2"/>
    </w:lvl>
    <w:lvl w:ilvl="1">
      <w:lvlJc w:val="left"/>
      <w:lvlText w:val="(%2)"/>
      <w:numFmt w:val="lowerLetter"/>
      <w:start w:val="1"/>
    </w:lvl>
  </w:abstractNum>
  <w:abstractNum w:abstractNumId="114">
    <w:nsid w:val="BFFAE18"/>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15">
    <w:nsid w:val="E3E47A8"/>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16">
    <w:nsid w:val="2E48F044"/>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17">
    <w:nsid w:val="49D0FEAC"/>
    <w:multiLevelType w:val="hybridMultilevel"/>
    <w:lvl w:ilvl="0">
      <w:lvlJc w:val="left"/>
      <w:lvlText w:val="%1."/>
      <w:numFmt w:val="decimal"/>
      <w:start w:val="9"/>
    </w:lvl>
    <w:lvl w:ilvl="1">
      <w:lvlJc w:val="left"/>
      <w:lvlText w:val="(%2)"/>
      <w:numFmt w:val="lowerLetter"/>
      <w:start w:val="1"/>
    </w:lvl>
  </w:abstractNum>
  <w:abstractNum w:abstractNumId="118">
    <w:nsid w:val="4BEE5A5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9">
    <w:nsid w:val="5551B9F3"/>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4"/>
    </w:lvl>
  </w:abstractNum>
  <w:abstractNum w:abstractNumId="120">
    <w:nsid w:val="24F6AB8E"/>
    <w:multiLevelType w:val="hybridMultilevel"/>
    <w:lvl w:ilvl="0">
      <w:lvlJc w:val="left"/>
      <w:lvlText w:val="(%1)"/>
      <w:numFmt w:val="lowerLetter"/>
      <w:start w:val="13"/>
    </w:lvl>
  </w:abstractNum>
  <w:abstractNum w:abstractNumId="121">
    <w:nsid w:val="634C574C"/>
    <w:multiLevelType w:val="hybridMultilevel"/>
    <w:lvl w:ilvl="0">
      <w:lvlJc w:val="left"/>
      <w:lvlText w:val="(%1)"/>
      <w:numFmt w:val="lowerLetter"/>
      <w:start w:val="15"/>
    </w:lvl>
  </w:abstractNum>
  <w:abstractNum w:abstractNumId="122">
    <w:nsid w:val="24E99DD7"/>
    <w:multiLevelType w:val="hybridMultilevel"/>
    <w:lvl w:ilvl="0">
      <w:lvlJc w:val="left"/>
      <w:lvlText w:val="%1"/>
      <w:numFmt w:val="decimal"/>
      <w:start w:val="1"/>
    </w:lvl>
    <w:lvl w:ilvl="1">
      <w:lvlJc w:val="left"/>
      <w:lvlText w:val="(%2)"/>
      <w:numFmt w:val="lowerLetter"/>
      <w:start w:val="16"/>
    </w:lvl>
  </w:abstractNum>
  <w:abstractNum w:abstractNumId="123">
    <w:nsid w:val="2A31B62D"/>
    <w:multiLevelType w:val="hybridMultilevel"/>
    <w:lvl w:ilvl="0">
      <w:lvlJc w:val="left"/>
      <w:lvlText w:val="%1."/>
      <w:numFmt w:val="decimal"/>
      <w:start w:val="2"/>
    </w:lvl>
    <w:lvl w:ilvl="1">
      <w:lvlJc w:val="left"/>
      <w:lvlText w:val="(%2)"/>
      <w:numFmt w:val="lowerLetter"/>
      <w:start w:val="1"/>
    </w:lvl>
  </w:abstractNum>
  <w:abstractNum w:abstractNumId="124">
    <w:nsid w:val="1849C29B"/>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25">
    <w:nsid w:val="7DFF9D09"/>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26">
    <w:nsid w:val="754342"/>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27">
    <w:nsid w:val="69E7F3E5"/>
    <w:multiLevelType w:val="hybridMultilevel"/>
    <w:lvl w:ilvl="0">
      <w:lvlJc w:val="left"/>
      <w:lvlText w:val="%1."/>
      <w:numFmt w:val="decimal"/>
      <w:start w:val="9"/>
    </w:lvl>
    <w:lvl w:ilvl="1">
      <w:lvlJc w:val="left"/>
      <w:lvlText w:val="(%2)"/>
      <w:numFmt w:val="lowerLetter"/>
      <w:start w:val="1"/>
    </w:lvl>
  </w:abstractNum>
  <w:abstractNum w:abstractNumId="128">
    <w:nsid w:val="2A6DE806"/>
    <w:multiLevelType w:val="hybridMultilevel"/>
    <w:lvl w:ilvl="0">
      <w:lvlJc w:val="left"/>
      <w:lvlText w:val="(%1)"/>
      <w:numFmt w:val="lowerLetter"/>
      <w:start w:val="1"/>
    </w:lvl>
  </w:abstractNum>
  <w:abstractNum w:abstractNumId="129">
    <w:nsid w:val="1816F8C4"/>
    <w:multiLevelType w:val="hybridMultilevel"/>
    <w:lvl w:ilvl="0">
      <w:lvlJc w:val="left"/>
      <w:lvlText w:val="%1."/>
      <w:numFmt w:val="decimal"/>
      <w:start w:val="1"/>
    </w:lvl>
    <w:lvl w:ilvl="1">
      <w:lvlJc w:val="left"/>
      <w:lvlText w:val="(%2)"/>
      <w:numFmt w:val="lowerLetter"/>
      <w:start w:val="1"/>
    </w:lvl>
  </w:abstractNum>
  <w:abstractNum w:abstractNumId="130">
    <w:nsid w:val="37DF2233"/>
    <w:multiLevelType w:val="hybridMultilevel"/>
    <w:lvl w:ilvl="0">
      <w:lvlJc w:val="left"/>
      <w:lvlText w:val="(%1)"/>
      <w:numFmt w:val="lowerLetter"/>
      <w:start w:val="13"/>
    </w:lvl>
  </w:abstractNum>
  <w:abstractNum w:abstractNumId="131">
    <w:nsid w:val="7AB49DAF"/>
    <w:multiLevelType w:val="hybridMultilevel"/>
    <w:lvl w:ilvl="0">
      <w:lvlJc w:val="left"/>
      <w:lvlText w:val="(%1)"/>
      <w:numFmt w:val="lowerLetter"/>
      <w:start w:val="15"/>
    </w:lvl>
  </w:abstractNum>
  <w:abstractNum w:abstractNumId="132">
    <w:nsid w:val="759F82CD"/>
    <w:multiLevelType w:val="hybridMultilevel"/>
    <w:lvl w:ilvl="0">
      <w:lvlJc w:val="left"/>
      <w:lvlText w:val="%1"/>
      <w:numFmt w:val="decimal"/>
      <w:start w:val="1"/>
    </w:lvl>
    <w:lvl w:ilvl="1">
      <w:lvlJc w:val="left"/>
      <w:lvlText w:val="(%2)"/>
      <w:numFmt w:val="lowerLetter"/>
      <w:start w:val="16"/>
    </w:lvl>
  </w:abstractNum>
  <w:abstractNum w:abstractNumId="133">
    <w:nsid w:val="61E74EA3"/>
    <w:multiLevelType w:val="hybridMultilevel"/>
    <w:lvl w:ilvl="0">
      <w:lvlJc w:val="left"/>
      <w:lvlText w:val="%1."/>
      <w:numFmt w:val="decimal"/>
      <w:start w:val="2"/>
    </w:lvl>
    <w:lvl w:ilvl="1">
      <w:lvlJc w:val="left"/>
      <w:lvlText w:val="(%2)"/>
      <w:numFmt w:val="lowerLetter"/>
      <w:start w:val="1"/>
    </w:lvl>
  </w:abstractNum>
  <w:abstractNum w:abstractNumId="134">
    <w:nsid w:val="597B4D84"/>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35">
    <w:nsid w:val="F819E7F"/>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136">
    <w:nsid w:val="57C7D42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37">
    <w:nsid w:val="312167AD"/>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38">
    <w:nsid w:val="631B64D4"/>
    <w:multiLevelType w:val="hybridMultilevel"/>
    <w:lvl w:ilvl="0">
      <w:lvlJc w:val="left"/>
      <w:lvlText w:val="%1."/>
      <w:numFmt w:val="decimal"/>
      <w:start w:val="10"/>
    </w:lvl>
  </w:abstractNum>
  <w:abstractNum w:abstractNumId="139">
    <w:nsid w:val="78B5E776"/>
    <w:multiLevelType w:val="hybridMultilevel"/>
    <w:lvl w:ilvl="0">
      <w:lvlJc w:val="left"/>
      <w:lvlText w:val="%1."/>
      <w:numFmt w:val="decimal"/>
      <w:start w:val="16"/>
    </w:lvl>
  </w:abstractNum>
  <w:abstractNum w:abstractNumId="140">
    <w:nsid w:val="75486E47"/>
    <w:multiLevelType w:val="hybridMultilevel"/>
    <w:lvl w:ilvl="0">
      <w:lvlJc w:val="left"/>
      <w:lvlText w:val="1"/>
      <w:numFmt w:val="bullet"/>
      <w:start w:val="1"/>
    </w:lvl>
  </w:abstractNum>
  <w:abstractNum w:abstractNumId="141">
    <w:nsid w:val="6E534CDE"/>
    <w:multiLevelType w:val="hybridMultilevel"/>
    <w:lvl w:ilvl="0">
      <w:lvlJc w:val="left"/>
      <w:lvlText w:val="2"/>
      <w:numFmt w:val="bullet"/>
      <w:start w:val="1"/>
    </w:lvl>
  </w:abstractNum>
  <w:abstractNum w:abstractNumId="142">
    <w:nsid w:val="1A0DDE32"/>
    <w:multiLevelType w:val="hybridMultilevel"/>
    <w:lvl w:ilvl="0">
      <w:lvlJc w:val="left"/>
      <w:lvlText w:val="•"/>
      <w:numFmt w:val="bullet"/>
      <w:start w:val="1"/>
    </w:lvl>
  </w:abstractNum>
  <w:abstractNum w:abstractNumId="143">
    <w:nsid w:val="65968C1C"/>
    <w:multiLevelType w:val="hybridMultilevel"/>
    <w:lvl w:ilvl="0">
      <w:lvlJc w:val="left"/>
      <w:lvlText w:val="•"/>
      <w:numFmt w:val="bullet"/>
      <w:start w:val="1"/>
    </w:lvl>
  </w:abstractNum>
  <w:abstractNum w:abstractNumId="144">
    <w:nsid w:val="46263DEC"/>
    <w:multiLevelType w:val="hybridMultilevel"/>
    <w:lvl w:ilvl="0">
      <w:lvlJc w:val="left"/>
      <w:lvlText w:val="•"/>
      <w:numFmt w:val="bullet"/>
      <w:start w:val="1"/>
    </w:lvl>
  </w:abstractNum>
  <w:abstractNum w:abstractNumId="145">
    <w:nsid w:val="260D8C4A"/>
    <w:multiLevelType w:val="hybridMultilevel"/>
    <w:lvl w:ilvl="0">
      <w:lvlJc w:val="left"/>
      <w:lvlText w:val="•"/>
      <w:numFmt w:val="bullet"/>
      <w:start w:val="1"/>
    </w:lvl>
  </w:abstractNum>
  <w:abstractNum w:abstractNumId="146">
    <w:nsid w:val="73D4D3C4"/>
    <w:multiLevelType w:val="hybridMultilevel"/>
    <w:lvl w:ilvl="0">
      <w:lvlJc w:val="left"/>
      <w:lvlText w:val="•"/>
      <w:numFmt w:val="bullet"/>
      <w:start w:val="1"/>
    </w:lvl>
  </w:abstractNum>
  <w:abstractNum w:abstractNumId="147">
    <w:nsid w:val="746F2E30"/>
    <w:multiLevelType w:val="hybridMultilevel"/>
    <w:lvl w:ilvl="0">
      <w:lvlJc w:val="left"/>
      <w:lvlText w:val="•"/>
      <w:numFmt w:val="bullet"/>
      <w:start w:val="1"/>
    </w:lvl>
  </w:abstractNum>
  <w:abstractNum w:abstractNumId="148">
    <w:nsid w:val="6FDE8AF6"/>
    <w:multiLevelType w:val="hybridMultilevel"/>
    <w:lvl w:ilvl="0">
      <w:lvlJc w:val="left"/>
      <w:lvlText w:val="%1."/>
      <w:numFmt w:val="decimal"/>
      <w:start w:val="1"/>
    </w:lvl>
  </w:abstractNum>
  <w:abstractNum w:abstractNumId="149">
    <w:nsid w:val="3FC32E20"/>
    <w:multiLevelType w:val="hybridMultilevel"/>
    <w:lvl w:ilvl="0">
      <w:lvlJc w:val="left"/>
      <w:lvlText w:val="3"/>
      <w:numFmt w:val="bullet"/>
      <w:start w:val="1"/>
    </w:lvl>
  </w:abstractNum>
  <w:abstractNum w:abstractNumId="150">
    <w:nsid w:val="49C0E823"/>
    <w:multiLevelType w:val="hybridMultilevel"/>
    <w:lvl w:ilvl="0">
      <w:lvlJc w:val="left"/>
      <w:lvlText w:val="4"/>
      <w:numFmt w:val="bullet"/>
      <w:start w:val="1"/>
    </w:lvl>
  </w:abstractNum>
  <w:abstractNum w:abstractNumId="151">
    <w:nsid w:val="14D53685"/>
    <w:multiLevelType w:val="hybridMultilevel"/>
    <w:lvl w:ilvl="0">
      <w:lvlJc w:val="left"/>
      <w:lvlText w:val="%1."/>
      <w:numFmt w:val="decimal"/>
      <w:start w:val="2"/>
    </w:lvl>
  </w:abstractNum>
  <w:abstractNum w:abstractNumId="152">
    <w:nsid w:val="230F856C"/>
    <w:multiLevelType w:val="hybridMultilevel"/>
    <w:lvl w:ilvl="0">
      <w:lvlJc w:val="left"/>
      <w:lvlText w:val="%1."/>
      <w:numFmt w:val="decimal"/>
      <w:start w:val="1"/>
    </w:lvl>
    <w:lvl w:ilvl="1">
      <w:lvlJc w:val="left"/>
      <w:lvlText w:val="(%2)"/>
      <w:numFmt w:val="lowerLetter"/>
      <w:start w:val="1"/>
    </w:lvl>
  </w:abstractNum>
  <w:abstractNum w:abstractNumId="153">
    <w:nsid w:val="6EAA85FB"/>
    <w:multiLevelType w:val="hybridMultilevel"/>
    <w:lvl w:ilvl="0">
      <w:lvlJc w:val="left"/>
      <w:lvlText w:val="%1."/>
      <w:numFmt w:val="decimal"/>
      <w:start w:val="1"/>
    </w:lvl>
    <w:lvl w:ilvl="1">
      <w:lvlJc w:val="left"/>
      <w:lvlText w:val="(%2)"/>
      <w:numFmt w:val="lowerLetter"/>
      <w:start w:val="1"/>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7"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94" Type="http://schemas.openxmlformats.org/officeDocument/2006/relationships/hyperlink" Target="https://www.sec.gov/Archives/edgar/data/2067876/000095010326000080/dp239186_ex0201.htm" TargetMode="External"/><Relationship Id="rId95" Type="http://schemas.openxmlformats.org/officeDocument/2006/relationships/hyperlink" Target="https://www.sec.gov/Archives/edgar/data/2067876/000095010326000080/dp239186_ex0301.htm" TargetMode="External"/><Relationship Id="rId96" Type="http://schemas.openxmlformats.org/officeDocument/2006/relationships/hyperlink" Target="https://www.sec.gov/Archives/edgar/data/2067876/000095010326000080/dp239186_ex0302.htm" TargetMode="External"/><Relationship Id="rId97" Type="http://schemas.openxmlformats.org/officeDocument/2006/relationships/hyperlink" Target="https://www.sec.gov/Archives/edgar/data/2067876/000119312525260634/d894612dex1011.htm" TargetMode="External"/><Relationship Id="rId98" Type="http://schemas.openxmlformats.org/officeDocument/2006/relationships/hyperlink" Target="https://www.sec.gov/Archives/edgar/data/2067876/000095010326000080/dp239186_ex0401.htm" TargetMode="External"/><Relationship Id="rId99" Type="http://schemas.openxmlformats.org/officeDocument/2006/relationships/hyperlink" Target="https://www.sec.gov/Archives/edgar/data/2067876/000095010326000080/dp239186_ex1001.htm" TargetMode="External"/><Relationship Id="rId100" Type="http://schemas.openxmlformats.org/officeDocument/2006/relationships/hyperlink" Target="https://www.sec.gov/Archives/edgar/data/2067876/000095010326000080/dp239186_ex1002.htm" TargetMode="External"/><Relationship Id="rId101" Type="http://schemas.openxmlformats.org/officeDocument/2006/relationships/hyperlink" Target="https://www.sec.gov/Archives/edgar/data/2067876/000095010326000080/dp239186_ex1003.htm" TargetMode="External"/><Relationship Id="rId102" Type="http://schemas.openxmlformats.org/officeDocument/2006/relationships/hyperlink" Target="https://www.sec.gov/Archives/edgar/data/2067876/000095010326000338/dp239799_ex9901.htm" TargetMode="External"/><Relationship Id="rId103" Type="http://schemas.openxmlformats.org/officeDocument/2006/relationships/hyperlink" Target="https://www.sec.gov/Archives/edgar/data/2067876/000119312525207527/d894612dex105.htm" TargetMode="External"/><Relationship Id="rId104" Type="http://schemas.openxmlformats.org/officeDocument/2006/relationships/hyperlink" Target="https://www.sec.gov/Archives/edgar/data/2067876/000119312525260634/d894612dex106.htm" TargetMode="External"/><Relationship Id="rId105" Type="http://schemas.openxmlformats.org/officeDocument/2006/relationships/hyperlink" Target="https://www.sec.gov/Archives/edgar/data/2067876/000119312525260634/d894612dex107.htm" TargetMode="External"/><Relationship Id="rId106" Type="http://schemas.openxmlformats.org/officeDocument/2006/relationships/hyperlink" Target="https://www.sec.gov/Archives/edgar/data/2067876/000119312525260634/d894612dex108.htm" TargetMode="External"/><Relationship Id="rId108" Type="http://schemas.openxmlformats.org/officeDocument/2006/relationships/hyperlink" Target="https://www.sec.gov/Archives/edgar/data/2067876/000119312525260634/d894612dex109.htm" TargetMode="External"/><Relationship Id="rId109" Type="http://schemas.openxmlformats.org/officeDocument/2006/relationships/hyperlink" Target="https://www.sec.gov/Archives/edgar/data/2067876/000095010326000080/dp239186_ex10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2026-03-03T16:15:49Z</dcterms:created>
  <dcterms:modified xsi:type="dcterms:W3CDTF">2026-03-03T16:15:49Z</dcterms:modified>
</cp:coreProperties>
</file>