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831850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791845</wp:posOffset>
            </wp:positionV>
            <wp:extent cx="71780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34290"/>
                    </a:xfrm>
                    <a:prstGeom prst="rect">
                      <a:avLst/>
                    </a:prstGeom>
                    <a:noFill/>
                  </pic:spPr>
                </pic:pic>
              </a:graphicData>
            </a:graphic>
          </wp:anchor>
        </w:drawing>
      </w: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2"/>
          <w:szCs w:val="12"/>
          <w:color w:val="auto"/>
        </w:rPr>
        <w:t>Date of report (Date of earliest event reported): November 3, 2026</w:t>
      </w:r>
    </w:p>
    <w:p>
      <w:pPr>
        <w:spacing w:after="0" w:line="166"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7"/>
          <w:szCs w:val="17"/>
          <w:b w:val="1"/>
          <w:bCs w:val="1"/>
          <w:color w:val="auto"/>
        </w:rPr>
        <w:t>Versant Media Group, Inc.</w:t>
      </w:r>
    </w:p>
    <w:p>
      <w:pPr>
        <w:spacing w:after="0" w:line="10" w:lineRule="exact"/>
        <w:rPr>
          <w:sz w:val="24"/>
          <w:szCs w:val="24"/>
          <w:color w:val="auto"/>
        </w:rPr>
      </w:pPr>
    </w:p>
    <w:p>
      <w:pPr>
        <w:ind w:left="5168"/>
        <w:spacing w:after="0"/>
        <w:rPr>
          <w:sz w:val="20"/>
          <w:szCs w:val="20"/>
          <w:color w:val="auto"/>
        </w:rPr>
      </w:pPr>
      <w:r>
        <w:rPr>
          <w:rFonts w:ascii="Times New Roman" w:cs="Times New Roman" w:eastAsia="Times New Roman" w:hAnsi="Times New Roman"/>
          <w:sz w:val="10"/>
          <w:szCs w:val="10"/>
          <w:color w:val="auto"/>
        </w:rPr>
        <w:t>(Exact name of registrant</w:t>
      </w:r>
    </w:p>
    <w:p>
      <w:pPr>
        <w:ind w:left="5168"/>
        <w:spacing w:after="0" w:line="236" w:lineRule="auto"/>
        <w:rPr>
          <w:sz w:val="20"/>
          <w:szCs w:val="20"/>
          <w:color w:val="auto"/>
        </w:rPr>
      </w:pPr>
      <w:r>
        <w:rPr>
          <w:rFonts w:ascii="Times New Roman" w:cs="Times New Roman" w:eastAsia="Times New Roman" w:hAnsi="Times New Roman"/>
          <w:sz w:val="10"/>
          <w:szCs w:val="10"/>
          <w:color w:val="auto"/>
        </w:rPr>
        <w:t>as specified in its charter)</w:t>
      </w:r>
    </w:p>
    <w:p>
      <w:pPr>
        <w:spacing w:after="0" w:line="111" w:lineRule="exact"/>
        <w:rPr>
          <w:sz w:val="24"/>
          <w:szCs w:val="24"/>
          <w:color w:val="auto"/>
        </w:rPr>
      </w:pPr>
    </w:p>
    <w:tbl>
      <w:tblPr>
        <w:tblLayout w:type="fixed"/>
        <w:tblInd w:w="968" w:type="dxa"/>
        <w:tblCellMar>
          <w:top w:w="0" w:type="dxa"/>
          <w:left w:w="0" w:type="dxa"/>
          <w:bottom w:w="0" w:type="dxa"/>
          <w:right w:w="0" w:type="dxa"/>
        </w:tblCellMar>
      </w:tblPr>
      <w:tr>
        <w:trPr>
          <w:trHeight w:val="153"/>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2"/>
                <w:szCs w:val="12"/>
                <w:b w:val="1"/>
                <w:bCs w:val="1"/>
                <w:color w:val="auto"/>
                <w:w w:val="99"/>
              </w:rPr>
              <w:t>Pennsylvania</w:t>
            </w:r>
          </w:p>
        </w:tc>
        <w:tc>
          <w:tcPr>
            <w:tcW w:w="3620" w:type="dxa"/>
            <w:vAlign w:val="bottom"/>
          </w:tcPr>
          <w:p>
            <w:pPr>
              <w:jc w:val="right"/>
              <w:ind w:right="1546"/>
              <w:spacing w:after="0"/>
              <w:rPr>
                <w:sz w:val="20"/>
                <w:szCs w:val="20"/>
                <w:color w:val="auto"/>
              </w:rPr>
            </w:pPr>
            <w:r>
              <w:rPr>
                <w:rFonts w:ascii="Times New Roman" w:cs="Times New Roman" w:eastAsia="Times New Roman" w:hAnsi="Times New Roman"/>
                <w:sz w:val="12"/>
                <w:szCs w:val="12"/>
                <w:b w:val="1"/>
                <w:bCs w:val="1"/>
                <w:color w:val="auto"/>
              </w:rPr>
              <w:t>001-42856</w:t>
            </w:r>
          </w:p>
        </w:tc>
        <w:tc>
          <w:tcPr>
            <w:tcW w:w="2640" w:type="dxa"/>
            <w:vAlign w:val="bottom"/>
          </w:tcPr>
          <w:p>
            <w:pPr>
              <w:jc w:val="right"/>
              <w:ind w:right="306"/>
              <w:spacing w:after="0"/>
              <w:rPr>
                <w:sz w:val="20"/>
                <w:szCs w:val="20"/>
                <w:color w:val="auto"/>
              </w:rPr>
            </w:pPr>
            <w:r>
              <w:rPr>
                <w:rFonts w:ascii="Times New Roman" w:cs="Times New Roman" w:eastAsia="Times New Roman" w:hAnsi="Times New Roman"/>
                <w:sz w:val="12"/>
                <w:szCs w:val="12"/>
                <w:b w:val="1"/>
                <w:bCs w:val="1"/>
                <w:color w:val="auto"/>
              </w:rPr>
              <w:t>39-2087186</w:t>
            </w:r>
          </w:p>
        </w:tc>
      </w:tr>
      <w:tr>
        <w:trPr>
          <w:trHeight w:val="123"/>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0"/>
                <w:szCs w:val="10"/>
                <w:color w:val="auto"/>
                <w:w w:val="95"/>
              </w:rPr>
              <w:t>(State or other jurisdiction of incorporation)</w:t>
            </w:r>
          </w:p>
        </w:tc>
        <w:tc>
          <w:tcPr>
            <w:tcW w:w="3620" w:type="dxa"/>
            <w:vAlign w:val="bottom"/>
          </w:tcPr>
          <w:p>
            <w:pPr>
              <w:jc w:val="center"/>
              <w:ind w:right="66"/>
              <w:spacing w:after="0"/>
              <w:rPr>
                <w:sz w:val="20"/>
                <w:szCs w:val="20"/>
                <w:color w:val="auto"/>
              </w:rPr>
            </w:pPr>
            <w:r>
              <w:rPr>
                <w:rFonts w:ascii="Times New Roman" w:cs="Times New Roman" w:eastAsia="Times New Roman" w:hAnsi="Times New Roman"/>
                <w:sz w:val="10"/>
                <w:szCs w:val="10"/>
                <w:color w:val="auto"/>
                <w:w w:val="95"/>
              </w:rPr>
              <w:t>(Commission File Number)</w:t>
            </w:r>
          </w:p>
        </w:tc>
        <w:tc>
          <w:tcPr>
            <w:tcW w:w="2640" w:type="dxa"/>
            <w:vAlign w:val="bottom"/>
          </w:tcPr>
          <w:p>
            <w:pPr>
              <w:jc w:val="center"/>
              <w:ind w:left="1266"/>
              <w:spacing w:after="0"/>
              <w:rPr>
                <w:sz w:val="20"/>
                <w:szCs w:val="20"/>
                <w:color w:val="auto"/>
              </w:rPr>
            </w:pPr>
            <w:r>
              <w:rPr>
                <w:rFonts w:ascii="Times New Roman" w:cs="Times New Roman" w:eastAsia="Times New Roman" w:hAnsi="Times New Roman"/>
                <w:sz w:val="10"/>
                <w:szCs w:val="10"/>
                <w:color w:val="auto"/>
                <w:w w:val="95"/>
              </w:rPr>
              <w:t>(IRS Employer Identification No.)</w:t>
            </w:r>
          </w:p>
        </w:tc>
      </w:tr>
      <w:tr>
        <w:trPr>
          <w:trHeight w:val="236"/>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2"/>
                <w:szCs w:val="12"/>
                <w:b w:val="1"/>
                <w:bCs w:val="1"/>
                <w:color w:val="auto"/>
              </w:rPr>
              <w:t>229 West 43rd Street</w:t>
            </w:r>
          </w:p>
        </w:tc>
        <w:tc>
          <w:tcPr>
            <w:tcW w:w="36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153"/>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2"/>
                <w:szCs w:val="12"/>
                <w:b w:val="1"/>
                <w:bCs w:val="1"/>
                <w:color w:val="auto"/>
              </w:rPr>
              <w:t>New York, NY</w:t>
            </w:r>
          </w:p>
        </w:tc>
        <w:tc>
          <w:tcPr>
            <w:tcW w:w="3620" w:type="dxa"/>
            <w:vAlign w:val="bottom"/>
          </w:tcPr>
          <w:p>
            <w:pPr>
              <w:spacing w:after="0"/>
              <w:rPr>
                <w:sz w:val="13"/>
                <w:szCs w:val="13"/>
                <w:color w:val="auto"/>
              </w:rPr>
            </w:pPr>
          </w:p>
        </w:tc>
        <w:tc>
          <w:tcPr>
            <w:tcW w:w="2640" w:type="dxa"/>
            <w:vAlign w:val="bottom"/>
          </w:tcPr>
          <w:p>
            <w:pPr>
              <w:jc w:val="right"/>
              <w:ind w:right="446"/>
              <w:spacing w:after="0"/>
              <w:rPr>
                <w:sz w:val="20"/>
                <w:szCs w:val="20"/>
                <w:color w:val="auto"/>
              </w:rPr>
            </w:pPr>
            <w:r>
              <w:rPr>
                <w:rFonts w:ascii="Times New Roman" w:cs="Times New Roman" w:eastAsia="Times New Roman" w:hAnsi="Times New Roman"/>
                <w:sz w:val="12"/>
                <w:szCs w:val="12"/>
                <w:b w:val="1"/>
                <w:bCs w:val="1"/>
                <w:color w:val="auto"/>
              </w:rPr>
              <w:t>10036</w:t>
            </w:r>
          </w:p>
        </w:tc>
      </w:tr>
      <w:tr>
        <w:trPr>
          <w:trHeight w:val="123"/>
        </w:trPr>
        <w:tc>
          <w:tcPr>
            <w:tcW w:w="2920" w:type="dxa"/>
            <w:vAlign w:val="bottom"/>
          </w:tcPr>
          <w:p>
            <w:pPr>
              <w:jc w:val="center"/>
              <w:ind w:right="1185"/>
              <w:spacing w:after="0"/>
              <w:rPr>
                <w:sz w:val="20"/>
                <w:szCs w:val="20"/>
                <w:color w:val="auto"/>
              </w:rPr>
            </w:pPr>
            <w:r>
              <w:rPr>
                <w:rFonts w:ascii="Times New Roman" w:cs="Times New Roman" w:eastAsia="Times New Roman" w:hAnsi="Times New Roman"/>
                <w:sz w:val="10"/>
                <w:szCs w:val="10"/>
                <w:color w:val="auto"/>
                <w:w w:val="95"/>
              </w:rPr>
              <w:t>(Address of principal executive offices)</w:t>
            </w:r>
          </w:p>
        </w:tc>
        <w:tc>
          <w:tcPr>
            <w:tcW w:w="3620" w:type="dxa"/>
            <w:vAlign w:val="bottom"/>
          </w:tcPr>
          <w:p>
            <w:pPr>
              <w:spacing w:after="0"/>
              <w:rPr>
                <w:sz w:val="10"/>
                <w:szCs w:val="10"/>
                <w:color w:val="auto"/>
              </w:rPr>
            </w:pPr>
          </w:p>
        </w:tc>
        <w:tc>
          <w:tcPr>
            <w:tcW w:w="2640" w:type="dxa"/>
            <w:vAlign w:val="bottom"/>
          </w:tcPr>
          <w:p>
            <w:pPr>
              <w:jc w:val="center"/>
              <w:ind w:left="1286"/>
              <w:spacing w:after="0"/>
              <w:rPr>
                <w:sz w:val="20"/>
                <w:szCs w:val="20"/>
                <w:color w:val="auto"/>
              </w:rPr>
            </w:pPr>
            <w:r>
              <w:rPr>
                <w:rFonts w:ascii="Times New Roman" w:cs="Times New Roman" w:eastAsia="Times New Roman" w:hAnsi="Times New Roman"/>
                <w:sz w:val="10"/>
                <w:szCs w:val="10"/>
                <w:color w:val="auto"/>
                <w:w w:val="94"/>
              </w:rPr>
              <w:t>(Zip Code)</w:t>
            </w:r>
          </w:p>
        </w:tc>
      </w:tr>
    </w:tbl>
    <w:p>
      <w:pPr>
        <w:spacing w:after="0" w:line="218" w:lineRule="exact"/>
        <w:rPr>
          <w:sz w:val="24"/>
          <w:szCs w:val="24"/>
          <w:color w:val="auto"/>
        </w:rPr>
      </w:pPr>
    </w:p>
    <w:p>
      <w:pPr>
        <w:jc w:val="center"/>
        <w:ind w:right="-207"/>
        <w:spacing w:after="0"/>
        <w:rPr>
          <w:sz w:val="20"/>
          <w:szCs w:val="20"/>
          <w:color w:val="auto"/>
        </w:rPr>
      </w:pPr>
      <w:r>
        <w:rPr>
          <w:rFonts w:ascii="Times New Roman" w:cs="Times New Roman" w:eastAsia="Times New Roman" w:hAnsi="Times New Roman"/>
          <w:sz w:val="10"/>
          <w:szCs w:val="10"/>
          <w:color w:val="auto"/>
        </w:rPr>
        <w:t xml:space="preserve">Registrant’s telephone number, including area code: </w:t>
      </w:r>
      <w:r>
        <w:rPr>
          <w:rFonts w:ascii="Times New Roman" w:cs="Times New Roman" w:eastAsia="Times New Roman" w:hAnsi="Times New Roman"/>
          <w:sz w:val="11"/>
          <w:szCs w:val="11"/>
          <w:b w:val="1"/>
          <w:bCs w:val="1"/>
          <w:color w:val="auto"/>
        </w:rPr>
        <w:t>(646) 832-1000</w:t>
      </w:r>
    </w:p>
    <w:p>
      <w:pPr>
        <w:spacing w:after="0" w:line="126" w:lineRule="exact"/>
        <w:rPr>
          <w:sz w:val="24"/>
          <w:szCs w:val="24"/>
          <w:color w:val="auto"/>
        </w:rPr>
      </w:pPr>
    </w:p>
    <w:p>
      <w:pPr>
        <w:ind w:left="4468"/>
        <w:spacing w:after="0"/>
        <w:rPr>
          <w:sz w:val="20"/>
          <w:szCs w:val="20"/>
          <w:color w:val="auto"/>
        </w:rPr>
      </w:pPr>
      <w:r>
        <w:rPr>
          <w:rFonts w:ascii="Times New Roman" w:cs="Times New Roman" w:eastAsia="Times New Roman" w:hAnsi="Times New Roman"/>
          <w:sz w:val="10"/>
          <w:szCs w:val="10"/>
          <w:color w:val="auto"/>
        </w:rPr>
        <w:t>(Former name or former address, if changed since last report)</w:t>
      </w:r>
    </w:p>
    <w:p>
      <w:pPr>
        <w:spacing w:after="0" w:line="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0"/>
          <w:szCs w:val="10"/>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188" w:hanging="188"/>
        <w:spacing w:after="0"/>
        <w:tabs>
          <w:tab w:leader="none" w:pos="188"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Written communications pursuant to Rule 425 under the Securities Act (17 CFR 230.425)</w:t>
      </w:r>
    </w:p>
    <w:p>
      <w:pPr>
        <w:spacing w:after="0" w:line="47" w:lineRule="exact"/>
        <w:rPr>
          <w:rFonts w:ascii="MS PGothic" w:cs="MS PGothic" w:eastAsia="MS PGothic" w:hAnsi="MS PGothic"/>
          <w:sz w:val="10"/>
          <w:szCs w:val="10"/>
          <w:color w:val="auto"/>
        </w:rPr>
      </w:pPr>
    </w:p>
    <w:p>
      <w:pPr>
        <w:ind w:left="188" w:hanging="188"/>
        <w:spacing w:after="0"/>
        <w:tabs>
          <w:tab w:leader="none" w:pos="188"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Soliciting material pursuant to Rule 14a-12 under the Exchange Act (17 CFR 240.14a-12)</w:t>
      </w:r>
    </w:p>
    <w:p>
      <w:pPr>
        <w:spacing w:after="0" w:line="47" w:lineRule="exact"/>
        <w:rPr>
          <w:rFonts w:ascii="MS PGothic" w:cs="MS PGothic" w:eastAsia="MS PGothic" w:hAnsi="MS PGothic"/>
          <w:sz w:val="10"/>
          <w:szCs w:val="10"/>
          <w:color w:val="auto"/>
        </w:rPr>
      </w:pPr>
    </w:p>
    <w:p>
      <w:pPr>
        <w:ind w:left="188" w:hanging="188"/>
        <w:spacing w:after="0"/>
        <w:tabs>
          <w:tab w:leader="none" w:pos="188"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Pre-commencement communications pursuant to Rule 14d-2(b) under the Exchange Act (17 CFR 240.14d-2(b))</w:t>
      </w:r>
    </w:p>
    <w:p>
      <w:pPr>
        <w:spacing w:after="0" w:line="38" w:lineRule="exact"/>
        <w:rPr>
          <w:rFonts w:ascii="MS PGothic" w:cs="MS PGothic" w:eastAsia="MS PGothic" w:hAnsi="MS PGothic"/>
          <w:sz w:val="10"/>
          <w:szCs w:val="10"/>
          <w:color w:val="auto"/>
        </w:rPr>
      </w:pPr>
    </w:p>
    <w:p>
      <w:pPr>
        <w:ind w:left="188" w:hanging="188"/>
        <w:spacing w:after="0"/>
        <w:tabs>
          <w:tab w:leader="none" w:pos="188"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Pre-commencement communications pursuant to Rule 13e-4(c) under the Exchange Act (17 CFR 240.13e-4(c))</w:t>
      </w:r>
    </w:p>
    <w:p>
      <w:pPr>
        <w:spacing w:after="0" w:line="29" w:lineRule="exact"/>
        <w:rPr>
          <w:sz w:val="24"/>
          <w:szCs w:val="24"/>
          <w:color w:val="auto"/>
        </w:rPr>
      </w:pPr>
    </w:p>
    <w:tbl>
      <w:tblPr>
        <w:tblLayout w:type="fixed"/>
        <w:tblInd w:w="208" w:type="dxa"/>
        <w:tblCellMar>
          <w:top w:w="0" w:type="dxa"/>
          <w:left w:w="0" w:type="dxa"/>
          <w:bottom w:w="0" w:type="dxa"/>
          <w:right w:w="0" w:type="dxa"/>
        </w:tblCellMar>
      </w:tblPr>
      <w:tr>
        <w:trPr>
          <w:trHeight w:val="123"/>
        </w:trPr>
        <w:tc>
          <w:tcPr>
            <w:tcW w:w="3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tc>
        <w:tc>
          <w:tcPr>
            <w:tcW w:w="3220" w:type="dxa"/>
            <w:vAlign w:val="bottom"/>
          </w:tcPr>
          <w:p>
            <w:pPr>
              <w:spacing w:after="0"/>
              <w:rPr>
                <w:sz w:val="10"/>
                <w:szCs w:val="10"/>
                <w:color w:val="auto"/>
              </w:rPr>
            </w:pPr>
          </w:p>
        </w:tc>
        <w:tc>
          <w:tcPr>
            <w:tcW w:w="3860" w:type="dxa"/>
            <w:vAlign w:val="bottom"/>
          </w:tcPr>
          <w:p>
            <w:pPr>
              <w:spacing w:after="0"/>
              <w:rPr>
                <w:sz w:val="10"/>
                <w:szCs w:val="10"/>
                <w:color w:val="auto"/>
              </w:rPr>
            </w:pPr>
          </w:p>
        </w:tc>
      </w:tr>
      <w:tr>
        <w:trPr>
          <w:trHeight w:val="143"/>
        </w:trPr>
        <w:tc>
          <w:tcPr>
            <w:tcW w:w="38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32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4"/>
              </w:rPr>
              <w:t>Trading Symbol(s)</w:t>
            </w:r>
          </w:p>
        </w:tc>
        <w:tc>
          <w:tcPr>
            <w:tcW w:w="386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r>
      <w:tr>
        <w:trPr>
          <w:trHeight w:val="121"/>
        </w:trPr>
        <w:tc>
          <w:tcPr>
            <w:tcW w:w="3800" w:type="dxa"/>
            <w:vAlign w:val="bottom"/>
          </w:tcPr>
          <w:p>
            <w:pPr>
              <w:jc w:val="center"/>
              <w:ind w:right="212"/>
              <w:spacing w:after="0"/>
              <w:rPr>
                <w:sz w:val="20"/>
                <w:szCs w:val="20"/>
                <w:color w:val="auto"/>
              </w:rPr>
            </w:pPr>
            <w:r>
              <w:rPr>
                <w:rFonts w:ascii="Times New Roman" w:cs="Times New Roman" w:eastAsia="Times New Roman" w:hAnsi="Times New Roman"/>
                <w:sz w:val="10"/>
                <w:szCs w:val="10"/>
                <w:color w:val="auto"/>
                <w:w w:val="96"/>
              </w:rPr>
              <w:t>Class A Common Stock, $0.01 par value</w:t>
            </w:r>
          </w:p>
        </w:tc>
        <w:tc>
          <w:tcPr>
            <w:tcW w:w="3220" w:type="dxa"/>
            <w:vAlign w:val="bottom"/>
          </w:tcPr>
          <w:p>
            <w:pPr>
              <w:jc w:val="center"/>
              <w:ind w:left="12"/>
              <w:spacing w:after="0"/>
              <w:rPr>
                <w:sz w:val="20"/>
                <w:szCs w:val="20"/>
                <w:color w:val="auto"/>
              </w:rPr>
            </w:pPr>
            <w:r>
              <w:rPr>
                <w:rFonts w:ascii="Times New Roman" w:cs="Times New Roman" w:eastAsia="Times New Roman" w:hAnsi="Times New Roman"/>
                <w:sz w:val="10"/>
                <w:szCs w:val="10"/>
                <w:color w:val="auto"/>
                <w:w w:val="91"/>
              </w:rPr>
              <w:t>VSNT</w:t>
            </w:r>
          </w:p>
        </w:tc>
        <w:tc>
          <w:tcPr>
            <w:tcW w:w="3860" w:type="dxa"/>
            <w:vAlign w:val="bottom"/>
          </w:tcPr>
          <w:p>
            <w:pPr>
              <w:jc w:val="center"/>
              <w:ind w:left="272"/>
              <w:spacing w:after="0"/>
              <w:rPr>
                <w:sz w:val="20"/>
                <w:szCs w:val="20"/>
                <w:color w:val="auto"/>
              </w:rPr>
            </w:pPr>
            <w:r>
              <w:rPr>
                <w:rFonts w:ascii="Times New Roman" w:cs="Times New Roman" w:eastAsia="Times New Roman" w:hAnsi="Times New Roman"/>
                <w:sz w:val="10"/>
                <w:szCs w:val="10"/>
                <w:color w:val="auto"/>
                <w:w w:val="96"/>
              </w:rPr>
              <w:t>The Nasdaq Stock Market LLC</w:t>
            </w:r>
          </w:p>
        </w:tc>
      </w:tr>
    </w:tbl>
    <w:p>
      <w:pPr>
        <w:spacing w:after="0" w:line="6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
        <w:spacing w:after="0" w:line="115" w:lineRule="exact"/>
        <w:rPr>
          <w:sz w:val="20"/>
          <w:szCs w:val="20"/>
          <w:color w:val="auto"/>
        </w:rPr>
      </w:pPr>
      <w:r>
        <w:rPr>
          <w:rFonts w:ascii="Times New Roman" w:cs="Times New Roman" w:eastAsia="Times New Roman" w:hAnsi="Times New Roman"/>
          <w:sz w:val="10"/>
          <w:szCs w:val="10"/>
          <w:color w:val="auto"/>
        </w:rPr>
        <w:t xml:space="preserve">Emerging growth company </w:t>
      </w:r>
      <w:r>
        <w:rPr>
          <w:rFonts w:ascii="MS PGothic" w:cs="MS PGothic" w:eastAsia="MS PGothic" w:hAnsi="MS PGothic"/>
          <w:sz w:val="10"/>
          <w:szCs w:val="10"/>
          <w:color w:val="auto"/>
        </w:rPr>
        <w:t>☐</w:t>
      </w:r>
    </w:p>
    <w:p>
      <w:pPr>
        <w:spacing w:after="0" w:line="173" w:lineRule="exact"/>
        <w:rPr>
          <w:sz w:val="24"/>
          <w:szCs w:val="24"/>
          <w:color w:val="auto"/>
        </w:rPr>
      </w:pPr>
    </w:p>
    <w:p>
      <w:pPr>
        <w:ind w:left="8"/>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1005840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275590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235585</wp:posOffset>
            </wp:positionV>
            <wp:extent cx="717804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34290"/>
                    </a:xfrm>
                    <a:prstGeom prst="rect">
                      <a:avLst/>
                    </a:prstGeom>
                    <a:noFill/>
                  </pic:spPr>
                </pic:pic>
              </a:graphicData>
            </a:graphic>
          </wp:anchor>
        </w:drawing>
      </w:r>
    </w:p>
    <w:p>
      <w:pPr>
        <w:sectPr>
          <w:pgSz w:w="11900" w:h="16838" w:orient="portrait"/>
          <w:cols w:equalWidth="0" w:num="1">
            <w:col w:w="11088"/>
          </w:cols>
          <w:pgMar w:left="292" w:top="1440"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45"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2"/>
          <w:szCs w:val="12"/>
          <w:color w:val="auto"/>
        </w:rPr>
        <w:t>On November 3, 2026, Versant Media Group, Inc (“Versant”) issued a press release reporting its financial results and the results of its operations for the quarter ended September 30, 2026. A copy of the press release is furnished as Exhibit 99.1 to this Current Report on Form 8-K and is incorporated herein by reference.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2"/>
          <w:szCs w:val="12"/>
          <w:color w:val="auto"/>
        </w:rPr>
        <w:t>In addition, Versant also posted certain supplemental financial information on its website. A copy of this supplemental financial information is furnished as Exhibit 99.2 to this Current Report on Form 8-K and is incorporated herein by reference.</w:t>
      </w:r>
    </w:p>
    <w:p>
      <w:pPr>
        <w:spacing w:after="0" w:line="12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2"/>
          <w:szCs w:val="12"/>
          <w:color w:val="auto"/>
        </w:rPr>
        <w:t>The information being furnished pursuant to Item 2.02, including Exhibit 99.1, and Item 7.01, including Exhibit 99.2, of this Current Report on Form 8-K shall not be deemed to be “filed” for purposes of Section 18 of the Securities Exchange Act of 1934, as amended (the “Exchange Act”), or otherwise be subject to the liability of that section, and shall not be incorporated by reference into any other document filed under the Securities Act of 1933, as amended, or the Exchange Act, except as shall be expressly set forth by specific reference in such filing.</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300" w:type="dxa"/>
            <w:vAlign w:val="bottom"/>
            <w:gridSpan w:val="10"/>
          </w:tcPr>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7"/>
              </w:rPr>
              <w:t>Description</w:t>
            </w:r>
          </w:p>
        </w:tc>
        <w:tc>
          <w:tcPr>
            <w:tcW w:w="952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1</w:t>
            </w:r>
          </w:p>
        </w:tc>
        <w:tc>
          <w:tcPr>
            <w:tcW w:w="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95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Third Quarter 2026 Earnings Press Release dated November 3, 2026</w:t>
            </w:r>
          </w:p>
        </w:tc>
        <w:tc>
          <w:tcPr>
            <w:tcW w:w="6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Supplemental Financial Information</w:t>
            </w:r>
          </w:p>
        </w:tc>
        <w:tc>
          <w:tcPr>
            <w:tcW w:w="0" w:type="dxa"/>
            <w:vAlign w:val="bottom"/>
          </w:tcPr>
          <w:p>
            <w:pPr>
              <w:spacing w:after="0"/>
              <w:rPr>
                <w:sz w:val="1"/>
                <w:szCs w:val="1"/>
                <w:color w:val="auto"/>
              </w:rPr>
            </w:pPr>
          </w:p>
        </w:tc>
      </w:tr>
      <w:tr>
        <w:trPr>
          <w:trHeight w:val="20"/>
        </w:trPr>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104</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161"/>
        </w:trPr>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51"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7560" w:type="dxa"/>
            <w:vAlign w:val="bottom"/>
            <w:gridSpan w:val="2"/>
          </w:tcPr>
          <w:p>
            <w:pPr>
              <w:ind w:left="1880"/>
              <w:spacing w:after="0"/>
              <w:rPr>
                <w:sz w:val="20"/>
                <w:szCs w:val="20"/>
                <w:color w:val="auto"/>
              </w:rPr>
            </w:pPr>
            <w:r>
              <w:rPr>
                <w:rFonts w:ascii="Times New Roman" w:cs="Times New Roman" w:eastAsia="Times New Roman" w:hAnsi="Times New Roman"/>
                <w:sz w:val="12"/>
                <w:szCs w:val="12"/>
                <w:b w:val="1"/>
                <w:bCs w:val="1"/>
                <w:color w:val="auto"/>
              </w:rPr>
              <w:t>VERSANT MEDIA GROUP, INC</w:t>
            </w:r>
          </w:p>
        </w:tc>
      </w:tr>
      <w:tr>
        <w:trPr>
          <w:trHeight w:val="180"/>
        </w:trPr>
        <w:tc>
          <w:tcPr>
            <w:tcW w:w="62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312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November 3, 2026</w:t>
            </w:r>
          </w:p>
        </w:tc>
        <w:tc>
          <w:tcPr>
            <w:tcW w:w="28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Anand M. Kini</w:t>
            </w:r>
          </w:p>
        </w:tc>
      </w:tr>
      <w:tr>
        <w:trPr>
          <w:trHeight w:val="140"/>
        </w:trPr>
        <w:tc>
          <w:tcPr>
            <w:tcW w:w="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840" w:type="dxa"/>
            <w:vAlign w:val="bottom"/>
          </w:tcPr>
          <w:p>
            <w:pPr>
              <w:ind w:left="1880"/>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Anand M. Kini</w:t>
            </w:r>
          </w:p>
        </w:tc>
      </w:tr>
      <w:tr>
        <w:trPr>
          <w:trHeight w:val="155"/>
        </w:trPr>
        <w:tc>
          <w:tcPr>
            <w:tcW w:w="6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84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and Chief Operating Officer</w:t>
            </w:r>
          </w:p>
        </w:tc>
      </w:tr>
    </w:tbl>
    <w:p>
      <w:pPr>
        <w:sectPr>
          <w:pgSz w:w="11900" w:h="16838" w:orient="portrait"/>
          <w:cols w:equalWidth="0" w:num="1">
            <w:col w:w="11300"/>
          </w:cols>
          <w:pgMar w:left="300" w:top="989" w:right="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2294255</wp:posOffset>
            </wp:positionH>
            <wp:positionV relativeFrom="page">
              <wp:posOffset>660400</wp:posOffset>
            </wp:positionV>
            <wp:extent cx="3000375" cy="491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000375" cy="4914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67"/>
        <w:spacing w:after="0"/>
        <w:rPr>
          <w:sz w:val="20"/>
          <w:szCs w:val="20"/>
          <w:color w:val="auto"/>
        </w:rPr>
      </w:pPr>
      <w:r>
        <w:rPr>
          <w:rFonts w:ascii="Arial" w:cs="Arial" w:eastAsia="Arial" w:hAnsi="Arial"/>
          <w:sz w:val="18"/>
          <w:szCs w:val="18"/>
          <w:b w:val="1"/>
          <w:bCs w:val="1"/>
          <w:color w:val="auto"/>
        </w:rPr>
        <w:t>Versant Media Reports Third Quarter 2026 Operating and Financial Results</w:t>
      </w:r>
    </w:p>
    <w:p>
      <w:pPr>
        <w:spacing w:after="0" w:line="294" w:lineRule="exact"/>
        <w:rPr>
          <w:sz w:val="20"/>
          <w:szCs w:val="20"/>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Revenue of $1.59 Billion</w:t>
      </w:r>
    </w:p>
    <w:p>
      <w:pPr>
        <w:spacing w:after="0" w:line="78" w:lineRule="exact"/>
        <w:rPr>
          <w:rFonts w:ascii="Arial" w:cs="Arial" w:eastAsia="Arial" w:hAnsi="Arial"/>
          <w:sz w:val="12"/>
          <w:szCs w:val="12"/>
          <w:b w:val="1"/>
          <w:bCs w:val="1"/>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Net Income Attributable to Versant of $47 Million</w:t>
      </w:r>
    </w:p>
    <w:p>
      <w:pPr>
        <w:spacing w:after="0" w:line="75" w:lineRule="exact"/>
        <w:rPr>
          <w:rFonts w:ascii="Arial" w:cs="Arial" w:eastAsia="Arial" w:hAnsi="Arial"/>
          <w:sz w:val="12"/>
          <w:szCs w:val="12"/>
          <w:b w:val="1"/>
          <w:bCs w:val="1"/>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Adjusted EBITDA of $353 Million</w:t>
      </w:r>
      <w:r>
        <w:rPr>
          <w:rFonts w:ascii="Arial" w:cs="Arial" w:eastAsia="Arial" w:hAnsi="Arial"/>
          <w:sz w:val="15"/>
          <w:szCs w:val="15"/>
          <w:b w:val="1"/>
          <w:bCs w:val="1"/>
          <w:color w:val="auto"/>
          <w:vertAlign w:val="superscript"/>
        </w:rPr>
        <w:t>1</w:t>
      </w:r>
    </w:p>
    <w:p>
      <w:pPr>
        <w:spacing w:after="0" w:line="46" w:lineRule="exact"/>
        <w:rPr>
          <w:rFonts w:ascii="Arial" w:cs="Arial" w:eastAsia="Arial" w:hAnsi="Arial"/>
          <w:sz w:val="12"/>
          <w:szCs w:val="12"/>
          <w:b w:val="1"/>
          <w:bCs w:val="1"/>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Declared Fourth Quarterly Cash Dividend of $0.375 Per Share</w:t>
      </w:r>
    </w:p>
    <w:p>
      <w:pPr>
        <w:spacing w:after="0" w:line="78" w:lineRule="exact"/>
        <w:rPr>
          <w:rFonts w:ascii="Arial" w:cs="Arial" w:eastAsia="Arial" w:hAnsi="Arial"/>
          <w:sz w:val="12"/>
          <w:szCs w:val="12"/>
          <w:b w:val="1"/>
          <w:bCs w:val="1"/>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Completed $100 Million Accelerated Share Repurchase (ASR) Transaction</w:t>
      </w:r>
    </w:p>
    <w:p>
      <w:pPr>
        <w:spacing w:after="0" w:line="78" w:lineRule="exact"/>
        <w:rPr>
          <w:rFonts w:ascii="Arial" w:cs="Arial" w:eastAsia="Arial" w:hAnsi="Arial"/>
          <w:sz w:val="12"/>
          <w:szCs w:val="12"/>
          <w:b w:val="1"/>
          <w:bCs w:val="1"/>
          <w:color w:val="auto"/>
        </w:rPr>
      </w:pPr>
    </w:p>
    <w:p>
      <w:pPr>
        <w:ind w:left="428" w:hanging="212"/>
        <w:spacing w:after="0"/>
        <w:tabs>
          <w:tab w:leader="none" w:pos="42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Announced an Additional Planned $100 Million ASR in the Fourth Quarter of 2026</w:t>
      </w:r>
    </w:p>
    <w:p>
      <w:pPr>
        <w:spacing w:after="0" w:line="204" w:lineRule="exact"/>
        <w:rPr>
          <w:sz w:val="20"/>
          <w:szCs w:val="20"/>
          <w:color w:val="auto"/>
        </w:rPr>
      </w:pPr>
    </w:p>
    <w:p>
      <w:pPr>
        <w:ind w:left="8" w:right="120"/>
        <w:spacing w:after="0" w:line="348" w:lineRule="auto"/>
        <w:rPr>
          <w:sz w:val="20"/>
          <w:szCs w:val="20"/>
          <w:color w:val="auto"/>
        </w:rPr>
      </w:pPr>
      <w:r>
        <w:rPr>
          <w:rFonts w:ascii="Arial" w:cs="Arial" w:eastAsia="Arial" w:hAnsi="Arial"/>
          <w:sz w:val="12"/>
          <w:szCs w:val="12"/>
          <w:b w:val="1"/>
          <w:bCs w:val="1"/>
          <w:color w:val="auto"/>
        </w:rPr>
        <w:t xml:space="preserve">NEW YORK, NY – November 3, 2026. </w:t>
      </w:r>
      <w:r>
        <w:rPr>
          <w:rFonts w:ascii="Arial" w:cs="Arial" w:eastAsia="Arial" w:hAnsi="Arial"/>
          <w:sz w:val="12"/>
          <w:szCs w:val="12"/>
          <w:color w:val="auto"/>
        </w:rPr>
        <w:t>Versant Media Group, Inc. (Nasdaq: VSNT) (the “Company”) today reported operating and financial results for the third quarter of 2026, highlighted by strong performance</w:t>
      </w:r>
      <w:r>
        <w:rPr>
          <w:rFonts w:ascii="Arial" w:cs="Arial" w:eastAsia="Arial" w:hAnsi="Arial"/>
          <w:sz w:val="12"/>
          <w:szCs w:val="12"/>
          <w:b w:val="1"/>
          <w:bCs w:val="1"/>
          <w:color w:val="auto"/>
        </w:rPr>
        <w:t xml:space="preserve"> </w:t>
      </w:r>
      <w:r>
        <w:rPr>
          <w:rFonts w:ascii="Arial" w:cs="Arial" w:eastAsia="Arial" w:hAnsi="Arial"/>
          <w:sz w:val="12"/>
          <w:szCs w:val="12"/>
          <w:color w:val="auto"/>
        </w:rPr>
        <w:t>across its businesses, including favorable network audience trends, double-digit Platforms revenue growth and significant cash flow generation.</w:t>
      </w:r>
    </w:p>
    <w:p>
      <w:pPr>
        <w:spacing w:after="0" w:line="122" w:lineRule="exact"/>
        <w:rPr>
          <w:sz w:val="20"/>
          <w:szCs w:val="20"/>
          <w:color w:val="auto"/>
        </w:rPr>
      </w:pPr>
    </w:p>
    <w:p>
      <w:pPr>
        <w:ind w:left="8" w:right="80"/>
        <w:spacing w:after="0" w:line="371" w:lineRule="auto"/>
        <w:rPr>
          <w:sz w:val="20"/>
          <w:szCs w:val="20"/>
          <w:color w:val="auto"/>
        </w:rPr>
      </w:pPr>
      <w:r>
        <w:rPr>
          <w:rFonts w:ascii="Arial" w:cs="Arial" w:eastAsia="Arial" w:hAnsi="Arial"/>
          <w:sz w:val="11"/>
          <w:szCs w:val="11"/>
          <w:color w:val="auto"/>
        </w:rPr>
        <w:t>“Versant’s momentum continues, with audience growth and the completion of all planned pay television distribution renewals for the year, underscoring the value and enduring appeal of our brands,” said Mark Lazarus, Chief Executive Officer. “In the third quarter, we advanced Fandango’s evolution into a comprehensive entertainment platform, integrated Full Swing into our golf ecosystem, and launched MS NOW Membership to connect directly with our audiences. We’re building deeper consumer relationships, expanding our reach and creating new opportunities for growth and monetization across our four core markets.”</w:t>
      </w:r>
    </w:p>
    <w:p>
      <w:pPr>
        <w:spacing w:after="0" w:line="115" w:lineRule="exact"/>
        <w:rPr>
          <w:sz w:val="20"/>
          <w:szCs w:val="20"/>
          <w:color w:val="auto"/>
        </w:rPr>
      </w:pPr>
    </w:p>
    <w:p>
      <w:pPr>
        <w:ind w:left="8"/>
        <w:spacing w:after="0" w:line="300" w:lineRule="auto"/>
        <w:rPr>
          <w:sz w:val="20"/>
          <w:szCs w:val="20"/>
          <w:color w:val="auto"/>
        </w:rPr>
      </w:pPr>
      <w:r>
        <w:rPr>
          <w:rFonts w:ascii="Arial" w:cs="Arial" w:eastAsia="Arial" w:hAnsi="Arial"/>
          <w:sz w:val="12"/>
          <w:szCs w:val="12"/>
          <w:color w:val="auto"/>
        </w:rPr>
        <w:t>“Our third quarter performance demonstrates the financial discipline and flexibility that underpins Versant’s strategy,” said Anand Kini, Chief Financial Officer and Chief Operating Officer. “We delivered strong Platforms revenue, continued operating efficiencies and significant cash flow. Looking ahead, we are reaffirming our full-year revenue and Adjusted EBITDA</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outlook, and we expect Free Cash Flow</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to exceed our prior $1.0 to $1.2 billion forecast. We believe that our ability to invest in growth, maintain a healthy balance sheet, and return capital to shareholders is a distinct advantage. With $457 million already returned to shareholders to date, this morning’s announcement of an additional planned $100 million ASR, along with the declaration of our quarterly dividend, underscores our commitment to delivering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150876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8760" cy="5715"/>
                    </a:xfrm>
                    <a:prstGeom prst="rect">
                      <a:avLst/>
                    </a:prstGeom>
                    <a:noFill/>
                  </pic:spPr>
                </pic:pic>
              </a:graphicData>
            </a:graphic>
          </wp:anchor>
        </w:drawing>
      </w:r>
    </w:p>
    <w:p>
      <w:pPr>
        <w:spacing w:after="0" w:line="335" w:lineRule="exact"/>
        <w:rPr>
          <w:sz w:val="20"/>
          <w:szCs w:val="20"/>
          <w:color w:val="auto"/>
        </w:rPr>
      </w:pPr>
    </w:p>
    <w:p>
      <w:pPr>
        <w:ind w:left="8" w:right="100" w:hanging="8"/>
        <w:spacing w:after="0" w:line="186" w:lineRule="auto"/>
        <w:tabs>
          <w:tab w:leader="none" w:pos="96" w:val="left"/>
        </w:tabs>
        <w:numPr>
          <w:ilvl w:val="0"/>
          <w:numId w:val="3"/>
        </w:numPr>
        <w:rPr>
          <w:rFonts w:ascii="Arial" w:cs="Arial" w:eastAsia="Arial" w:hAnsi="Arial"/>
          <w:sz w:val="17"/>
          <w:szCs w:val="17"/>
          <w:color w:val="auto"/>
          <w:vertAlign w:val="superscript"/>
        </w:rPr>
      </w:pPr>
      <w:r>
        <w:rPr>
          <w:rFonts w:ascii="Arial" w:cs="Arial" w:eastAsia="Arial" w:hAnsi="Arial"/>
          <w:sz w:val="9"/>
          <w:szCs w:val="9"/>
          <w:color w:val="auto"/>
        </w:rPr>
        <w:t>Adjusted EBITDA and Free Cash Flow are non-GAAP financial measures. Further information and reconciliations to the most comparable GAAP measures, as well as explanations as to why reconciliations are not provided for forward-looking information, can be found under Table 4 below.</w:t>
      </w:r>
    </w:p>
    <w:p>
      <w:pPr>
        <w:sectPr>
          <w:pgSz w:w="11900" w:h="16838" w:orient="portrait"/>
          <w:cols w:equalWidth="0" w:num="1">
            <w:col w:w="11248"/>
          </w:cols>
          <w:pgMar w:left="292" w:top="1440" w:right="359" w:bottom="1440" w:gutter="0" w:footer="0" w:header="0"/>
        </w:sectPr>
      </w:pPr>
    </w:p>
    <w:bookmarkStart w:id="4" w:name="page5"/>
    <w:bookmarkEnd w:id="4"/>
    <w:p>
      <w:pPr>
        <w:jc w:val="both"/>
        <w:ind w:right="180"/>
        <w:spacing w:after="0" w:line="323" w:lineRule="auto"/>
        <w:rPr>
          <w:sz w:val="20"/>
          <w:szCs w:val="20"/>
          <w:color w:val="auto"/>
        </w:rPr>
      </w:pPr>
      <w:r>
        <w:rPr>
          <w:rFonts w:ascii="Arial" w:cs="Arial" w:eastAsia="Arial" w:hAnsi="Arial"/>
          <w:sz w:val="12"/>
          <w:szCs w:val="12"/>
          <w:b w:val="1"/>
          <w:bCs w:val="1"/>
          <w:color w:val="auto"/>
        </w:rPr>
        <w:t xml:space="preserve">Business Highlights: </w:t>
      </w:r>
      <w:r>
        <w:rPr>
          <w:rFonts w:ascii="Arial" w:cs="Arial" w:eastAsia="Arial" w:hAnsi="Arial"/>
          <w:sz w:val="12"/>
          <w:szCs w:val="12"/>
          <w:color w:val="auto"/>
        </w:rPr>
        <w:t>In the third quarter of 2026, Versant’s networks reached more than 120 million viewers monthly, while aggregate viewership grew double digits year over year. The Company expanded its</w:t>
      </w:r>
      <w:r>
        <w:rPr>
          <w:rFonts w:ascii="Arial" w:cs="Arial" w:eastAsia="Arial" w:hAnsi="Arial"/>
          <w:sz w:val="12"/>
          <w:szCs w:val="12"/>
          <w:b w:val="1"/>
          <w:bCs w:val="1"/>
          <w:color w:val="auto"/>
        </w:rPr>
        <w:t xml:space="preserve"> </w:t>
      </w:r>
      <w:r>
        <w:rPr>
          <w:rFonts w:ascii="Arial" w:cs="Arial" w:eastAsia="Arial" w:hAnsi="Arial"/>
          <w:sz w:val="12"/>
          <w:szCs w:val="12"/>
          <w:color w:val="auto"/>
        </w:rPr>
        <w:t>digital offerings, launching MS NOW Membership and advancing development of CNBC’s direct-to-consumer platform. Fandango recorded significant growth across ticketing, with home entertainment sales and Fandango1 also contributing to third-quarter performance, while the Company continued to expand its golf ecosystem with the addition of Full Swing.</w:t>
      </w:r>
    </w:p>
    <w:p>
      <w:pPr>
        <w:spacing w:after="0" w:line="127" w:lineRule="exact"/>
        <w:rPr>
          <w:sz w:val="20"/>
          <w:szCs w:val="20"/>
          <w:color w:val="auto"/>
        </w:rPr>
      </w:pPr>
    </w:p>
    <w:p>
      <w:pPr>
        <w:jc w:val="both"/>
        <w:ind w:right="380"/>
        <w:spacing w:after="0" w:line="323" w:lineRule="auto"/>
        <w:rPr>
          <w:sz w:val="20"/>
          <w:szCs w:val="20"/>
          <w:color w:val="auto"/>
        </w:rPr>
      </w:pPr>
      <w:r>
        <w:rPr>
          <w:rFonts w:ascii="Arial" w:cs="Arial" w:eastAsia="Arial" w:hAnsi="Arial"/>
          <w:sz w:val="12"/>
          <w:szCs w:val="12"/>
          <w:b w:val="1"/>
          <w:bCs w:val="1"/>
          <w:color w:val="auto"/>
        </w:rPr>
        <w:t xml:space="preserve">Business News and Personal Finance: </w:t>
      </w:r>
      <w:r>
        <w:rPr>
          <w:rFonts w:ascii="Arial" w:cs="Arial" w:eastAsia="Arial" w:hAnsi="Arial"/>
          <w:sz w:val="12"/>
          <w:szCs w:val="12"/>
          <w:color w:val="auto"/>
        </w:rPr>
        <w:t>CNBC reinforced its position as the leading global business news brand, ranking among the top 10 most-watched cable networks during market hours for the eighth</w:t>
      </w:r>
      <w:r>
        <w:rPr>
          <w:rFonts w:ascii="Arial" w:cs="Arial" w:eastAsia="Arial" w:hAnsi="Arial"/>
          <w:sz w:val="12"/>
          <w:szCs w:val="12"/>
          <w:b w:val="1"/>
          <w:bCs w:val="1"/>
          <w:color w:val="auto"/>
        </w:rPr>
        <w:t xml:space="preserve"> </w:t>
      </w:r>
      <w:r>
        <w:rPr>
          <w:rFonts w:ascii="Arial" w:cs="Arial" w:eastAsia="Arial" w:hAnsi="Arial"/>
          <w:sz w:val="12"/>
          <w:szCs w:val="12"/>
          <w:color w:val="auto"/>
        </w:rPr>
        <w:t>consecutive month across key demographics. The network remained the destination for CEOs and business leaders to share their perspectives on the issues shaping markets and the economy. CNBC also advanced plans to launch its new digital offering early next year.</w:t>
      </w:r>
    </w:p>
    <w:p>
      <w:pPr>
        <w:spacing w:after="0" w:line="127" w:lineRule="exact"/>
        <w:rPr>
          <w:sz w:val="20"/>
          <w:szCs w:val="20"/>
          <w:color w:val="auto"/>
        </w:rPr>
      </w:pPr>
    </w:p>
    <w:p>
      <w:pPr>
        <w:spacing w:after="0" w:line="363" w:lineRule="auto"/>
        <w:rPr>
          <w:sz w:val="20"/>
          <w:szCs w:val="20"/>
          <w:color w:val="auto"/>
        </w:rPr>
      </w:pPr>
      <w:r>
        <w:rPr>
          <w:rFonts w:ascii="Arial" w:cs="Arial" w:eastAsia="Arial" w:hAnsi="Arial"/>
          <w:sz w:val="11"/>
          <w:szCs w:val="11"/>
          <w:b w:val="1"/>
          <w:bCs w:val="1"/>
          <w:color w:val="auto"/>
        </w:rPr>
        <w:t xml:space="preserve">Political News and Opinion: </w:t>
      </w:r>
      <w:r>
        <w:rPr>
          <w:rFonts w:ascii="Arial" w:cs="Arial" w:eastAsia="Arial" w:hAnsi="Arial"/>
          <w:sz w:val="11"/>
          <w:szCs w:val="11"/>
          <w:color w:val="auto"/>
        </w:rPr>
        <w:t>MS NOW delivered double-digit year-over-year viewership growth across key demographics, ranking as the second-most-watched cable network during the quarter and recording its</w:t>
      </w:r>
      <w:r>
        <w:rPr>
          <w:rFonts w:ascii="Arial" w:cs="Arial" w:eastAsia="Arial" w:hAnsi="Arial"/>
          <w:sz w:val="11"/>
          <w:szCs w:val="11"/>
          <w:b w:val="1"/>
          <w:bCs w:val="1"/>
          <w:color w:val="auto"/>
        </w:rPr>
        <w:t xml:space="preserve"> </w:t>
      </w:r>
      <w:r>
        <w:rPr>
          <w:rFonts w:ascii="Arial" w:cs="Arial" w:eastAsia="Arial" w:hAnsi="Arial"/>
          <w:sz w:val="11"/>
          <w:szCs w:val="11"/>
          <w:color w:val="auto"/>
        </w:rPr>
        <w:t>eleventh consecutive month of audience growth in September. Digital engagement remained healthy, with MS NOW ranking as the No. 1 news organization on YouTube during the quarter and generating more than 105 million podcast downloads year to date. The network also launched its direct-to-consumer membership platform ahead of the midterm elections, creating new ways to engage audiences beyond television.</w:t>
      </w:r>
    </w:p>
    <w:p>
      <w:pPr>
        <w:spacing w:after="0" w:line="110" w:lineRule="exact"/>
        <w:rPr>
          <w:sz w:val="20"/>
          <w:szCs w:val="20"/>
          <w:color w:val="auto"/>
        </w:rPr>
      </w:pPr>
    </w:p>
    <w:p>
      <w:pPr>
        <w:jc w:val="both"/>
        <w:ind w:right="140"/>
        <w:spacing w:after="0" w:line="330" w:lineRule="auto"/>
        <w:rPr>
          <w:sz w:val="20"/>
          <w:szCs w:val="20"/>
          <w:color w:val="auto"/>
        </w:rPr>
      </w:pPr>
      <w:r>
        <w:rPr>
          <w:rFonts w:ascii="Arial" w:cs="Arial" w:eastAsia="Arial" w:hAnsi="Arial"/>
          <w:sz w:val="12"/>
          <w:szCs w:val="12"/>
          <w:b w:val="1"/>
          <w:bCs w:val="1"/>
          <w:color w:val="auto"/>
        </w:rPr>
        <w:t xml:space="preserve">Golf: </w:t>
      </w:r>
      <w:r>
        <w:rPr>
          <w:rFonts w:ascii="Arial" w:cs="Arial" w:eastAsia="Arial" w:hAnsi="Arial"/>
          <w:sz w:val="12"/>
          <w:szCs w:val="12"/>
          <w:color w:val="auto"/>
        </w:rPr>
        <w:t>Golf Channel continued to build on its leadership position in the third quarter, delivering its most-watched PGA TOUR season since 2018. Audience reach, time spent viewing and viewing frequency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PGA TOUR on Golf Channel all increased year over year, reflecting solid demand for premium live golf and the continued strength of the Golf Channel brand. Versant continued to integrate Full Swing into its golf ecosystem during the quarter, creating more ways to engage golfers across consumer and commercial markets.</w:t>
      </w:r>
    </w:p>
    <w:p>
      <w:pPr>
        <w:spacing w:after="0" w:line="133" w:lineRule="exact"/>
        <w:rPr>
          <w:sz w:val="20"/>
          <w:szCs w:val="20"/>
          <w:color w:val="auto"/>
        </w:rPr>
      </w:pPr>
    </w:p>
    <w:p>
      <w:pPr>
        <w:ind w:right="40"/>
        <w:spacing w:after="0" w:line="402" w:lineRule="auto"/>
        <w:rPr>
          <w:sz w:val="20"/>
          <w:szCs w:val="20"/>
          <w:color w:val="auto"/>
        </w:rPr>
      </w:pPr>
      <w:r>
        <w:rPr>
          <w:rFonts w:ascii="Arial" w:cs="Arial" w:eastAsia="Arial" w:hAnsi="Arial"/>
          <w:sz w:val="11"/>
          <w:szCs w:val="11"/>
          <w:b w:val="1"/>
          <w:bCs w:val="1"/>
          <w:color w:val="auto"/>
        </w:rPr>
        <w:t xml:space="preserve">Sports and Genre Entertainment: </w:t>
      </w:r>
      <w:r>
        <w:rPr>
          <w:rFonts w:ascii="Arial" w:cs="Arial" w:eastAsia="Arial" w:hAnsi="Arial"/>
          <w:sz w:val="11"/>
          <w:szCs w:val="11"/>
          <w:color w:val="auto"/>
        </w:rPr>
        <w:t>Live sports continued to drive robust audience engagement, with USA Network ranking among the top five cable entertainment networks across key demographics. Viewership</w:t>
      </w:r>
      <w:r>
        <w:rPr>
          <w:rFonts w:ascii="Arial" w:cs="Arial" w:eastAsia="Arial" w:hAnsi="Arial"/>
          <w:sz w:val="11"/>
          <w:szCs w:val="11"/>
          <w:b w:val="1"/>
          <w:bCs w:val="1"/>
          <w:color w:val="auto"/>
        </w:rPr>
        <w:t xml:space="preserve"> </w:t>
      </w:r>
      <w:r>
        <w:rPr>
          <w:rFonts w:ascii="Arial" w:cs="Arial" w:eastAsia="Arial" w:hAnsi="Arial"/>
          <w:sz w:val="11"/>
          <w:szCs w:val="11"/>
          <w:color w:val="auto"/>
        </w:rPr>
        <w:t>of the WNBA's inaugural season on USA increased 25% compared to the prior year's cable average. Entertainment programming also delivered strong viewership among key demographics throughout the quarter.</w:t>
      </w:r>
    </w:p>
    <w:p>
      <w:pPr>
        <w:spacing w:after="0" w:line="98" w:lineRule="exact"/>
        <w:rPr>
          <w:sz w:val="20"/>
          <w:szCs w:val="20"/>
          <w:color w:val="auto"/>
        </w:rPr>
      </w:pPr>
    </w:p>
    <w:p>
      <w:pPr>
        <w:ind w:right="40"/>
        <w:spacing w:after="0" w:line="348" w:lineRule="auto"/>
        <w:rPr>
          <w:sz w:val="20"/>
          <w:szCs w:val="20"/>
          <w:color w:val="auto"/>
        </w:rPr>
      </w:pPr>
      <w:r>
        <w:rPr>
          <w:rFonts w:ascii="Arial" w:cs="Arial" w:eastAsia="Arial" w:hAnsi="Arial"/>
          <w:sz w:val="12"/>
          <w:szCs w:val="12"/>
          <w:b w:val="1"/>
          <w:bCs w:val="1"/>
          <w:color w:val="auto"/>
        </w:rPr>
        <w:t xml:space="preserve">Platforms: </w:t>
      </w:r>
      <w:r>
        <w:rPr>
          <w:rFonts w:ascii="Arial" w:cs="Arial" w:eastAsia="Arial" w:hAnsi="Arial"/>
          <w:sz w:val="12"/>
          <w:szCs w:val="12"/>
          <w:color w:val="auto"/>
        </w:rPr>
        <w:t>Platforms revenue grew 10% in the third quarter, or 17% excluding the impacts of the SportsEngine divestiture and Full Swing acquisition. Fandango delivered significant growth in ticketing, while home</w:t>
      </w:r>
      <w:r>
        <w:rPr>
          <w:rFonts w:ascii="Arial" w:cs="Arial" w:eastAsia="Arial" w:hAnsi="Arial"/>
          <w:sz w:val="12"/>
          <w:szCs w:val="12"/>
          <w:b w:val="1"/>
          <w:bCs w:val="1"/>
          <w:color w:val="auto"/>
        </w:rPr>
        <w:t xml:space="preserve"> </w:t>
      </w:r>
      <w:r>
        <w:rPr>
          <w:rFonts w:ascii="Arial" w:cs="Arial" w:eastAsia="Arial" w:hAnsi="Arial"/>
          <w:sz w:val="12"/>
          <w:szCs w:val="12"/>
          <w:color w:val="auto"/>
        </w:rPr>
        <w:t>entertainment sales and Fandango1 also contributed to its third-quarter performance.</w:t>
      </w:r>
    </w:p>
    <w:p>
      <w:pPr>
        <w:sectPr>
          <w:pgSz w:w="11900" w:h="16838" w:orient="portrait"/>
          <w:cols w:equalWidth="0" w:num="1">
            <w:col w:w="11280"/>
          </w:cols>
          <w:pgMar w:left="300" w:top="1009" w:right="31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auto"/>
        </w:rPr>
        <w:t>Third Quarter 2026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83755" cy="1005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755" cy="1005840"/>
                    </a:xfrm>
                    <a:prstGeom prst="rect">
                      <a:avLst/>
                    </a:prstGeom>
                    <a:noFill/>
                  </pic:spPr>
                </pic:pic>
              </a:graphicData>
            </a:graphic>
          </wp:anchor>
        </w:drawing>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73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5"/>
          </w:tcPr>
          <w:p>
            <w:pPr>
              <w:jc w:val="center"/>
              <w:ind w:left="121"/>
              <w:spacing w:after="0"/>
              <w:rPr>
                <w:sz w:val="20"/>
                <w:szCs w:val="20"/>
                <w:color w:val="auto"/>
              </w:rPr>
            </w:pPr>
            <w:r>
              <w:rPr>
                <w:rFonts w:ascii="Arial" w:cs="Arial" w:eastAsia="Arial" w:hAnsi="Arial"/>
                <w:sz w:val="11"/>
                <w:szCs w:val="11"/>
                <w:b w:val="1"/>
                <w:bCs w:val="1"/>
                <w:color w:val="auto"/>
                <w:w w:val="98"/>
              </w:rPr>
              <w:t>Three Months Ended September 30,</w:t>
            </w:r>
          </w:p>
        </w:tc>
        <w:tc>
          <w:tcPr>
            <w:tcW w:w="960" w:type="dxa"/>
            <w:vAlign w:val="bottom"/>
            <w:tcBorders>
              <w:bottom w:val="single" w:sz="8" w:color="auto"/>
            </w:tcBorders>
          </w:tcPr>
          <w:p>
            <w:pPr>
              <w:spacing w:after="0"/>
              <w:rPr>
                <w:sz w:val="12"/>
                <w:szCs w:val="12"/>
                <w:color w:val="auto"/>
              </w:rPr>
            </w:pPr>
          </w:p>
        </w:tc>
      </w:tr>
      <w:tr>
        <w:trPr>
          <w:trHeight w:val="133"/>
        </w:trPr>
        <w:tc>
          <w:tcPr>
            <w:tcW w:w="7360" w:type="dxa"/>
            <w:vAlign w:val="bottom"/>
          </w:tcPr>
          <w:p>
            <w:pPr>
              <w:spacing w:after="0"/>
              <w:rPr>
                <w:sz w:val="11"/>
                <w:szCs w:val="11"/>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rPr>
              <w:t>2026</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1"/>
                <w:szCs w:val="11"/>
                <w:b w:val="1"/>
                <w:bCs w:val="1"/>
                <w:color w:val="auto"/>
              </w:rPr>
              <w:t>2025</w:t>
            </w:r>
          </w:p>
        </w:tc>
        <w:tc>
          <w:tcPr>
            <w:tcW w:w="4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1"/>
                <w:szCs w:val="11"/>
                <w:color w:val="auto"/>
              </w:rPr>
              <w:t>Change</w:t>
            </w:r>
          </w:p>
        </w:tc>
      </w:tr>
      <w:tr>
        <w:trPr>
          <w:trHeight w:val="122"/>
        </w:trPr>
        <w:tc>
          <w:tcPr>
            <w:tcW w:w="7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0"/>
                <w:szCs w:val="10"/>
                <w:b w:val="1"/>
                <w:bCs w:val="1"/>
                <w:i w:val="1"/>
                <w:iCs w:val="1"/>
                <w:color w:val="auto"/>
                <w:w w:val="96"/>
              </w:rPr>
              <w:t>(in millions)</w:t>
            </w:r>
          </w:p>
        </w:tc>
        <w:tc>
          <w:tcPr>
            <w:tcW w:w="960" w:type="dxa"/>
            <w:vAlign w:val="bottom"/>
          </w:tcPr>
          <w:p>
            <w:pPr>
              <w:spacing w:after="0"/>
              <w:rPr>
                <w:sz w:val="10"/>
                <w:szCs w:val="10"/>
                <w:color w:val="auto"/>
              </w:rPr>
            </w:pPr>
          </w:p>
        </w:tc>
      </w:tr>
      <w:tr>
        <w:trPr>
          <w:trHeight w:val="169"/>
        </w:trPr>
        <w:tc>
          <w:tcPr>
            <w:tcW w:w="7360" w:type="dxa"/>
            <w:vAlign w:val="bottom"/>
          </w:tcPr>
          <w:p>
            <w:pPr>
              <w:spacing w:after="0"/>
              <w:rPr>
                <w:sz w:val="20"/>
                <w:szCs w:val="20"/>
                <w:color w:val="auto"/>
              </w:rPr>
            </w:pPr>
            <w:r>
              <w:rPr>
                <w:rFonts w:ascii="Arial" w:cs="Arial" w:eastAsia="Arial" w:hAnsi="Arial"/>
                <w:sz w:val="12"/>
                <w:szCs w:val="12"/>
                <w:b w:val="1"/>
                <w:bCs w:val="1"/>
                <w:color w:val="auto"/>
              </w:rPr>
              <w:t>Revenue:</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9"/>
        </w:trPr>
        <w:tc>
          <w:tcPr>
            <w:tcW w:w="7360" w:type="dxa"/>
            <w:vAlign w:val="bottom"/>
          </w:tcPr>
          <w:p>
            <w:pPr>
              <w:ind w:left="160"/>
              <w:spacing w:after="0"/>
              <w:rPr>
                <w:sz w:val="20"/>
                <w:szCs w:val="20"/>
                <w:color w:val="auto"/>
              </w:rPr>
            </w:pPr>
            <w:r>
              <w:rPr>
                <w:rFonts w:ascii="Arial" w:cs="Arial" w:eastAsia="Arial" w:hAnsi="Arial"/>
                <w:sz w:val="12"/>
                <w:szCs w:val="12"/>
                <w:color w:val="auto"/>
              </w:rPr>
              <w:t>Linear distribution</w:t>
            </w:r>
          </w:p>
        </w:tc>
        <w:tc>
          <w:tcPr>
            <w:tcW w:w="780" w:type="dxa"/>
            <w:vAlign w:val="bottom"/>
          </w:tcPr>
          <w:p>
            <w:pPr>
              <w:jc w:val="right"/>
              <w:ind w:right="641"/>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935</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992</w:t>
            </w: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i w:val="1"/>
                <w:iCs w:val="1"/>
                <w:color w:val="auto"/>
              </w:rPr>
              <w:t>(5.8%)</w:t>
            </w:r>
          </w:p>
        </w:tc>
      </w:tr>
      <w:tr>
        <w:trPr>
          <w:trHeight w:val="162"/>
        </w:trPr>
        <w:tc>
          <w:tcPr>
            <w:tcW w:w="7360" w:type="dxa"/>
            <w:vAlign w:val="bottom"/>
          </w:tcPr>
          <w:p>
            <w:pPr>
              <w:ind w:left="160"/>
              <w:spacing w:after="0"/>
              <w:rPr>
                <w:sz w:val="20"/>
                <w:szCs w:val="20"/>
                <w:color w:val="auto"/>
              </w:rPr>
            </w:pPr>
            <w:r>
              <w:rPr>
                <w:rFonts w:ascii="Arial" w:cs="Arial" w:eastAsia="Arial" w:hAnsi="Arial"/>
                <w:sz w:val="12"/>
                <w:szCs w:val="12"/>
                <w:color w:val="auto"/>
              </w:rPr>
              <w:t>Advertising</w:t>
            </w:r>
          </w:p>
        </w:tc>
        <w:tc>
          <w:tcPr>
            <w:tcW w:w="780" w:type="dxa"/>
            <w:vAlign w:val="bottom"/>
          </w:tcPr>
          <w:p>
            <w:pPr>
              <w:spacing w:after="0"/>
              <w:rPr>
                <w:sz w:val="14"/>
                <w:szCs w:val="14"/>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373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394</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i w:val="1"/>
                <w:iCs w:val="1"/>
                <w:color w:val="auto"/>
              </w:rPr>
              <w:t>(5.3%)</w:t>
            </w:r>
          </w:p>
        </w:tc>
      </w:tr>
      <w:tr>
        <w:trPr>
          <w:trHeight w:val="162"/>
        </w:trPr>
        <w:tc>
          <w:tcPr>
            <w:tcW w:w="7360" w:type="dxa"/>
            <w:vAlign w:val="bottom"/>
          </w:tcPr>
          <w:p>
            <w:pPr>
              <w:ind w:left="160"/>
              <w:spacing w:after="0"/>
              <w:rPr>
                <w:sz w:val="20"/>
                <w:szCs w:val="20"/>
                <w:color w:val="auto"/>
              </w:rPr>
            </w:pPr>
            <w:r>
              <w:rPr>
                <w:rFonts w:ascii="Arial" w:cs="Arial" w:eastAsia="Arial" w:hAnsi="Arial"/>
                <w:sz w:val="12"/>
                <w:szCs w:val="12"/>
                <w:color w:val="auto"/>
              </w:rPr>
              <w:t>Platforms</w:t>
            </w:r>
          </w:p>
        </w:tc>
        <w:tc>
          <w:tcPr>
            <w:tcW w:w="780" w:type="dxa"/>
            <w:vAlign w:val="bottom"/>
          </w:tcPr>
          <w:p>
            <w:pPr>
              <w:spacing w:after="0"/>
              <w:rPr>
                <w:sz w:val="14"/>
                <w:szCs w:val="14"/>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245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224</w:t>
            </w:r>
          </w:p>
        </w:tc>
        <w:tc>
          <w:tcPr>
            <w:tcW w:w="46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i w:val="1"/>
                <w:iCs w:val="1"/>
                <w:color w:val="auto"/>
              </w:rPr>
              <w:t>9.6%</w:t>
            </w:r>
          </w:p>
        </w:tc>
      </w:tr>
      <w:tr>
        <w:trPr>
          <w:trHeight w:val="165"/>
        </w:trPr>
        <w:tc>
          <w:tcPr>
            <w:tcW w:w="7360" w:type="dxa"/>
            <w:vAlign w:val="bottom"/>
          </w:tcPr>
          <w:p>
            <w:pPr>
              <w:ind w:left="300"/>
              <w:spacing w:after="0" w:line="166" w:lineRule="exact"/>
              <w:rPr>
                <w:sz w:val="20"/>
                <w:szCs w:val="20"/>
                <w:color w:val="auto"/>
              </w:rPr>
            </w:pPr>
            <w:r>
              <w:rPr>
                <w:rFonts w:ascii="Arial" w:cs="Arial" w:eastAsia="Arial" w:hAnsi="Arial"/>
                <w:sz w:val="12"/>
                <w:szCs w:val="12"/>
                <w:i w:val="1"/>
                <w:iCs w:val="1"/>
                <w:color w:val="auto"/>
              </w:rPr>
              <w:t>Platforms (excluding SportsEngine and Full Swing)</w:t>
            </w:r>
            <w:r>
              <w:rPr>
                <w:rFonts w:ascii="Arial" w:cs="Arial" w:eastAsia="Arial" w:hAnsi="Arial"/>
                <w:sz w:val="15"/>
                <w:szCs w:val="15"/>
                <w:i w:val="1"/>
                <w:iCs w:val="1"/>
                <w:color w:val="auto"/>
                <w:vertAlign w:val="superscript"/>
              </w:rPr>
              <w:t>1</w:t>
            </w:r>
          </w:p>
        </w:tc>
        <w:tc>
          <w:tcPr>
            <w:tcW w:w="780" w:type="dxa"/>
            <w:vAlign w:val="bottom"/>
          </w:tcPr>
          <w:p>
            <w:pPr>
              <w:spacing w:after="0"/>
              <w:rPr>
                <w:sz w:val="14"/>
                <w:szCs w:val="14"/>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i w:val="1"/>
                <w:iCs w:val="1"/>
                <w:color w:val="auto"/>
              </w:rPr>
              <w:t>222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42"/>
              <w:spacing w:after="0"/>
              <w:rPr>
                <w:sz w:val="20"/>
                <w:szCs w:val="20"/>
                <w:color w:val="auto"/>
              </w:rPr>
            </w:pPr>
            <w:r>
              <w:rPr>
                <w:rFonts w:ascii="Arial" w:cs="Arial" w:eastAsia="Arial" w:hAnsi="Arial"/>
                <w:sz w:val="12"/>
                <w:szCs w:val="12"/>
                <w:i w:val="1"/>
                <w:iCs w:val="1"/>
                <w:color w:val="auto"/>
              </w:rPr>
              <w:t>189</w:t>
            </w:r>
          </w:p>
        </w:tc>
        <w:tc>
          <w:tcPr>
            <w:tcW w:w="46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i w:val="1"/>
                <w:iCs w:val="1"/>
                <w:color w:val="auto"/>
              </w:rPr>
              <w:t>17.4%</w:t>
            </w:r>
          </w:p>
        </w:tc>
      </w:tr>
      <w:tr>
        <w:trPr>
          <w:trHeight w:val="157"/>
        </w:trPr>
        <w:tc>
          <w:tcPr>
            <w:tcW w:w="7360" w:type="dxa"/>
            <w:vAlign w:val="bottom"/>
          </w:tcPr>
          <w:p>
            <w:pPr>
              <w:ind w:left="160"/>
              <w:spacing w:after="0"/>
              <w:rPr>
                <w:sz w:val="20"/>
                <w:szCs w:val="20"/>
                <w:color w:val="auto"/>
              </w:rPr>
            </w:pPr>
            <w:r>
              <w:rPr>
                <w:rFonts w:ascii="Arial" w:cs="Arial" w:eastAsia="Arial" w:hAnsi="Arial"/>
                <w:sz w:val="12"/>
                <w:szCs w:val="12"/>
                <w:color w:val="auto"/>
              </w:rPr>
              <w:t>Content licensing and other</w:t>
            </w: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54</w:t>
            </w: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i w:val="1"/>
                <w:iCs w:val="1"/>
                <w:color w:val="auto"/>
              </w:rPr>
              <w:t>(23.6%)</w:t>
            </w:r>
          </w:p>
        </w:tc>
      </w:tr>
      <w:tr>
        <w:trPr>
          <w:trHeight w:val="146"/>
        </w:trPr>
        <w:tc>
          <w:tcPr>
            <w:tcW w:w="7360" w:type="dxa"/>
            <w:vAlign w:val="bottom"/>
          </w:tcPr>
          <w:p>
            <w:pPr>
              <w:spacing w:after="0"/>
              <w:rPr>
                <w:sz w:val="20"/>
                <w:szCs w:val="20"/>
                <w:color w:val="auto"/>
              </w:rPr>
            </w:pPr>
            <w:r>
              <w:rPr>
                <w:rFonts w:ascii="Arial" w:cs="Arial" w:eastAsia="Arial" w:hAnsi="Arial"/>
                <w:sz w:val="12"/>
                <w:szCs w:val="12"/>
                <w:color w:val="auto"/>
              </w:rPr>
              <w:t>Total revenue</w:t>
            </w:r>
          </w:p>
        </w:tc>
        <w:tc>
          <w:tcPr>
            <w:tcW w:w="780" w:type="dxa"/>
            <w:vAlign w:val="bottom"/>
          </w:tcPr>
          <w:p>
            <w:pPr>
              <w:jc w:val="right"/>
              <w:ind w:right="641"/>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1,594</w:t>
            </w:r>
          </w:p>
        </w:tc>
        <w:tc>
          <w:tcPr>
            <w:tcW w:w="80" w:type="dxa"/>
            <w:vAlign w:val="bottom"/>
          </w:tcPr>
          <w:p>
            <w:pPr>
              <w:spacing w:after="0"/>
              <w:rPr>
                <w:sz w:val="12"/>
                <w:szCs w:val="12"/>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1,663</w:t>
            </w:r>
          </w:p>
        </w:tc>
        <w:tc>
          <w:tcPr>
            <w:tcW w:w="4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i w:val="1"/>
                <w:iCs w:val="1"/>
                <w:color w:val="auto"/>
              </w:rPr>
              <w:t>(4.2%)</w:t>
            </w:r>
          </w:p>
        </w:tc>
      </w:tr>
      <w:tr>
        <w:trPr>
          <w:trHeight w:val="163"/>
        </w:trPr>
        <w:tc>
          <w:tcPr>
            <w:tcW w:w="7360" w:type="dxa"/>
            <w:vAlign w:val="bottom"/>
          </w:tcPr>
          <w:p>
            <w:pPr>
              <w:ind w:left="160"/>
              <w:spacing w:after="0" w:line="163" w:lineRule="exact"/>
              <w:rPr>
                <w:sz w:val="20"/>
                <w:szCs w:val="20"/>
                <w:color w:val="auto"/>
              </w:rPr>
            </w:pPr>
            <w:r>
              <w:rPr>
                <w:rFonts w:ascii="Arial" w:cs="Arial" w:eastAsia="Arial" w:hAnsi="Arial"/>
                <w:sz w:val="12"/>
                <w:szCs w:val="12"/>
                <w:i w:val="1"/>
                <w:iCs w:val="1"/>
                <w:color w:val="auto"/>
              </w:rPr>
              <w:t>Total revenue (excluding SportsEngine and Full Swing)</w:t>
            </w:r>
            <w:r>
              <w:rPr>
                <w:rFonts w:ascii="Arial" w:cs="Arial" w:eastAsia="Arial" w:hAnsi="Arial"/>
                <w:sz w:val="15"/>
                <w:szCs w:val="15"/>
                <w:i w:val="1"/>
                <w:iCs w:val="1"/>
                <w:color w:val="auto"/>
                <w:vertAlign w:val="superscript"/>
              </w:rPr>
              <w:t>1</w:t>
            </w:r>
          </w:p>
        </w:tc>
        <w:tc>
          <w:tcPr>
            <w:tcW w:w="780" w:type="dxa"/>
            <w:vAlign w:val="bottom"/>
          </w:tcPr>
          <w:p>
            <w:pPr>
              <w:jc w:val="right"/>
              <w:ind w:right="641"/>
              <w:spacing w:after="0"/>
              <w:rPr>
                <w:sz w:val="20"/>
                <w:szCs w:val="20"/>
                <w:color w:val="auto"/>
              </w:rPr>
            </w:pPr>
            <w:r>
              <w:rPr>
                <w:rFonts w:ascii="Arial" w:cs="Arial" w:eastAsia="Arial" w:hAnsi="Arial"/>
                <w:sz w:val="12"/>
                <w:szCs w:val="12"/>
                <w:i w:val="1"/>
                <w:iCs w:val="1"/>
                <w:color w:val="auto"/>
                <w:w w:val="89"/>
              </w:rPr>
              <w:t>$</w:t>
            </w:r>
          </w:p>
        </w:tc>
        <w:tc>
          <w:tcPr>
            <w:tcW w:w="420" w:type="dxa"/>
            <w:vAlign w:val="bottom"/>
          </w:tcPr>
          <w:p>
            <w:pPr>
              <w:jc w:val="right"/>
              <w:ind w:right="1"/>
              <w:spacing w:after="0"/>
              <w:rPr>
                <w:sz w:val="20"/>
                <w:szCs w:val="20"/>
                <w:color w:val="auto"/>
              </w:rPr>
            </w:pPr>
            <w:r>
              <w:rPr>
                <w:rFonts w:ascii="Arial" w:cs="Arial" w:eastAsia="Arial" w:hAnsi="Arial"/>
                <w:sz w:val="12"/>
                <w:szCs w:val="12"/>
                <w:i w:val="1"/>
                <w:iCs w:val="1"/>
                <w:color w:val="auto"/>
              </w:rPr>
              <w:t>1,569</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i w:val="1"/>
                <w:iCs w:val="1"/>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2"/>
                <w:szCs w:val="12"/>
                <w:i w:val="1"/>
                <w:iCs w:val="1"/>
                <w:color w:val="auto"/>
              </w:rPr>
              <w:t>1,627</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i w:val="1"/>
                <w:iCs w:val="1"/>
                <w:color w:val="auto"/>
              </w:rPr>
              <w:t>(3.5%)</w:t>
            </w:r>
          </w:p>
        </w:tc>
      </w:tr>
      <w:tr>
        <w:trPr>
          <w:trHeight w:val="159"/>
        </w:trPr>
        <w:tc>
          <w:tcPr>
            <w:tcW w:w="7360" w:type="dxa"/>
            <w:vAlign w:val="bottom"/>
          </w:tcPr>
          <w:p>
            <w:pPr>
              <w:ind w:left="20"/>
              <w:spacing w:after="0"/>
              <w:rPr>
                <w:sz w:val="20"/>
                <w:szCs w:val="20"/>
                <w:color w:val="auto"/>
              </w:rPr>
            </w:pPr>
            <w:r>
              <w:rPr>
                <w:rFonts w:ascii="Arial" w:cs="Arial" w:eastAsia="Arial" w:hAnsi="Arial"/>
                <w:sz w:val="12"/>
                <w:szCs w:val="12"/>
                <w:color w:val="auto"/>
              </w:rPr>
              <w:t>Net income attributable to Versant</w:t>
            </w:r>
          </w:p>
        </w:tc>
        <w:tc>
          <w:tcPr>
            <w:tcW w:w="780" w:type="dxa"/>
            <w:vAlign w:val="bottom"/>
          </w:tcPr>
          <w:p>
            <w:pPr>
              <w:jc w:val="right"/>
              <w:ind w:right="641"/>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47</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80</w:t>
            </w: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i w:val="1"/>
                <w:iCs w:val="1"/>
                <w:color w:val="auto"/>
              </w:rPr>
              <w:t>(41.1%)</w:t>
            </w:r>
          </w:p>
        </w:tc>
      </w:tr>
      <w:tr>
        <w:trPr>
          <w:trHeight w:val="164"/>
        </w:trPr>
        <w:tc>
          <w:tcPr>
            <w:tcW w:w="7360" w:type="dxa"/>
            <w:vAlign w:val="bottom"/>
          </w:tcPr>
          <w:p>
            <w:pPr>
              <w:ind w:left="20"/>
              <w:spacing w:after="0" w:line="164" w:lineRule="exact"/>
              <w:rPr>
                <w:sz w:val="20"/>
                <w:szCs w:val="20"/>
                <w:color w:val="auto"/>
              </w:rPr>
            </w:pPr>
            <w:r>
              <w:rPr>
                <w:rFonts w:ascii="Arial" w:cs="Arial" w:eastAsia="Arial" w:hAnsi="Arial"/>
                <w:sz w:val="12"/>
                <w:szCs w:val="12"/>
                <w:color w:val="auto"/>
              </w:rPr>
              <w:t>Adjusted EBITDA</w:t>
            </w:r>
            <w:r>
              <w:rPr>
                <w:rFonts w:ascii="Arial" w:cs="Arial" w:eastAsia="Arial" w:hAnsi="Arial"/>
                <w:sz w:val="15"/>
                <w:szCs w:val="15"/>
                <w:color w:val="auto"/>
                <w:vertAlign w:val="superscript"/>
              </w:rPr>
              <w:t>2</w:t>
            </w:r>
          </w:p>
        </w:tc>
        <w:tc>
          <w:tcPr>
            <w:tcW w:w="780" w:type="dxa"/>
            <w:vAlign w:val="bottom"/>
          </w:tcPr>
          <w:p>
            <w:pPr>
              <w:jc w:val="right"/>
              <w:ind w:right="641"/>
              <w:spacing w:after="0"/>
              <w:rPr>
                <w:sz w:val="20"/>
                <w:szCs w:val="20"/>
                <w:color w:val="auto"/>
              </w:rPr>
            </w:pPr>
            <w:r>
              <w:rPr>
                <w:rFonts w:ascii="Arial" w:cs="Arial" w:eastAsia="Arial" w:hAnsi="Arial"/>
                <w:sz w:val="12"/>
                <w:szCs w:val="12"/>
                <w:color w:val="auto"/>
                <w:w w:val="89"/>
              </w:rPr>
              <w:t>$</w:t>
            </w: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353</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445</w:t>
            </w: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i w:val="1"/>
                <w:iCs w:val="1"/>
                <w:color w:val="auto"/>
              </w:rPr>
              <w:t>(20.9%)</w:t>
            </w:r>
          </w:p>
        </w:tc>
      </w:tr>
      <w:tr>
        <w:trPr>
          <w:trHeight w:val="204"/>
        </w:trPr>
        <w:tc>
          <w:tcPr>
            <w:tcW w:w="7360" w:type="dxa"/>
            <w:vAlign w:val="bottom"/>
          </w:tcPr>
          <w:p>
            <w:pPr>
              <w:ind w:left="180"/>
              <w:spacing w:after="0"/>
              <w:rPr>
                <w:sz w:val="20"/>
                <w:szCs w:val="20"/>
                <w:color w:val="auto"/>
              </w:rPr>
            </w:pPr>
            <w:r>
              <w:rPr>
                <w:rFonts w:ascii="Arial" w:cs="Arial" w:eastAsia="Arial" w:hAnsi="Arial"/>
                <w:sz w:val="12"/>
                <w:szCs w:val="12"/>
                <w:i w:val="1"/>
                <w:iCs w:val="1"/>
                <w:color w:val="auto"/>
              </w:rPr>
              <w:t>Standalone Adjusted EBITDA</w:t>
            </w:r>
            <w:r>
              <w:rPr>
                <w:rFonts w:ascii="Arial" w:cs="Arial" w:eastAsia="Arial" w:hAnsi="Arial"/>
                <w:sz w:val="15"/>
                <w:szCs w:val="15"/>
                <w:i w:val="1"/>
                <w:iCs w:val="1"/>
                <w:color w:val="auto"/>
                <w:vertAlign w:val="superscript"/>
              </w:rPr>
              <w:t>2</w:t>
            </w: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i w:val="1"/>
                <w:iCs w:val="1"/>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2"/>
                <w:szCs w:val="12"/>
                <w:i w:val="1"/>
                <w:iCs w:val="1"/>
                <w:color w:val="auto"/>
              </w:rPr>
              <w:t>381</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2"/>
                <w:szCs w:val="12"/>
                <w:i w:val="1"/>
                <w:iCs w:val="1"/>
                <w:color w:val="auto"/>
              </w:rPr>
              <w:t>(7.4%)</w:t>
            </w:r>
          </w:p>
        </w:tc>
      </w:tr>
    </w:tbl>
    <w:p>
      <w:pPr>
        <w:spacing w:after="0" w:line="194" w:lineRule="auto"/>
        <w:rPr>
          <w:sz w:val="20"/>
          <w:szCs w:val="20"/>
          <w:color w:val="auto"/>
        </w:rPr>
      </w:pPr>
      <w:r>
        <w:rPr>
          <w:rFonts w:ascii="Arial" w:cs="Arial" w:eastAsia="Arial" w:hAnsi="Arial"/>
          <w:sz w:val="5"/>
          <w:szCs w:val="5"/>
          <w:color w:val="auto"/>
        </w:rPr>
        <w:t>________________________________________________________________</w:t>
      </w:r>
    </w:p>
    <w:p>
      <w:pPr>
        <w:ind w:left="200" w:right="80" w:hanging="215"/>
        <w:spacing w:after="0" w:line="270" w:lineRule="auto"/>
        <w:rPr>
          <w:sz w:val="20"/>
          <w:szCs w:val="20"/>
          <w:color w:val="auto"/>
        </w:rPr>
      </w:pPr>
      <w:r>
        <w:rPr>
          <w:rFonts w:ascii="Arial" w:cs="Arial" w:eastAsia="Arial" w:hAnsi="Arial"/>
          <w:sz w:val="8"/>
          <w:szCs w:val="8"/>
          <w:color w:val="auto"/>
        </w:rPr>
        <w:t>1 Platforms (excluding SportsEngine and Full Swing) and Total revenue (excluding SportsEngine and Full Swing) are non-GAAP financial measures and have been included for comparative purposes only. For the three months ended September 30, 2025, Platforms revenue related to SportsEngine totaled $35 million and Total revenue related to SportsEngine totaled $36 million. For the three months ended September 30, 2026, Platforms revenue related to Full Swing was $23 million and Total revenue related to Full Swing</w:t>
      </w:r>
    </w:p>
    <w:p>
      <w:pPr>
        <w:ind w:left="200" w:right="220"/>
        <w:spacing w:after="0" w:line="234" w:lineRule="auto"/>
        <w:rPr>
          <w:sz w:val="20"/>
          <w:szCs w:val="20"/>
          <w:color w:val="auto"/>
        </w:rPr>
      </w:pPr>
      <w:r>
        <w:rPr>
          <w:rFonts w:ascii="Arial" w:cs="Arial" w:eastAsia="Arial" w:hAnsi="Arial"/>
          <w:sz w:val="10"/>
          <w:szCs w:val="10"/>
          <w:color w:val="auto"/>
        </w:rPr>
        <w:t>was $24 million. We believe, among other things, these measures may help investors evaluate our ongoing operations and can assist in making meaningful period-over-period comparisons given that the divestiture of SportsEngine was completed during the second quarter of 2026 and the acquisition of Full Swing was completed during the third quarter of 2026.</w:t>
      </w:r>
    </w:p>
    <w:p>
      <w:pPr>
        <w:spacing w:after="0" w:line="47" w:lineRule="exact"/>
        <w:rPr>
          <w:sz w:val="20"/>
          <w:szCs w:val="20"/>
          <w:color w:val="auto"/>
        </w:rPr>
      </w:pPr>
    </w:p>
    <w:p>
      <w:pPr>
        <w:ind w:left="200" w:right="280" w:hanging="215"/>
        <w:spacing w:after="0" w:line="245" w:lineRule="auto"/>
        <w:rPr>
          <w:sz w:val="20"/>
          <w:szCs w:val="20"/>
          <w:color w:val="auto"/>
        </w:rPr>
      </w:pPr>
      <w:r>
        <w:rPr>
          <w:rFonts w:ascii="Arial" w:cs="Arial" w:eastAsia="Arial" w:hAnsi="Arial"/>
          <w:sz w:val="10"/>
          <w:szCs w:val="10"/>
          <w:color w:val="auto"/>
        </w:rPr>
        <w:t>2 Adjusted EBITDA and Standalone Adjusted EBITDA are non-GAAP financial measures. Standalone Adjusted EBITDA and growth rate of Adjusted EBITDA compared to Standalone Adjusted EBITDA have been included for comparative purposes only. Further information and reconciliations to the most comparable GAAP measures can be found under Table 4 below.</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Total Revenue was $1,594 million, </w:t>
      </w:r>
      <w:r>
        <w:rPr>
          <w:rFonts w:ascii="Arial" w:cs="Arial" w:eastAsia="Arial" w:hAnsi="Arial"/>
          <w:sz w:val="12"/>
          <w:szCs w:val="12"/>
          <w:color w:val="auto"/>
        </w:rPr>
        <w:t>representing a decline of 4.2% compared to the same period in 2025. Excluding the impact of SportsEngine and Full Swing, revenue decreased 3.5%.</w:t>
      </w:r>
    </w:p>
    <w:p>
      <w:pPr>
        <w:spacing w:after="0" w:line="114" w:lineRule="exact"/>
        <w:rPr>
          <w:sz w:val="20"/>
          <w:szCs w:val="20"/>
          <w:color w:val="auto"/>
        </w:rPr>
      </w:pPr>
    </w:p>
    <w:p>
      <w:pPr>
        <w:ind w:left="420" w:right="540" w:hanging="212"/>
        <w:spacing w:after="0" w:line="348"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Linear Distribution </w:t>
      </w:r>
      <w:r>
        <w:rPr>
          <w:rFonts w:ascii="Arial" w:cs="Arial" w:eastAsia="Arial" w:hAnsi="Arial"/>
          <w:sz w:val="12"/>
          <w:szCs w:val="12"/>
          <w:color w:val="auto"/>
        </w:rPr>
        <w:t>revenue declined 5.8% in the third quarter of 2026 as compared to the same period in 2025, primarily due to subscriber declines, which were partially offset by contractual rate</w:t>
      </w:r>
      <w:r>
        <w:rPr>
          <w:rFonts w:ascii="Arial" w:cs="Arial" w:eastAsia="Arial" w:hAnsi="Arial"/>
          <w:sz w:val="12"/>
          <w:szCs w:val="12"/>
          <w:b w:val="1"/>
          <w:bCs w:val="1"/>
          <w:color w:val="auto"/>
        </w:rPr>
        <w:t xml:space="preserve"> </w:t>
      </w:r>
      <w:r>
        <w:rPr>
          <w:rFonts w:ascii="Arial" w:cs="Arial" w:eastAsia="Arial" w:hAnsi="Arial"/>
          <w:sz w:val="12"/>
          <w:szCs w:val="12"/>
          <w:color w:val="auto"/>
        </w:rPr>
        <w:t>increases.</w:t>
      </w:r>
    </w:p>
    <w:p>
      <w:pPr>
        <w:spacing w:after="0" w:line="31" w:lineRule="exact"/>
        <w:rPr>
          <w:rFonts w:ascii="Arial" w:cs="Arial" w:eastAsia="Arial" w:hAnsi="Arial"/>
          <w:sz w:val="12"/>
          <w:szCs w:val="12"/>
          <w:color w:val="auto"/>
        </w:rPr>
      </w:pPr>
    </w:p>
    <w:p>
      <w:pPr>
        <w:ind w:left="420" w:right="80" w:hanging="212"/>
        <w:spacing w:after="0" w:line="348"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Advertising </w:t>
      </w:r>
      <w:r>
        <w:rPr>
          <w:rFonts w:ascii="Arial" w:cs="Arial" w:eastAsia="Arial" w:hAnsi="Arial"/>
          <w:sz w:val="12"/>
          <w:szCs w:val="12"/>
          <w:color w:val="auto"/>
        </w:rPr>
        <w:t>revenue declined 5.3% in the third quarter of 2026 as compared to the same period in 2025, reflecting the event timing impact of the</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Ryder Cup</w:t>
      </w:r>
      <w:r>
        <w:rPr>
          <w:rFonts w:ascii="Arial" w:cs="Arial" w:eastAsia="Arial" w:hAnsi="Arial"/>
          <w:sz w:val="12"/>
          <w:szCs w:val="12"/>
          <w:b w:val="1"/>
          <w:bCs w:val="1"/>
          <w:color w:val="auto"/>
        </w:rPr>
        <w:t xml:space="preserve"> </w:t>
      </w:r>
      <w:r>
        <w:rPr>
          <w:rFonts w:ascii="Arial" w:cs="Arial" w:eastAsia="Arial" w:hAnsi="Arial"/>
          <w:sz w:val="12"/>
          <w:szCs w:val="12"/>
          <w:color w:val="auto"/>
        </w:rPr>
        <w:t>in the prior year. The current quarter continues</w:t>
      </w:r>
      <w:r>
        <w:rPr>
          <w:rFonts w:ascii="Arial" w:cs="Arial" w:eastAsia="Arial" w:hAnsi="Arial"/>
          <w:sz w:val="12"/>
          <w:szCs w:val="12"/>
          <w:b w:val="1"/>
          <w:bCs w:val="1"/>
          <w:color w:val="auto"/>
        </w:rPr>
        <w:t xml:space="preserve"> </w:t>
      </w:r>
      <w:r>
        <w:rPr>
          <w:rFonts w:ascii="Arial" w:cs="Arial" w:eastAsia="Arial" w:hAnsi="Arial"/>
          <w:sz w:val="12"/>
          <w:szCs w:val="12"/>
          <w:color w:val="auto"/>
        </w:rPr>
        <w:t>to reflect improvements in recent trends including favorable ratings at the networks as well as incremental revenue from a recent acquisition.</w:t>
      </w:r>
    </w:p>
    <w:p>
      <w:pPr>
        <w:spacing w:after="0" w:line="31" w:lineRule="exact"/>
        <w:rPr>
          <w:rFonts w:ascii="Arial" w:cs="Arial" w:eastAsia="Arial" w:hAnsi="Arial"/>
          <w:sz w:val="12"/>
          <w:szCs w:val="12"/>
          <w:color w:val="auto"/>
        </w:rPr>
      </w:pPr>
    </w:p>
    <w:p>
      <w:pPr>
        <w:ind w:left="420" w:right="160" w:hanging="212"/>
        <w:spacing w:after="0" w:line="348" w:lineRule="auto"/>
        <w:tabs>
          <w:tab w:leader="none" w:pos="399"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Platforms </w:t>
      </w:r>
      <w:r>
        <w:rPr>
          <w:rFonts w:ascii="Arial" w:cs="Arial" w:eastAsia="Arial" w:hAnsi="Arial"/>
          <w:sz w:val="12"/>
          <w:szCs w:val="12"/>
          <w:color w:val="auto"/>
        </w:rPr>
        <w:t>revenue increased 9.6% in the third quarter of 2026 as compared to the same period in 2025, or 17.4% excluding the impact of SportsEngine and Full Swing. The increase was primarily due to</w:t>
      </w:r>
      <w:r>
        <w:rPr>
          <w:rFonts w:ascii="Arial" w:cs="Arial" w:eastAsia="Arial" w:hAnsi="Arial"/>
          <w:sz w:val="12"/>
          <w:szCs w:val="12"/>
          <w:b w:val="1"/>
          <w:bCs w:val="1"/>
          <w:color w:val="auto"/>
        </w:rPr>
        <w:t xml:space="preserve"> </w:t>
      </w:r>
      <w:r>
        <w:rPr>
          <w:rFonts w:ascii="Arial" w:cs="Arial" w:eastAsia="Arial" w:hAnsi="Arial"/>
          <w:sz w:val="12"/>
          <w:szCs w:val="12"/>
          <w:color w:val="auto"/>
        </w:rPr>
        <w:t>higher revenue at Fandango, largely driven by movie ticket purchases and sales from our new cinema operating platform.</w:t>
      </w:r>
    </w:p>
    <w:p>
      <w:pPr>
        <w:spacing w:after="0" w:line="31"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Content licensing and other </w:t>
      </w:r>
      <w:r>
        <w:rPr>
          <w:rFonts w:ascii="Arial" w:cs="Arial" w:eastAsia="Arial" w:hAnsi="Arial"/>
          <w:sz w:val="12"/>
          <w:szCs w:val="12"/>
          <w:color w:val="auto"/>
        </w:rPr>
        <w:t>revenue decreased in the third quarter of 2026 as compared to the same period in 2025, primarily due to the timing of content licensing agreements.</w:t>
      </w:r>
    </w:p>
    <w:p>
      <w:pPr>
        <w:sectPr>
          <w:pgSz w:w="11900" w:h="16838" w:orient="portrait"/>
          <w:cols w:equalWidth="0" w:num="1">
            <w:col w:w="11300"/>
          </w:cols>
          <w:pgMar w:left="300" w:top="989" w:right="299" w:bottom="1440" w:gutter="0" w:footer="0" w:header="0"/>
        </w:sectPr>
      </w:pPr>
    </w:p>
    <w:bookmarkStart w:id="6" w:name="page7"/>
    <w:bookmarkEnd w:id="6"/>
    <w:p>
      <w:pPr>
        <w:ind w:left="8" w:right="100"/>
        <w:spacing w:after="0" w:line="348" w:lineRule="auto"/>
        <w:rPr>
          <w:sz w:val="20"/>
          <w:szCs w:val="20"/>
          <w:color w:val="auto"/>
        </w:rPr>
      </w:pPr>
      <w:r>
        <w:rPr>
          <w:rFonts w:ascii="Arial" w:cs="Arial" w:eastAsia="Arial" w:hAnsi="Arial"/>
          <w:sz w:val="12"/>
          <w:szCs w:val="12"/>
          <w:b w:val="1"/>
          <w:bCs w:val="1"/>
          <w:color w:val="auto"/>
        </w:rPr>
        <w:t xml:space="preserve">Net income attributable to Versant was $47 million, </w:t>
      </w:r>
      <w:r>
        <w:rPr>
          <w:rFonts w:ascii="Arial" w:cs="Arial" w:eastAsia="Arial" w:hAnsi="Arial"/>
          <w:sz w:val="12"/>
          <w:szCs w:val="12"/>
          <w:color w:val="auto"/>
        </w:rPr>
        <w:t>a decrease of $33 million compared to the prior year quarter, primarily due to lower revenue and public company costs and interest expense following the</w:t>
      </w:r>
      <w:r>
        <w:rPr>
          <w:rFonts w:ascii="Arial" w:cs="Arial" w:eastAsia="Arial" w:hAnsi="Arial"/>
          <w:sz w:val="12"/>
          <w:szCs w:val="12"/>
          <w:b w:val="1"/>
          <w:bCs w:val="1"/>
          <w:color w:val="auto"/>
        </w:rPr>
        <w:t xml:space="preserve"> </w:t>
      </w:r>
      <w:r>
        <w:rPr>
          <w:rFonts w:ascii="Arial" w:cs="Arial" w:eastAsia="Arial" w:hAnsi="Arial"/>
          <w:sz w:val="12"/>
          <w:szCs w:val="12"/>
          <w:color w:val="auto"/>
        </w:rPr>
        <w:t>separation from Comcast, partially offset by a prior year impairment loss on one of our investments, which also resulted in a higher provision for income taxes in the prior year period.</w:t>
      </w:r>
    </w:p>
    <w:p>
      <w:pPr>
        <w:spacing w:after="0" w:line="77" w:lineRule="exact"/>
        <w:rPr>
          <w:sz w:val="20"/>
          <w:szCs w:val="20"/>
          <w:color w:val="auto"/>
        </w:rPr>
      </w:pPr>
    </w:p>
    <w:p>
      <w:pPr>
        <w:ind w:left="8" w:right="140"/>
        <w:spacing w:after="0" w:line="294" w:lineRule="auto"/>
        <w:rPr>
          <w:sz w:val="20"/>
          <w:szCs w:val="20"/>
          <w:color w:val="auto"/>
        </w:rPr>
      </w:pPr>
      <w:r>
        <w:rPr>
          <w:rFonts w:ascii="Arial" w:cs="Arial" w:eastAsia="Arial" w:hAnsi="Arial"/>
          <w:sz w:val="12"/>
          <w:szCs w:val="12"/>
          <w:b w:val="1"/>
          <w:bCs w:val="1"/>
          <w:color w:val="auto"/>
        </w:rPr>
        <w:t>Adjusted EBITDA</w:t>
      </w:r>
      <w:r>
        <w:rPr>
          <w:rFonts w:ascii="Arial" w:cs="Arial" w:eastAsia="Arial" w:hAnsi="Arial"/>
          <w:sz w:val="15"/>
          <w:szCs w:val="15"/>
          <w:b w:val="1"/>
          <w:bCs w:val="1"/>
          <w:color w:val="auto"/>
          <w:vertAlign w:val="superscript"/>
        </w:rPr>
        <w:t>2</w:t>
      </w:r>
      <w:r>
        <w:rPr>
          <w:rFonts w:ascii="Arial" w:cs="Arial" w:eastAsia="Arial" w:hAnsi="Arial"/>
          <w:sz w:val="12"/>
          <w:szCs w:val="12"/>
          <w:b w:val="1"/>
          <w:bCs w:val="1"/>
          <w:color w:val="auto"/>
        </w:rPr>
        <w:t xml:space="preserve"> was $353 million, </w:t>
      </w:r>
      <w:r>
        <w:rPr>
          <w:rFonts w:ascii="Arial" w:cs="Arial" w:eastAsia="Arial" w:hAnsi="Arial"/>
          <w:sz w:val="12"/>
          <w:szCs w:val="12"/>
          <w:color w:val="auto"/>
        </w:rPr>
        <w:t>a decrease of 20.9% compared to the prior year quarter. Compared to Standalone Adjusted EBITDA in the prior year quarter, Adjusted EBITDA decreased 7.4%. This</w:t>
      </w:r>
      <w:r>
        <w:rPr>
          <w:rFonts w:ascii="Arial" w:cs="Arial" w:eastAsia="Arial" w:hAnsi="Arial"/>
          <w:sz w:val="12"/>
          <w:szCs w:val="12"/>
          <w:b w:val="1"/>
          <w:bCs w:val="1"/>
          <w:color w:val="auto"/>
        </w:rPr>
        <w:t xml:space="preserve"> </w:t>
      </w:r>
      <w:r>
        <w:rPr>
          <w:rFonts w:ascii="Arial" w:cs="Arial" w:eastAsia="Arial" w:hAnsi="Arial"/>
          <w:sz w:val="12"/>
          <w:szCs w:val="12"/>
          <w:color w:val="auto"/>
        </w:rPr>
        <w:t>decrease reflects lower revenue, partially offset by lower entertainment programming costs, and reduced selling, general and administrative costs. Programming costs in the current year reflect costs related to additional sports rights compared to the prior year period, which are generally more significant in the third and fourth quarters due to the timing of events.</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Net cash provided by operating activities </w:t>
      </w:r>
      <w:r>
        <w:rPr>
          <w:rFonts w:ascii="Arial" w:cs="Arial" w:eastAsia="Arial" w:hAnsi="Arial"/>
          <w:sz w:val="12"/>
          <w:szCs w:val="12"/>
          <w:color w:val="auto"/>
        </w:rPr>
        <w:t>was $346 million and</w:t>
      </w:r>
      <w:r>
        <w:rPr>
          <w:rFonts w:ascii="Arial" w:cs="Arial" w:eastAsia="Arial" w:hAnsi="Arial"/>
          <w:sz w:val="12"/>
          <w:szCs w:val="12"/>
          <w:b w:val="1"/>
          <w:bCs w:val="1"/>
          <w:color w:val="auto"/>
        </w:rPr>
        <w:t xml:space="preserve"> Free Cash Flow</w:t>
      </w:r>
      <w:r>
        <w:rPr>
          <w:rFonts w:ascii="Arial" w:cs="Arial" w:eastAsia="Arial" w:hAnsi="Arial"/>
          <w:sz w:val="15"/>
          <w:szCs w:val="15"/>
          <w:color w:val="auto"/>
          <w:vertAlign w:val="superscript"/>
        </w:rPr>
        <w:t>2</w:t>
      </w:r>
      <w:r>
        <w:rPr>
          <w:rFonts w:ascii="Arial" w:cs="Arial" w:eastAsia="Arial" w:hAnsi="Arial"/>
          <w:sz w:val="12"/>
          <w:szCs w:val="12"/>
          <w:b w:val="1"/>
          <w:bCs w:val="1"/>
          <w:color w:val="auto"/>
        </w:rPr>
        <w:t xml:space="preserve"> </w:t>
      </w:r>
      <w:r>
        <w:rPr>
          <w:rFonts w:ascii="Arial" w:cs="Arial" w:eastAsia="Arial" w:hAnsi="Arial"/>
          <w:sz w:val="12"/>
          <w:szCs w:val="12"/>
          <w:color w:val="auto"/>
        </w:rPr>
        <w:t>was $302 million in the third quarter of 2026.</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2026 Financial Outlook</w:t>
      </w:r>
    </w:p>
    <w:p>
      <w:pPr>
        <w:spacing w:after="0" w:line="140" w:lineRule="exact"/>
        <w:rPr>
          <w:sz w:val="20"/>
          <w:szCs w:val="20"/>
          <w:color w:val="auto"/>
        </w:rPr>
      </w:pPr>
    </w:p>
    <w:p>
      <w:pPr>
        <w:ind w:left="8" w:right="180"/>
        <w:spacing w:after="0" w:line="317" w:lineRule="auto"/>
        <w:rPr>
          <w:sz w:val="20"/>
          <w:szCs w:val="20"/>
          <w:color w:val="auto"/>
        </w:rPr>
      </w:pPr>
      <w:r>
        <w:rPr>
          <w:rFonts w:ascii="Arial" w:cs="Arial" w:eastAsia="Arial" w:hAnsi="Arial"/>
          <w:sz w:val="12"/>
          <w:szCs w:val="12"/>
          <w:color w:val="auto"/>
        </w:rPr>
        <w:t>Based on year-to-date performance and expectations for the remainder of the year, the Company reaffirms its full-year 2026 outlook for revenue and Adjusted EBITDA, and now anticipates Free Cash Flow to exceed our prior forecast:</w:t>
      </w:r>
    </w:p>
    <w:p>
      <w:pPr>
        <w:spacing w:after="0" w:line="49" w:lineRule="exact"/>
        <w:rPr>
          <w:sz w:val="20"/>
          <w:szCs w:val="20"/>
          <w:color w:val="auto"/>
        </w:rPr>
      </w:pPr>
    </w:p>
    <w:p>
      <w:pPr>
        <w:ind w:left="428" w:hanging="212"/>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Total Revenue</w:t>
      </w:r>
      <w:r>
        <w:rPr>
          <w:rFonts w:ascii="Arial" w:cs="Arial" w:eastAsia="Arial" w:hAnsi="Arial"/>
          <w:sz w:val="12"/>
          <w:szCs w:val="12"/>
          <w:color w:val="auto"/>
        </w:rPr>
        <w:t>: Reaffirmed outlook of $6.2 billion to $6.45 billion</w:t>
      </w:r>
    </w:p>
    <w:p>
      <w:pPr>
        <w:spacing w:after="0" w:line="75" w:lineRule="exact"/>
        <w:rPr>
          <w:rFonts w:ascii="Arial" w:cs="Arial" w:eastAsia="Arial" w:hAnsi="Arial"/>
          <w:sz w:val="12"/>
          <w:szCs w:val="12"/>
          <w:color w:val="auto"/>
        </w:rPr>
      </w:pPr>
    </w:p>
    <w:p>
      <w:pPr>
        <w:ind w:left="428" w:hanging="212"/>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Adjusted EBITDA</w:t>
      </w:r>
      <w:r>
        <w:rPr>
          <w:rFonts w:ascii="Arial" w:cs="Arial" w:eastAsia="Arial" w:hAnsi="Arial"/>
          <w:sz w:val="15"/>
          <w:szCs w:val="15"/>
          <w:b w:val="1"/>
          <w:bCs w:val="1"/>
          <w:color w:val="auto"/>
          <w:vertAlign w:val="superscript"/>
        </w:rPr>
        <w:t>2</w:t>
      </w:r>
      <w:r>
        <w:rPr>
          <w:rFonts w:ascii="Arial" w:cs="Arial" w:eastAsia="Arial" w:hAnsi="Arial"/>
          <w:sz w:val="12"/>
          <w:szCs w:val="12"/>
          <w:color w:val="auto"/>
        </w:rPr>
        <w:t>: Reaffirmed outlook of $1.90 billion to $2.05 billion</w:t>
      </w:r>
    </w:p>
    <w:p>
      <w:pPr>
        <w:spacing w:after="0" w:line="43" w:lineRule="exact"/>
        <w:rPr>
          <w:rFonts w:ascii="Arial" w:cs="Arial" w:eastAsia="Arial" w:hAnsi="Arial"/>
          <w:sz w:val="12"/>
          <w:szCs w:val="12"/>
          <w:color w:val="auto"/>
        </w:rPr>
      </w:pPr>
    </w:p>
    <w:p>
      <w:pPr>
        <w:ind w:left="428" w:hanging="212"/>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Free Cash Flow</w:t>
      </w:r>
      <w:r>
        <w:rPr>
          <w:rFonts w:ascii="Arial" w:cs="Arial" w:eastAsia="Arial" w:hAnsi="Arial"/>
          <w:sz w:val="15"/>
          <w:szCs w:val="15"/>
          <w:b w:val="1"/>
          <w:bCs w:val="1"/>
          <w:color w:val="auto"/>
          <w:vertAlign w:val="superscript"/>
        </w:rPr>
        <w:t>2</w:t>
      </w:r>
      <w:r>
        <w:rPr>
          <w:rFonts w:ascii="Arial" w:cs="Arial" w:eastAsia="Arial" w:hAnsi="Arial"/>
          <w:sz w:val="12"/>
          <w:szCs w:val="12"/>
          <w:color w:val="auto"/>
        </w:rPr>
        <w:t>: Expected to exceed the prior $1.0 billion to $1.2 billion range</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Dividends and Share Repurchase Program</w:t>
      </w:r>
    </w:p>
    <w:p>
      <w:pPr>
        <w:spacing w:after="0" w:line="131" w:lineRule="exact"/>
        <w:rPr>
          <w:sz w:val="20"/>
          <w:szCs w:val="20"/>
          <w:color w:val="auto"/>
        </w:rPr>
      </w:pPr>
    </w:p>
    <w:p>
      <w:pPr>
        <w:ind w:left="8" w:right="140"/>
        <w:spacing w:after="0" w:line="333" w:lineRule="auto"/>
        <w:rPr>
          <w:sz w:val="20"/>
          <w:szCs w:val="20"/>
          <w:color w:val="auto"/>
        </w:rPr>
      </w:pPr>
      <w:r>
        <w:rPr>
          <w:rFonts w:ascii="Arial" w:cs="Arial" w:eastAsia="Arial" w:hAnsi="Arial"/>
          <w:sz w:val="12"/>
          <w:szCs w:val="12"/>
          <w:color w:val="auto"/>
        </w:rPr>
        <w:t>On November 3, 2026, the Board of Directors declared the fourth quarterly cash dividend of $0.375 per share, payable on January 25, 2027, to shareholders of record as of the close of business on January 4, 2027.</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2"/>
          <w:szCs w:val="12"/>
          <w:color w:val="auto"/>
        </w:rPr>
        <w:t>During the third quarter of 2026, the Company repurchased $100 million of its Class A common stock under an accelerated share repurchase (ASR) agreement, representing approximately 2.6 million shares.</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2"/>
          <w:szCs w:val="12"/>
          <w:color w:val="auto"/>
        </w:rPr>
        <w:t>Approximately $700 million remained available under the Company's stock repurchase program as of September 30, 2026.</w:t>
      </w:r>
    </w:p>
    <w:p>
      <w:pPr>
        <w:spacing w:after="0" w:line="141" w:lineRule="exact"/>
        <w:rPr>
          <w:sz w:val="20"/>
          <w:szCs w:val="20"/>
          <w:color w:val="auto"/>
        </w:rPr>
      </w:pPr>
    </w:p>
    <w:p>
      <w:pPr>
        <w:ind w:left="8" w:right="60"/>
        <w:spacing w:after="0" w:line="333" w:lineRule="auto"/>
        <w:rPr>
          <w:sz w:val="20"/>
          <w:szCs w:val="20"/>
          <w:color w:val="auto"/>
        </w:rPr>
      </w:pPr>
      <w:r>
        <w:rPr>
          <w:rFonts w:ascii="Arial" w:cs="Arial" w:eastAsia="Arial" w:hAnsi="Arial"/>
          <w:sz w:val="12"/>
          <w:szCs w:val="12"/>
          <w:color w:val="auto"/>
        </w:rPr>
        <w:t>The Company expects to enter into an ASR agreement commencing November 4, 2026, to repurchase $100 million of its Class A common stock under the Company's stock repurchase program. The Company anticipates completing the transaction during the fourth quarter of 2026.</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Basis of Presentation</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interim condensed consolidated and combined financial statements have been prepared in accordance with GAAP and pursuant to the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50876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8760" cy="5715"/>
                    </a:xfrm>
                    <a:prstGeom prst="rect">
                      <a:avLst/>
                    </a:prstGeom>
                    <a:noFill/>
                  </pic:spPr>
                </pic:pic>
              </a:graphicData>
            </a:graphic>
          </wp:anchor>
        </w:drawing>
      </w:r>
    </w:p>
    <w:p>
      <w:pPr>
        <w:spacing w:after="0" w:line="228" w:lineRule="exact"/>
        <w:rPr>
          <w:sz w:val="20"/>
          <w:szCs w:val="20"/>
          <w:color w:val="auto"/>
        </w:rPr>
      </w:pPr>
    </w:p>
    <w:p>
      <w:pPr>
        <w:ind w:left="8" w:hanging="8"/>
        <w:spacing w:after="0" w:line="186" w:lineRule="auto"/>
        <w:tabs>
          <w:tab w:leader="none" w:pos="100" w:val="left"/>
        </w:tabs>
        <w:numPr>
          <w:ilvl w:val="0"/>
          <w:numId w:val="6"/>
        </w:numPr>
        <w:rPr>
          <w:rFonts w:ascii="Arial" w:cs="Arial" w:eastAsia="Arial" w:hAnsi="Arial"/>
          <w:sz w:val="17"/>
          <w:szCs w:val="17"/>
          <w:color w:val="auto"/>
          <w:vertAlign w:val="superscript"/>
        </w:rPr>
      </w:pPr>
      <w:r>
        <w:rPr>
          <w:rFonts w:ascii="Arial" w:cs="Arial" w:eastAsia="Arial" w:hAnsi="Arial"/>
          <w:sz w:val="9"/>
          <w:szCs w:val="9"/>
          <w:color w:val="auto"/>
        </w:rPr>
        <w:t>Adjusted EBITDA and Free Cash Flow are non-GAAP financial measures. Further information and reconciliations to the most comparable GAAP measures, as well as explanations as to why reconciliations are not provided for forward-looking information, can be found under Table 4 below.</w:t>
      </w:r>
    </w:p>
    <w:p>
      <w:pPr>
        <w:sectPr>
          <w:pgSz w:w="11900" w:h="16838" w:orient="portrait"/>
          <w:cols w:equalWidth="0" w:num="1">
            <w:col w:w="11148"/>
          </w:cols>
          <w:pgMar w:left="292" w:top="1081" w:right="459" w:bottom="1440" w:gutter="0" w:footer="0" w:header="0"/>
        </w:sectPr>
      </w:pPr>
    </w:p>
    <w:bookmarkStart w:id="7" w:name="page8"/>
    <w:bookmarkEnd w:id="7"/>
    <w:p>
      <w:pPr>
        <w:spacing w:after="0" w:line="298" w:lineRule="auto"/>
        <w:rPr>
          <w:sz w:val="20"/>
          <w:szCs w:val="20"/>
          <w:color w:val="auto"/>
        </w:rPr>
      </w:pPr>
      <w:r>
        <w:rPr>
          <w:rFonts w:ascii="Arial" w:cs="Arial" w:eastAsia="Arial" w:hAnsi="Arial"/>
          <w:sz w:val="12"/>
          <w:szCs w:val="12"/>
          <w:color w:val="auto"/>
        </w:rPr>
        <w:t>For the prior year periods presented in the combined financial statements before our separation from Comcast on January 2, 2026 (the "Separation") included in this report, the Versant businesses operated as part of Comcast’s Media segment. As such, the prior year combined financial statements were derived from Comcast’s historical accounting records as if Versant operations had been conducted independently from Comcast, and reflect our assets, liabilities, revenues and expenses on a historical cost basis. The prior year historical financial statements were prepared using allocations and carve-out methodologies for the periods prior to the Separation, using assumptions that management believed to be reasonable. Accordingly, the combined financial statements herein for periods prior to the Separation from Comcast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Numerical information in this report is presented on a rounded basis using actual amounts. Minor differences in totals and percentage calculations may exist due to rounding.</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Conference Call and Other Information</w:t>
      </w:r>
    </w:p>
    <w:p>
      <w:pPr>
        <w:spacing w:after="0" w:line="59" w:lineRule="exact"/>
        <w:rPr>
          <w:sz w:val="20"/>
          <w:szCs w:val="20"/>
          <w:color w:val="auto"/>
        </w:rPr>
      </w:pPr>
    </w:p>
    <w:p>
      <w:pPr>
        <w:ind w:right="380"/>
        <w:spacing w:after="0" w:line="333" w:lineRule="auto"/>
        <w:rPr>
          <w:sz w:val="20"/>
          <w:szCs w:val="20"/>
          <w:color w:val="auto"/>
        </w:rPr>
      </w:pPr>
      <w:r>
        <w:rPr>
          <w:rFonts w:ascii="Arial" w:cs="Arial" w:eastAsia="Arial" w:hAnsi="Arial"/>
          <w:sz w:val="12"/>
          <w:szCs w:val="12"/>
          <w:color w:val="auto"/>
        </w:rPr>
        <w:t xml:space="preserve">The Company will host a conference call on November 3, 2026, at 8:00 a.m. ET. A live webcast of the call and related presentation materials will be available on the Company’s Investor Relations website at </w:t>
      </w:r>
      <w:r>
        <w:rPr>
          <w:rFonts w:ascii="Arial" w:cs="Arial" w:eastAsia="Arial" w:hAnsi="Arial"/>
          <w:sz w:val="12"/>
          <w:szCs w:val="12"/>
          <w:u w:val="single" w:color="auto"/>
          <w:color w:val="0E32E1"/>
        </w:rPr>
        <w:t>www.versantmedia.com/investors</w:t>
      </w:r>
      <w:r>
        <w:rPr>
          <w:rFonts w:ascii="Arial" w:cs="Arial" w:eastAsia="Arial" w:hAnsi="Arial"/>
          <w:sz w:val="12"/>
          <w:szCs w:val="12"/>
          <w:color w:val="000000"/>
        </w:rPr>
        <w:t>. Following the conference call, an audio replay will also be made available on the Investor Relations website.</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additional information about Versant, including SEC filings, please visit the Investor Relations website at </w:t>
      </w:r>
      <w:r>
        <w:rPr>
          <w:rFonts w:ascii="Arial" w:cs="Arial" w:eastAsia="Arial" w:hAnsi="Arial"/>
          <w:sz w:val="12"/>
          <w:szCs w:val="12"/>
          <w:u w:val="single" w:color="auto"/>
          <w:color w:val="0E32E1"/>
        </w:rPr>
        <w:t>www.versantmedia.com/investors</w:t>
      </w:r>
      <w:r>
        <w:rPr>
          <w:rFonts w:ascii="Arial" w:cs="Arial" w:eastAsia="Arial" w:hAnsi="Arial"/>
          <w:sz w:val="12"/>
          <w:szCs w:val="12"/>
          <w:color w:val="auto"/>
        </w:rPr>
        <w:t xml:space="preserve"> or </w:t>
      </w:r>
      <w:r>
        <w:rPr>
          <w:rFonts w:ascii="Arial" w:cs="Arial" w:eastAsia="Arial" w:hAnsi="Arial"/>
          <w:sz w:val="12"/>
          <w:szCs w:val="12"/>
          <w:u w:val="single" w:color="auto"/>
          <w:color w:val="0E32E1"/>
        </w:rPr>
        <w:t>www.versantmedia.com.</w:t>
      </w:r>
    </w:p>
    <w:p>
      <w:pPr>
        <w:sectPr>
          <w:pgSz w:w="11900" w:h="16838" w:orient="portrait"/>
          <w:cols w:equalWidth="0" w:num="1">
            <w:col w:w="11260"/>
          </w:cols>
          <w:pgMar w:left="300" w:top="1108" w:right="33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Wylie Collins</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Natalie Candela</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Wylie.Collins@VersantMedia.com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Natalie.Candela@VersantMedia.com</w:t>
      </w:r>
    </w:p>
    <w:p>
      <w:pPr>
        <w:spacing w:after="0" w:line="144" w:lineRule="exact"/>
        <w:rPr>
          <w:sz w:val="20"/>
          <w:szCs w:val="20"/>
          <w:color w:val="auto"/>
        </w:rPr>
      </w:pPr>
    </w:p>
    <w:p>
      <w:pPr>
        <w:sectPr>
          <w:pgSz w:w="11900" w:h="16838" w:orient="portrait"/>
          <w:cols w:equalWidth="0" w:num="2">
            <w:col w:w="5200" w:space="720"/>
            <w:col w:w="5340"/>
          </w:cols>
          <w:pgMar w:left="300" w:top="1108" w:right="3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Press Contacts: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Keith Cocozza</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Hollie Tracz</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Keith@VersantMedia.com</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Hollie.Tracz@VersantMedia.com</w:t>
      </w:r>
    </w:p>
    <w:p>
      <w:pPr>
        <w:sectPr>
          <w:pgSz w:w="11900" w:h="16838" w:orient="portrait"/>
          <w:cols w:equalWidth="0" w:num="2">
            <w:col w:w="5200" w:space="720"/>
            <w:col w:w="5340"/>
          </w:cols>
          <w:pgMar w:left="300" w:top="1108"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3"/>
          <w:szCs w:val="13"/>
          <w:b w:val="1"/>
          <w:bCs w:val="1"/>
          <w:color w:val="auto"/>
        </w:rPr>
        <w:t>Caution Concerning Forward-Looking Statements</w:t>
      </w:r>
    </w:p>
    <w:p>
      <w:pPr>
        <w:spacing w:after="0" w:line="149" w:lineRule="exact"/>
        <w:rPr>
          <w:sz w:val="20"/>
          <w:szCs w:val="20"/>
          <w:color w:val="auto"/>
        </w:rPr>
      </w:pPr>
    </w:p>
    <w:p>
      <w:pPr>
        <w:spacing w:after="0" w:line="316" w:lineRule="auto"/>
        <w:rPr>
          <w:sz w:val="20"/>
          <w:szCs w:val="20"/>
          <w:color w:val="auto"/>
        </w:rPr>
      </w:pPr>
      <w:r>
        <w:rPr>
          <w:rFonts w:ascii="Arial" w:cs="Arial" w:eastAsia="Arial" w:hAnsi="Arial"/>
          <w:sz w:val="12"/>
          <w:szCs w:val="12"/>
          <w:color w:val="auto"/>
        </w:rPr>
        <w:t>This press release includes statements that may constitute forward-looking statements within the meaning of the Private Securities Litigation Reform Act of 1995, Section 27A of the Securities Act of 1933, and Section 21E of the Securities Exchange Act of 1934. In some cases, you can identify these statements by forward-looking words such as “may,” “might,” “would,” “will,” “should,” “could,” “expects,” “plans,” “intends,” “anticipates,” “believes,” “estimates,” “predicts,” “potential,” “opportunity,” “strategy,” “future,” “goal,” "outlook," “commit,” or “continue,” the negative of these terms and other comparable terminology. These statements are only predictions based on our current expectations and projections about future events and reflect our beliefs regarding such future events and do not represent historical facts or statements of current condition. In evaluating these statements, readers should consider various factors, including the risks and uncertainties we describe in the “Risk Factors” sections of our most recent Annual Report on Form 10-K, and other reports filed with the Securities and Exchange Commission (SEC). Factors that could cause our actual results to differ materially from these forward-looking statements include changes in and/or risks associated with: the ability to deliver benefits of acquisitions and divestitures; the competitive environment; consumer behavior; distribution agreements; the advertising market; our brands and reputation; consumer acceptance of our content; growth of our digital platforms; use and protection of our intellectual property; cyber-attacks or incidents, information or security breaches or technology disruptions; weak economic conditions; personnel; labor disputes; laws and regulations; network rebrands; adverse decisions in litigation or governmental investigations; investments and acquisitions; our separation from Comcast Corporation; obligations associated with being a public company; our indebtedness;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Versant Media Group, Inc.</w:t>
      </w:r>
    </w:p>
    <w:p>
      <w:pPr>
        <w:spacing w:after="0" w:line="149" w:lineRule="exact"/>
        <w:rPr>
          <w:sz w:val="20"/>
          <w:szCs w:val="20"/>
          <w:color w:val="auto"/>
        </w:rPr>
      </w:pPr>
    </w:p>
    <w:p>
      <w:pPr>
        <w:ind w:right="80"/>
        <w:spacing w:after="0" w:line="324" w:lineRule="auto"/>
        <w:rPr>
          <w:sz w:val="20"/>
          <w:szCs w:val="20"/>
          <w:color w:val="auto"/>
        </w:rPr>
      </w:pPr>
      <w:r>
        <w:rPr>
          <w:rFonts w:ascii="Arial" w:cs="Arial" w:eastAsia="Arial" w:hAnsi="Arial"/>
          <w:sz w:val="12"/>
          <w:szCs w:val="12"/>
          <w:color w:val="auto"/>
        </w:rPr>
        <w:t xml:space="preserve">Versant Media Group, Inc. (Nasdaq: VSNT) is an industry-changing media and entertainment business and home to trusted brands that shape culture, inform audiences, and build lasting connections. It operates across four core markets: political news and opinion; business news and personal finance; golf; and sports and genre entertainment. These markets are served through a powerful portfolio of iconic and innovative brands, including CNBC, MS NOW, USA Network, Golf Channel, Oxygen, E!, SYFY, USA Sports, Fandango, Rotten Tomatoes, GolfNow, GolfPass and Full Swing. Visit </w:t>
      </w:r>
      <w:r>
        <w:rPr>
          <w:rFonts w:ascii="Arial" w:cs="Arial" w:eastAsia="Arial" w:hAnsi="Arial"/>
          <w:sz w:val="12"/>
          <w:szCs w:val="12"/>
          <w:u w:val="single" w:color="auto"/>
          <w:color w:val="0E32E1"/>
        </w:rPr>
        <w:t>www.versantmedia.com</w:t>
      </w:r>
      <w:r>
        <w:rPr>
          <w:rFonts w:ascii="Arial" w:cs="Arial" w:eastAsia="Arial" w:hAnsi="Arial"/>
          <w:sz w:val="12"/>
          <w:szCs w:val="12"/>
          <w:color w:val="auto"/>
        </w:rPr>
        <w:t xml:space="preserve"> for more information.</w:t>
      </w:r>
    </w:p>
    <w:p>
      <w:pPr>
        <w:sectPr>
          <w:pgSz w:w="11900" w:h="16838" w:orient="portrait"/>
          <w:cols w:equalWidth="0" w:num="1">
            <w:col w:w="11280"/>
          </w:cols>
          <w:pgMar w:left="300" w:top="1160" w:right="319" w:bottom="1440" w:gutter="0" w:footer="0" w:header="0"/>
        </w:sectPr>
      </w:pPr>
    </w:p>
    <w:bookmarkStart w:id="9" w:name="page10"/>
    <w:bookmarkEnd w:id="9"/>
    <w:p>
      <w:pPr>
        <w:ind w:left="20"/>
        <w:spacing w:after="0"/>
        <w:rPr>
          <w:sz w:val="20"/>
          <w:szCs w:val="20"/>
          <w:color w:val="auto"/>
        </w:rPr>
      </w:pPr>
      <w:r>
        <w:rPr>
          <w:rFonts w:ascii="Arial" w:cs="Arial" w:eastAsia="Arial" w:hAnsi="Arial"/>
          <w:sz w:val="12"/>
          <w:szCs w:val="12"/>
          <w:b w:val="1"/>
          <w:bCs w:val="1"/>
          <w:color w:val="auto"/>
        </w:rPr>
        <w:t>TABLE 1</w:t>
      </w:r>
    </w:p>
    <w:p>
      <w:pPr>
        <w:ind w:left="20"/>
        <w:spacing w:after="0" w:line="219" w:lineRule="auto"/>
        <w:rPr>
          <w:sz w:val="20"/>
          <w:szCs w:val="20"/>
          <w:color w:val="auto"/>
        </w:rPr>
      </w:pPr>
      <w:r>
        <w:rPr>
          <w:rFonts w:ascii="Arial" w:cs="Arial" w:eastAsia="Arial" w:hAnsi="Arial"/>
          <w:sz w:val="12"/>
          <w:szCs w:val="12"/>
          <w:b w:val="1"/>
          <w:bCs w:val="1"/>
          <w:color w:val="auto"/>
        </w:rPr>
        <w:t>Condensed Consolidated and Combined Statements of Income</w:t>
      </w:r>
    </w:p>
    <w:p>
      <w:pPr>
        <w:ind w:left="20"/>
        <w:spacing w:after="0"/>
        <w:rPr>
          <w:sz w:val="20"/>
          <w:szCs w:val="20"/>
          <w:color w:val="auto"/>
        </w:rPr>
      </w:pPr>
      <w:r>
        <w:rPr>
          <w:rFonts w:ascii="Arial" w:cs="Arial" w:eastAsia="Arial" w:hAnsi="Arial"/>
          <w:sz w:val="12"/>
          <w:szCs w:val="12"/>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940" w:type="dxa"/>
            <w:vAlign w:val="bottom"/>
            <w:gridSpan w:val="5"/>
          </w:tcPr>
          <w:p>
            <w:pPr>
              <w:ind w:left="320"/>
              <w:spacing w:after="0"/>
              <w:rPr>
                <w:sz w:val="20"/>
                <w:szCs w:val="20"/>
                <w:color w:val="auto"/>
              </w:rPr>
            </w:pPr>
            <w:r>
              <w:rPr>
                <w:rFonts w:ascii="Arial" w:cs="Arial" w:eastAsia="Arial" w:hAnsi="Arial"/>
                <w:sz w:val="11"/>
                <w:szCs w:val="11"/>
                <w:b w:val="1"/>
                <w:bCs w:val="1"/>
                <w:color w:val="auto"/>
              </w:rPr>
              <w:t>Three Months Ended September 30,</w:t>
            </w:r>
          </w:p>
        </w:tc>
        <w:tc>
          <w:tcPr>
            <w:tcW w:w="380" w:type="dxa"/>
            <w:vAlign w:val="bottom"/>
          </w:tcPr>
          <w:p>
            <w:pPr>
              <w:spacing w:after="0"/>
              <w:rPr>
                <w:sz w:val="11"/>
                <w:szCs w:val="11"/>
                <w:color w:val="auto"/>
              </w:rPr>
            </w:pPr>
          </w:p>
        </w:tc>
        <w:tc>
          <w:tcPr>
            <w:tcW w:w="2800" w:type="dxa"/>
            <w:vAlign w:val="bottom"/>
            <w:gridSpan w:val="4"/>
          </w:tcPr>
          <w:p>
            <w:pPr>
              <w:jc w:val="right"/>
              <w:ind w:right="640"/>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ind w:right="621"/>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20"/>
        </w:trPr>
        <w:tc>
          <w:tcPr>
            <w:tcW w:w="4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940" w:type="dxa"/>
            <w:vAlign w:val="bottom"/>
            <w:gridSpan w:val="5"/>
          </w:tcPr>
          <w:p>
            <w:pPr>
              <w:ind w:left="420"/>
              <w:spacing w:after="0"/>
              <w:rPr>
                <w:sz w:val="20"/>
                <w:szCs w:val="20"/>
                <w:color w:val="auto"/>
              </w:rPr>
            </w:pPr>
            <w:r>
              <w:rPr>
                <w:rFonts w:ascii="Arial" w:cs="Arial" w:eastAsia="Arial" w:hAnsi="Arial"/>
                <w:sz w:val="10"/>
                <w:szCs w:val="10"/>
                <w:b w:val="1"/>
                <w:bCs w:val="1"/>
                <w:i w:val="1"/>
                <w:iCs w:val="1"/>
                <w:color w:val="auto"/>
              </w:rPr>
              <w:t>(in millions, except per share data)</w:t>
            </w: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Revenue</w:t>
            </w:r>
          </w:p>
        </w:tc>
        <w:tc>
          <w:tcPr>
            <w:tcW w:w="380" w:type="dxa"/>
            <w:vAlign w:val="bottom"/>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1,594</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2"/>
                <w:szCs w:val="12"/>
                <w:b w:val="1"/>
                <w:bCs w:val="1"/>
                <w:color w:val="auto"/>
              </w:rPr>
              <w:t>1,663</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2"/>
                <w:szCs w:val="12"/>
                <w:b w:val="1"/>
                <w:bCs w:val="1"/>
                <w:color w:val="auto"/>
              </w:rPr>
              <w:t>4,925</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5,078</w:t>
            </w:r>
          </w:p>
        </w:tc>
        <w:tc>
          <w:tcPr>
            <w:tcW w:w="0" w:type="dxa"/>
            <w:vAlign w:val="bottom"/>
          </w:tcPr>
          <w:p>
            <w:pPr>
              <w:spacing w:after="0"/>
              <w:rPr>
                <w:sz w:val="1"/>
                <w:szCs w:val="1"/>
                <w:color w:val="auto"/>
              </w:rPr>
            </w:pPr>
          </w:p>
        </w:tc>
      </w:tr>
      <w:tr>
        <w:trPr>
          <w:trHeight w:val="153"/>
        </w:trPr>
        <w:tc>
          <w:tcPr>
            <w:tcW w:w="4820" w:type="dxa"/>
            <w:vAlign w:val="bottom"/>
          </w:tcPr>
          <w:p>
            <w:pPr>
              <w:ind w:left="20"/>
              <w:spacing w:after="0"/>
              <w:rPr>
                <w:sz w:val="20"/>
                <w:szCs w:val="20"/>
                <w:color w:val="auto"/>
              </w:rPr>
            </w:pPr>
            <w:r>
              <w:rPr>
                <w:rFonts w:ascii="Arial" w:cs="Arial" w:eastAsia="Arial" w:hAnsi="Arial"/>
                <w:sz w:val="12"/>
                <w:szCs w:val="12"/>
                <w:color w:val="auto"/>
              </w:rPr>
              <w:t>Costs and expenses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20" w:type="dxa"/>
            <w:vAlign w:val="bottom"/>
          </w:tcPr>
          <w:p>
            <w:pPr>
              <w:ind w:left="180"/>
              <w:spacing w:after="0"/>
              <w:rPr>
                <w:sz w:val="20"/>
                <w:szCs w:val="20"/>
                <w:color w:val="auto"/>
              </w:rPr>
            </w:pPr>
            <w:r>
              <w:rPr>
                <w:rFonts w:ascii="Arial" w:cs="Arial" w:eastAsia="Arial" w:hAnsi="Arial"/>
                <w:sz w:val="12"/>
                <w:szCs w:val="12"/>
                <w:color w:val="auto"/>
              </w:rPr>
              <w:t>Costs of revenue (exclusive of depreciation and amortization)</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879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873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2,167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2,227</w:t>
            </w:r>
          </w:p>
        </w:tc>
        <w:tc>
          <w:tcPr>
            <w:tcW w:w="0" w:type="dxa"/>
            <w:vAlign w:val="bottom"/>
          </w:tcPr>
          <w:p>
            <w:pPr>
              <w:spacing w:after="0"/>
              <w:rPr>
                <w:sz w:val="1"/>
                <w:szCs w:val="1"/>
                <w:color w:val="auto"/>
              </w:rPr>
            </w:pPr>
          </w:p>
        </w:tc>
      </w:tr>
      <w:tr>
        <w:trPr>
          <w:trHeight w:val="153"/>
        </w:trPr>
        <w:tc>
          <w:tcPr>
            <w:tcW w:w="4820" w:type="dxa"/>
            <w:vAlign w:val="bottom"/>
          </w:tcPr>
          <w:p>
            <w:pPr>
              <w:ind w:left="180"/>
              <w:spacing w:after="0"/>
              <w:rPr>
                <w:sz w:val="20"/>
                <w:szCs w:val="20"/>
                <w:color w:val="auto"/>
              </w:rPr>
            </w:pPr>
            <w:r>
              <w:rPr>
                <w:rFonts w:ascii="Arial" w:cs="Arial" w:eastAsia="Arial" w:hAnsi="Arial"/>
                <w:sz w:val="12"/>
                <w:szCs w:val="12"/>
                <w:color w:val="auto"/>
              </w:rPr>
              <w:t>Selling, general and administrative</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362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372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color w:val="auto"/>
              </w:rPr>
              <w:t>1,082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1,034</w:t>
            </w:r>
          </w:p>
        </w:tc>
        <w:tc>
          <w:tcPr>
            <w:tcW w:w="0" w:type="dxa"/>
            <w:vAlign w:val="bottom"/>
          </w:tcPr>
          <w:p>
            <w:pPr>
              <w:spacing w:after="0"/>
              <w:rPr>
                <w:sz w:val="1"/>
                <w:szCs w:val="1"/>
                <w:color w:val="auto"/>
              </w:rPr>
            </w:pPr>
          </w:p>
        </w:tc>
      </w:tr>
      <w:tr>
        <w:trPr>
          <w:trHeight w:val="157"/>
        </w:trPr>
        <w:tc>
          <w:tcPr>
            <w:tcW w:w="4820" w:type="dxa"/>
            <w:vAlign w:val="bottom"/>
          </w:tcPr>
          <w:p>
            <w:pPr>
              <w:ind w:left="180"/>
              <w:spacing w:after="0"/>
              <w:rPr>
                <w:sz w:val="20"/>
                <w:szCs w:val="20"/>
                <w:color w:val="auto"/>
              </w:rPr>
            </w:pPr>
            <w:r>
              <w:rPr>
                <w:rFonts w:ascii="Arial" w:cs="Arial" w:eastAsia="Arial" w:hAnsi="Arial"/>
                <w:sz w:val="12"/>
                <w:szCs w:val="12"/>
                <w:color w:val="auto"/>
              </w:rPr>
              <w:t>Depreciation and amortization</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255</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757</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744</w:t>
            </w:r>
          </w:p>
        </w:tc>
        <w:tc>
          <w:tcPr>
            <w:tcW w:w="0" w:type="dxa"/>
            <w:vAlign w:val="bottom"/>
          </w:tcPr>
          <w:p>
            <w:pPr>
              <w:spacing w:after="0"/>
              <w:rPr>
                <w:sz w:val="1"/>
                <w:szCs w:val="1"/>
                <w:color w:val="auto"/>
              </w:rPr>
            </w:pPr>
          </w:p>
        </w:tc>
      </w:tr>
      <w:tr>
        <w:trPr>
          <w:trHeight w:val="142"/>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Total costs and expenses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1,483</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1,499</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4,006</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4,005</w:t>
            </w:r>
          </w:p>
        </w:tc>
        <w:tc>
          <w:tcPr>
            <w:tcW w:w="0" w:type="dxa"/>
            <w:vAlign w:val="bottom"/>
          </w:tcPr>
          <w:p>
            <w:pPr>
              <w:spacing w:after="0"/>
              <w:rPr>
                <w:sz w:val="1"/>
                <w:szCs w:val="1"/>
                <w:color w:val="auto"/>
              </w:rPr>
            </w:pPr>
          </w:p>
        </w:tc>
      </w:tr>
      <w:tr>
        <w:trPr>
          <w:trHeight w:val="138"/>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Operating income</w:t>
            </w: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110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b w:val="1"/>
                <w:bCs w:val="1"/>
                <w:color w:val="auto"/>
              </w:rPr>
              <w:t>164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b w:val="1"/>
                <w:bCs w:val="1"/>
                <w:color w:val="auto"/>
              </w:rPr>
              <w:t>919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1,073</w:t>
            </w:r>
          </w:p>
        </w:tc>
        <w:tc>
          <w:tcPr>
            <w:tcW w:w="0" w:type="dxa"/>
            <w:vAlign w:val="bottom"/>
          </w:tcPr>
          <w:p>
            <w:pPr>
              <w:spacing w:after="0"/>
              <w:rPr>
                <w:sz w:val="1"/>
                <w:szCs w:val="1"/>
                <w:color w:val="auto"/>
              </w:rPr>
            </w:pPr>
          </w:p>
        </w:tc>
      </w:tr>
      <w:tr>
        <w:trPr>
          <w:trHeight w:val="153"/>
        </w:trPr>
        <w:tc>
          <w:tcPr>
            <w:tcW w:w="482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(53)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(157)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4820" w:type="dxa"/>
            <w:vAlign w:val="bottom"/>
          </w:tcPr>
          <w:p>
            <w:pPr>
              <w:ind w:left="20"/>
              <w:spacing w:after="0"/>
              <w:rPr>
                <w:sz w:val="20"/>
                <w:szCs w:val="20"/>
                <w:color w:val="auto"/>
              </w:rPr>
            </w:pPr>
            <w:r>
              <w:rPr>
                <w:rFonts w:ascii="Arial" w:cs="Arial" w:eastAsia="Arial" w:hAnsi="Arial"/>
                <w:sz w:val="12"/>
                <w:szCs w:val="12"/>
                <w:color w:val="auto"/>
              </w:rPr>
              <w:t>Investment and other income (loss), net</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38"/>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Income before income taxes</w:t>
            </w: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66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b w:val="1"/>
                <w:bCs w:val="1"/>
                <w:color w:val="auto"/>
              </w:rPr>
              <w:t>124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b w:val="1"/>
                <w:bCs w:val="1"/>
                <w:color w:val="auto"/>
              </w:rPr>
              <w:t>787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1,033</w:t>
            </w:r>
          </w:p>
        </w:tc>
        <w:tc>
          <w:tcPr>
            <w:tcW w:w="0" w:type="dxa"/>
            <w:vAlign w:val="bottom"/>
          </w:tcPr>
          <w:p>
            <w:pPr>
              <w:spacing w:after="0"/>
              <w:rPr>
                <w:sz w:val="1"/>
                <w:szCs w:val="1"/>
                <w:color w:val="auto"/>
              </w:rPr>
            </w:pPr>
          </w:p>
        </w:tc>
      </w:tr>
      <w:tr>
        <w:trPr>
          <w:trHeight w:val="157"/>
        </w:trPr>
        <w:tc>
          <w:tcPr>
            <w:tcW w:w="4820" w:type="dxa"/>
            <w:vAlign w:val="bottom"/>
          </w:tcPr>
          <w:p>
            <w:pPr>
              <w:ind w:left="20"/>
              <w:spacing w:after="0"/>
              <w:rPr>
                <w:sz w:val="20"/>
                <w:szCs w:val="20"/>
                <w:color w:val="auto"/>
              </w:rPr>
            </w:pPr>
            <w:r>
              <w:rPr>
                <w:rFonts w:ascii="Arial" w:cs="Arial" w:eastAsia="Arial" w:hAnsi="Arial"/>
                <w:sz w:val="12"/>
                <w:szCs w:val="12"/>
                <w:color w:val="auto"/>
              </w:rPr>
              <w:t>Income tax expense</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147"/>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Net income</w:t>
            </w: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47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b w:val="1"/>
                <w:bCs w:val="1"/>
                <w:color w:val="auto"/>
              </w:rPr>
              <w:t>79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1"/>
              <w:spacing w:after="0"/>
              <w:rPr>
                <w:sz w:val="20"/>
                <w:szCs w:val="20"/>
                <w:color w:val="auto"/>
              </w:rPr>
            </w:pPr>
            <w:r>
              <w:rPr>
                <w:rFonts w:ascii="Arial" w:cs="Arial" w:eastAsia="Arial" w:hAnsi="Arial"/>
                <w:sz w:val="12"/>
                <w:szCs w:val="12"/>
                <w:b w:val="1"/>
                <w:bCs w:val="1"/>
                <w:color w:val="auto"/>
              </w:rPr>
              <w:t>544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749</w:t>
            </w:r>
          </w:p>
        </w:tc>
        <w:tc>
          <w:tcPr>
            <w:tcW w:w="0" w:type="dxa"/>
            <w:vAlign w:val="bottom"/>
          </w:tcPr>
          <w:p>
            <w:pPr>
              <w:spacing w:after="0"/>
              <w:rPr>
                <w:sz w:val="1"/>
                <w:szCs w:val="1"/>
                <w:color w:val="auto"/>
              </w:rPr>
            </w:pPr>
          </w:p>
        </w:tc>
      </w:tr>
      <w:tr>
        <w:trPr>
          <w:trHeight w:val="159"/>
        </w:trPr>
        <w:tc>
          <w:tcPr>
            <w:tcW w:w="4820" w:type="dxa"/>
            <w:vAlign w:val="bottom"/>
          </w:tcPr>
          <w:p>
            <w:pPr>
              <w:spacing w:after="0"/>
              <w:rPr>
                <w:sz w:val="20"/>
                <w:szCs w:val="20"/>
                <w:color w:val="auto"/>
              </w:rPr>
            </w:pPr>
            <w:r>
              <w:rPr>
                <w:rFonts w:ascii="Arial" w:cs="Arial" w:eastAsia="Arial" w:hAnsi="Arial"/>
                <w:sz w:val="12"/>
                <w:szCs w:val="12"/>
                <w:color w:val="auto"/>
              </w:rPr>
              <w:t>Less: Net loss attributable to noncontrolling interests</w:t>
            </w:r>
          </w:p>
        </w:tc>
        <w:tc>
          <w:tcPr>
            <w:tcW w:w="380" w:type="dxa"/>
            <w:vAlign w:val="bottom"/>
          </w:tcPr>
          <w:p>
            <w:pPr>
              <w:spacing w:after="0"/>
              <w:rPr>
                <w:sz w:val="13"/>
                <w:szCs w:val="13"/>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9"/>
        </w:trPr>
        <w:tc>
          <w:tcPr>
            <w:tcW w:w="4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Net income attributable to Versant</w:t>
            </w: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47</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80</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544</w:t>
            </w: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749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820" w:type="dxa"/>
            <w:vAlign w:val="bottom"/>
          </w:tcPr>
          <w:p>
            <w:pPr>
              <w:ind w:left="20"/>
              <w:spacing w:after="0"/>
              <w:rPr>
                <w:sz w:val="20"/>
                <w:szCs w:val="20"/>
                <w:color w:val="auto"/>
              </w:rPr>
            </w:pPr>
            <w:r>
              <w:rPr>
                <w:rFonts w:ascii="Arial" w:cs="Arial" w:eastAsia="Arial" w:hAnsi="Arial"/>
                <w:sz w:val="12"/>
                <w:szCs w:val="12"/>
                <w:color w:val="auto"/>
              </w:rPr>
              <w:t>Basic earnings per common share attributable to Versant shareholders</w:t>
            </w:r>
          </w:p>
        </w:tc>
        <w:tc>
          <w:tcPr>
            <w:tcW w:w="380" w:type="dxa"/>
            <w:vAlign w:val="bottom"/>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0.34</w:t>
            </w:r>
          </w:p>
        </w:tc>
        <w:tc>
          <w:tcPr>
            <w:tcW w:w="80" w:type="dxa"/>
            <w:vAlign w:val="bottom"/>
          </w:tcPr>
          <w:p>
            <w:pPr>
              <w:spacing w:after="0"/>
              <w:rPr>
                <w:sz w:val="24"/>
                <w:szCs w:val="24"/>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2"/>
                <w:szCs w:val="12"/>
                <w:b w:val="1"/>
                <w:bCs w:val="1"/>
                <w:color w:val="auto"/>
              </w:rPr>
              <w:t>0.56</w:t>
            </w:r>
          </w:p>
        </w:tc>
        <w:tc>
          <w:tcPr>
            <w:tcW w:w="80" w:type="dxa"/>
            <w:vAlign w:val="bottom"/>
          </w:tcPr>
          <w:p>
            <w:pPr>
              <w:spacing w:after="0"/>
              <w:rPr>
                <w:sz w:val="24"/>
                <w:szCs w:val="24"/>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2"/>
                <w:szCs w:val="12"/>
                <w:b w:val="1"/>
                <w:bCs w:val="1"/>
                <w:color w:val="auto"/>
              </w:rPr>
              <w:t>3.86</w:t>
            </w:r>
          </w:p>
        </w:tc>
        <w:tc>
          <w:tcPr>
            <w:tcW w:w="80" w:type="dxa"/>
            <w:vAlign w:val="bottom"/>
          </w:tcPr>
          <w:p>
            <w:pPr>
              <w:spacing w:after="0"/>
              <w:rPr>
                <w:sz w:val="24"/>
                <w:szCs w:val="2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5.19</w:t>
            </w:r>
          </w:p>
        </w:tc>
        <w:tc>
          <w:tcPr>
            <w:tcW w:w="0" w:type="dxa"/>
            <w:vAlign w:val="bottom"/>
          </w:tcPr>
          <w:p>
            <w:pPr>
              <w:spacing w:after="0"/>
              <w:rPr>
                <w:sz w:val="1"/>
                <w:szCs w:val="1"/>
                <w:color w:val="auto"/>
              </w:rPr>
            </w:pPr>
          </w:p>
        </w:tc>
      </w:tr>
      <w:tr>
        <w:trPr>
          <w:trHeight w:val="165"/>
        </w:trPr>
        <w:tc>
          <w:tcPr>
            <w:tcW w:w="4820" w:type="dxa"/>
            <w:vAlign w:val="bottom"/>
          </w:tcPr>
          <w:p>
            <w:pPr>
              <w:ind w:left="20"/>
              <w:spacing w:after="0"/>
              <w:rPr>
                <w:sz w:val="20"/>
                <w:szCs w:val="20"/>
                <w:color w:val="auto"/>
              </w:rPr>
            </w:pPr>
            <w:r>
              <w:rPr>
                <w:rFonts w:ascii="Arial" w:cs="Arial" w:eastAsia="Arial" w:hAnsi="Arial"/>
                <w:sz w:val="12"/>
                <w:szCs w:val="12"/>
                <w:color w:val="auto"/>
              </w:rPr>
              <w:t>Diluted earnings per common share attributable to Versant shareholders</w:t>
            </w:r>
          </w:p>
        </w:tc>
        <w:tc>
          <w:tcPr>
            <w:tcW w:w="380" w:type="dxa"/>
            <w:vAlign w:val="bottom"/>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0.34</w:t>
            </w:r>
          </w:p>
        </w:tc>
        <w:tc>
          <w:tcPr>
            <w:tcW w:w="8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2"/>
                <w:szCs w:val="12"/>
                <w:b w:val="1"/>
                <w:bCs w:val="1"/>
                <w:color w:val="auto"/>
              </w:rPr>
              <w:t>0.56</w:t>
            </w:r>
          </w:p>
        </w:tc>
        <w:tc>
          <w:tcPr>
            <w:tcW w:w="8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b w:val="1"/>
                <w:bCs w:val="1"/>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2"/>
                <w:szCs w:val="12"/>
                <w:b w:val="1"/>
                <w:bCs w:val="1"/>
                <w:color w:val="auto"/>
              </w:rPr>
              <w:t>3.85</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5.19</w:t>
            </w:r>
          </w:p>
        </w:tc>
        <w:tc>
          <w:tcPr>
            <w:tcW w:w="0" w:type="dxa"/>
            <w:vAlign w:val="bottom"/>
          </w:tcPr>
          <w:p>
            <w:pPr>
              <w:spacing w:after="0"/>
              <w:rPr>
                <w:sz w:val="1"/>
                <w:szCs w:val="1"/>
                <w:color w:val="auto"/>
              </w:rPr>
            </w:pPr>
          </w:p>
        </w:tc>
      </w:tr>
    </w:tbl>
    <w:p>
      <w:pPr>
        <w:sectPr>
          <w:pgSz w:w="11900" w:h="16838" w:orient="portrait"/>
          <w:cols w:equalWidth="0" w:num="1">
            <w:col w:w="11320"/>
          </w:cols>
          <w:pgMar w:left="280" w:top="1009" w:right="299" w:bottom="1440" w:gutter="0" w:footer="0" w:header="0"/>
        </w:sectPr>
      </w:pPr>
    </w:p>
    <w:bookmarkStart w:id="10" w:name="page11"/>
    <w:bookmarkEnd w:id="10"/>
    <w:p>
      <w:pPr>
        <w:spacing w:after="0"/>
        <w:rPr>
          <w:sz w:val="20"/>
          <w:szCs w:val="20"/>
          <w:color w:val="auto"/>
        </w:rPr>
      </w:pPr>
      <w:r>
        <w:rPr>
          <w:rFonts w:ascii="Arial" w:cs="Arial" w:eastAsia="Arial" w:hAnsi="Arial"/>
          <w:sz w:val="11"/>
          <w:szCs w:val="11"/>
          <w:b w:val="1"/>
          <w:bCs w:val="1"/>
          <w:color w:val="auto"/>
        </w:rPr>
        <w:t>TABLE 2</w:t>
      </w:r>
    </w:p>
    <w:p>
      <w:pPr>
        <w:spacing w:after="0" w:line="204" w:lineRule="auto"/>
        <w:rPr>
          <w:sz w:val="20"/>
          <w:szCs w:val="20"/>
          <w:color w:val="auto"/>
        </w:rPr>
      </w:pPr>
      <w:r>
        <w:rPr>
          <w:rFonts w:ascii="Arial" w:cs="Arial" w:eastAsia="Arial" w:hAnsi="Arial"/>
          <w:sz w:val="11"/>
          <w:szCs w:val="11"/>
          <w:b w:val="1"/>
          <w:bCs w:val="1"/>
          <w:color w:val="auto"/>
        </w:rPr>
        <w:t>Condensed Consolidated and Combined Statements of Cash Flows</w:t>
      </w:r>
    </w:p>
    <w:p>
      <w:pPr>
        <w:spacing w:after="0"/>
        <w:rPr>
          <w:sz w:val="20"/>
          <w:szCs w:val="20"/>
          <w:color w:val="auto"/>
        </w:rPr>
      </w:pPr>
      <w:r>
        <w:rPr>
          <w:rFonts w:ascii="Arial" w:cs="Arial" w:eastAsia="Arial" w:hAnsi="Arial"/>
          <w:sz w:val="11"/>
          <w:szCs w:val="11"/>
          <w:b w:val="1"/>
          <w:bCs w:val="1"/>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480" w:type="dxa"/>
            <w:vAlign w:val="bottom"/>
          </w:tcPr>
          <w:p>
            <w:pPr>
              <w:spacing w:after="0"/>
              <w:rPr>
                <w:sz w:val="12"/>
                <w:szCs w:val="12"/>
                <w:color w:val="auto"/>
              </w:rPr>
            </w:pPr>
          </w:p>
        </w:tc>
        <w:tc>
          <w:tcPr>
            <w:tcW w:w="3220" w:type="dxa"/>
            <w:vAlign w:val="bottom"/>
            <w:tcBorders>
              <w:bottom w:val="single" w:sz="8" w:color="auto"/>
            </w:tcBorders>
            <w:gridSpan w:val="4"/>
          </w:tcPr>
          <w:p>
            <w:pPr>
              <w:jc w:val="right"/>
              <w:ind w:right="366"/>
              <w:spacing w:after="0"/>
              <w:rPr>
                <w:sz w:val="20"/>
                <w:szCs w:val="20"/>
                <w:color w:val="auto"/>
              </w:rPr>
            </w:pPr>
            <w:r>
              <w:rPr>
                <w:rFonts w:ascii="Arial" w:cs="Arial" w:eastAsia="Arial" w:hAnsi="Arial"/>
                <w:sz w:val="11"/>
                <w:szCs w:val="11"/>
                <w:b w:val="1"/>
                <w:bCs w:val="1"/>
                <w:color w:val="auto"/>
              </w:rPr>
              <w:t>Nine Months Ended September 30,</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480" w:type="dxa"/>
            <w:vAlign w:val="bottom"/>
          </w:tcPr>
          <w:p>
            <w:pPr>
              <w:spacing w:after="0"/>
              <w:rPr>
                <w:sz w:val="11"/>
                <w:szCs w:val="11"/>
                <w:color w:val="auto"/>
              </w:rPr>
            </w:pPr>
          </w:p>
        </w:tc>
        <w:tc>
          <w:tcPr>
            <w:tcW w:w="1240" w:type="dxa"/>
            <w:vAlign w:val="bottom"/>
            <w:tcBorders>
              <w:bottom w:val="single" w:sz="8" w:color="auto"/>
            </w:tcBorders>
          </w:tcPr>
          <w:p>
            <w:pPr>
              <w:jc w:val="right"/>
              <w:ind w:right="169"/>
              <w:spacing w:after="0"/>
              <w:rPr>
                <w:sz w:val="20"/>
                <w:szCs w:val="20"/>
                <w:color w:val="auto"/>
              </w:rPr>
            </w:pPr>
            <w:r>
              <w:rPr>
                <w:rFonts w:ascii="Arial" w:cs="Arial" w:eastAsia="Arial" w:hAnsi="Arial"/>
                <w:sz w:val="11"/>
                <w:szCs w:val="11"/>
                <w:b w:val="1"/>
                <w:bCs w:val="1"/>
                <w:color w:val="auto"/>
              </w:rPr>
              <w:t>2026</w:t>
            </w: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480" w:type="dxa"/>
            <w:vAlign w:val="bottom"/>
            <w:vMerge w:val="restart"/>
          </w:tcPr>
          <w:p>
            <w:pPr>
              <w:spacing w:after="0"/>
              <w:rPr>
                <w:sz w:val="20"/>
                <w:szCs w:val="20"/>
                <w:color w:val="auto"/>
              </w:rPr>
            </w:pPr>
            <w:r>
              <w:rPr>
                <w:rFonts w:ascii="Arial" w:cs="Arial" w:eastAsia="Arial" w:hAnsi="Arial"/>
                <w:sz w:val="11"/>
                <w:szCs w:val="11"/>
                <w:b w:val="1"/>
                <w:bCs w:val="1"/>
                <w:color w:val="auto"/>
              </w:rPr>
              <w:t>Operating Activities</w:t>
            </w:r>
          </w:p>
        </w:tc>
        <w:tc>
          <w:tcPr>
            <w:tcW w:w="1240" w:type="dxa"/>
            <w:vAlign w:val="bottom"/>
          </w:tcPr>
          <w:p>
            <w:pPr>
              <w:spacing w:after="0"/>
              <w:rPr>
                <w:sz w:val="11"/>
                <w:szCs w:val="11"/>
                <w:color w:val="auto"/>
              </w:rPr>
            </w:pPr>
          </w:p>
        </w:tc>
        <w:tc>
          <w:tcPr>
            <w:tcW w:w="1980" w:type="dxa"/>
            <w:vAlign w:val="bottom"/>
            <w:gridSpan w:val="3"/>
          </w:tcPr>
          <w:p>
            <w:pPr>
              <w:jc w:val="right"/>
              <w:ind w:right="966"/>
              <w:spacing w:after="0"/>
              <w:rPr>
                <w:sz w:val="20"/>
                <w:szCs w:val="20"/>
                <w:color w:val="auto"/>
              </w:rPr>
            </w:pPr>
            <w:r>
              <w:rPr>
                <w:rFonts w:ascii="Arial" w:cs="Arial" w:eastAsia="Arial" w:hAnsi="Arial"/>
                <w:sz w:val="11"/>
                <w:szCs w:val="11"/>
                <w:b w:val="1"/>
                <w:bCs w:val="1"/>
                <w:i w:val="1"/>
                <w:iCs w:val="1"/>
                <w:color w:val="auto"/>
              </w:rPr>
              <w:t>(in millions)</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48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20"/>
                <w:szCs w:val="20"/>
                <w:color w:val="auto"/>
              </w:rPr>
            </w:pPr>
            <w:r>
              <w:rPr>
                <w:rFonts w:ascii="Arial" w:cs="Arial" w:eastAsia="Arial" w:hAnsi="Arial"/>
                <w:sz w:val="11"/>
                <w:szCs w:val="11"/>
                <w:color w:val="auto"/>
              </w:rPr>
              <w:t>Net income</w:t>
            </w:r>
          </w:p>
        </w:tc>
        <w:tc>
          <w:tcPr>
            <w:tcW w:w="1240" w:type="dxa"/>
            <w:vAlign w:val="bottom"/>
          </w:tcPr>
          <w:p>
            <w:pPr>
              <w:jc w:val="right"/>
              <w:ind w:right="112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544</w:t>
            </w:r>
          </w:p>
        </w:tc>
        <w:tc>
          <w:tcPr>
            <w:tcW w:w="80" w:type="dxa"/>
            <w:vAlign w:val="bottom"/>
          </w:tcPr>
          <w:p>
            <w:pPr>
              <w:spacing w:after="0"/>
              <w:rPr>
                <w:sz w:val="12"/>
                <w:szCs w:val="12"/>
                <w:color w:val="auto"/>
              </w:rPr>
            </w:pPr>
          </w:p>
        </w:tc>
        <w:tc>
          <w:tcPr>
            <w:tcW w:w="1320" w:type="dxa"/>
            <w:vAlign w:val="bottom"/>
          </w:tcPr>
          <w:p>
            <w:pPr>
              <w:jc w:val="right"/>
              <w:ind w:right="118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749</w:t>
            </w:r>
          </w:p>
        </w:tc>
        <w:tc>
          <w:tcPr>
            <w:tcW w:w="0" w:type="dxa"/>
            <w:vAlign w:val="bottom"/>
          </w:tcPr>
          <w:p>
            <w:pPr>
              <w:spacing w:after="0"/>
              <w:rPr>
                <w:sz w:val="1"/>
                <w:szCs w:val="1"/>
                <w:color w:val="auto"/>
              </w:rPr>
            </w:pPr>
          </w:p>
        </w:tc>
      </w:tr>
      <w:tr>
        <w:trPr>
          <w:trHeight w:val="144"/>
        </w:trPr>
        <w:tc>
          <w:tcPr>
            <w:tcW w:w="7480" w:type="dxa"/>
            <w:vAlign w:val="bottom"/>
          </w:tcPr>
          <w:p>
            <w:pPr>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Depreciation and amortization</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757</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744</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Share-based compensation</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Noncash interest expense</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Net loss on investment activity and other</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Deferred income taxes</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(108)</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144"/>
        </w:trPr>
        <w:tc>
          <w:tcPr>
            <w:tcW w:w="7480" w:type="dxa"/>
            <w:vAlign w:val="bottom"/>
          </w:tcPr>
          <w:p>
            <w:pPr>
              <w:spacing w:after="0"/>
              <w:rPr>
                <w:sz w:val="20"/>
                <w:szCs w:val="20"/>
                <w:color w:val="auto"/>
              </w:rPr>
            </w:pPr>
            <w:r>
              <w:rPr>
                <w:rFonts w:ascii="Arial" w:cs="Arial" w:eastAsia="Arial" w:hAnsi="Arial"/>
                <w:sz w:val="11"/>
                <w:szCs w:val="11"/>
                <w:color w:val="auto"/>
              </w:rPr>
              <w:t>Changes in operating assets and liabilities:</w:t>
            </w: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Current and noncurrent receivables, net</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(392)</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Content costs, net</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84</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Accounts payable</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Other operating assets and liabilities</w:t>
            </w:r>
          </w:p>
        </w:tc>
        <w:tc>
          <w:tcPr>
            <w:tcW w:w="1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316</w:t>
            </w:r>
          </w:p>
        </w:tc>
        <w:tc>
          <w:tcPr>
            <w:tcW w:w="8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35"/>
        </w:trPr>
        <w:tc>
          <w:tcPr>
            <w:tcW w:w="7480" w:type="dxa"/>
            <w:vAlign w:val="bottom"/>
          </w:tcPr>
          <w:p>
            <w:pPr>
              <w:spacing w:after="0"/>
              <w:rPr>
                <w:sz w:val="20"/>
                <w:szCs w:val="20"/>
                <w:color w:val="auto"/>
              </w:rPr>
            </w:pPr>
            <w:r>
              <w:rPr>
                <w:rFonts w:ascii="Arial" w:cs="Arial" w:eastAsia="Arial" w:hAnsi="Arial"/>
                <w:sz w:val="11"/>
                <w:szCs w:val="11"/>
                <w:b w:val="1"/>
                <w:bCs w:val="1"/>
                <w:color w:val="auto"/>
              </w:rPr>
              <w:t>Net cash provided by operating activities</w:t>
            </w:r>
          </w:p>
        </w:tc>
        <w:tc>
          <w:tcPr>
            <w:tcW w:w="1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1,313</w:t>
            </w:r>
          </w:p>
        </w:tc>
        <w:tc>
          <w:tcPr>
            <w:tcW w:w="8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1,546</w:t>
            </w:r>
          </w:p>
        </w:tc>
        <w:tc>
          <w:tcPr>
            <w:tcW w:w="0" w:type="dxa"/>
            <w:vAlign w:val="bottom"/>
          </w:tcPr>
          <w:p>
            <w:pPr>
              <w:spacing w:after="0"/>
              <w:rPr>
                <w:sz w:val="1"/>
                <w:szCs w:val="1"/>
                <w:color w:val="auto"/>
              </w:rPr>
            </w:pPr>
          </w:p>
        </w:tc>
      </w:tr>
      <w:tr>
        <w:trPr>
          <w:trHeight w:val="124"/>
        </w:trPr>
        <w:tc>
          <w:tcPr>
            <w:tcW w:w="7480" w:type="dxa"/>
            <w:vAlign w:val="bottom"/>
          </w:tcPr>
          <w:p>
            <w:pPr>
              <w:spacing w:after="0" w:line="124" w:lineRule="exact"/>
              <w:rPr>
                <w:sz w:val="20"/>
                <w:szCs w:val="20"/>
                <w:color w:val="auto"/>
              </w:rPr>
            </w:pPr>
            <w:r>
              <w:rPr>
                <w:rFonts w:ascii="Arial" w:cs="Arial" w:eastAsia="Arial" w:hAnsi="Arial"/>
                <w:sz w:val="11"/>
                <w:szCs w:val="11"/>
                <w:b w:val="1"/>
                <w:bCs w:val="1"/>
                <w:color w:val="auto"/>
              </w:rPr>
              <w:t>Investing Activities</w:t>
            </w: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480" w:type="dxa"/>
            <w:vAlign w:val="bottom"/>
          </w:tcPr>
          <w:p>
            <w:pPr>
              <w:ind w:left="140"/>
              <w:spacing w:after="0"/>
              <w:rPr>
                <w:sz w:val="20"/>
                <w:szCs w:val="20"/>
                <w:color w:val="auto"/>
              </w:rPr>
            </w:pPr>
            <w:r>
              <w:rPr>
                <w:rFonts w:ascii="Arial" w:cs="Arial" w:eastAsia="Arial" w:hAnsi="Arial"/>
                <w:sz w:val="11"/>
                <w:szCs w:val="11"/>
                <w:color w:val="auto"/>
              </w:rPr>
              <w:t>Capital expenditures</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(103)</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Acquisitions of businesses</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(696)</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Purchase of investments</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Proceeds from sale of business</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140</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Return of capital from investments</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Other</w:t>
            </w:r>
          </w:p>
        </w:tc>
        <w:tc>
          <w:tcPr>
            <w:tcW w:w="12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35"/>
        </w:trPr>
        <w:tc>
          <w:tcPr>
            <w:tcW w:w="7480" w:type="dxa"/>
            <w:vAlign w:val="bottom"/>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12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(709)</w:t>
            </w:r>
          </w:p>
        </w:tc>
        <w:tc>
          <w:tcPr>
            <w:tcW w:w="80" w:type="dxa"/>
            <w:vAlign w:val="bottom"/>
          </w:tcPr>
          <w:p>
            <w:pPr>
              <w:spacing w:after="0"/>
              <w:rPr>
                <w:sz w:val="11"/>
                <w:szCs w:val="11"/>
                <w:color w:val="auto"/>
              </w:rPr>
            </w:pPr>
          </w:p>
        </w:tc>
        <w:tc>
          <w:tcPr>
            <w:tcW w:w="13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(86)</w:t>
            </w:r>
          </w:p>
        </w:tc>
        <w:tc>
          <w:tcPr>
            <w:tcW w:w="0" w:type="dxa"/>
            <w:vAlign w:val="bottom"/>
          </w:tcPr>
          <w:p>
            <w:pPr>
              <w:spacing w:after="0"/>
              <w:rPr>
                <w:sz w:val="1"/>
                <w:szCs w:val="1"/>
                <w:color w:val="auto"/>
              </w:rPr>
            </w:pPr>
          </w:p>
        </w:tc>
      </w:tr>
      <w:tr>
        <w:trPr>
          <w:trHeight w:val="124"/>
        </w:trPr>
        <w:tc>
          <w:tcPr>
            <w:tcW w:w="7480" w:type="dxa"/>
            <w:vAlign w:val="bottom"/>
          </w:tcPr>
          <w:p>
            <w:pPr>
              <w:spacing w:after="0" w:line="124" w:lineRule="exact"/>
              <w:rPr>
                <w:sz w:val="20"/>
                <w:szCs w:val="20"/>
                <w:color w:val="auto"/>
              </w:rPr>
            </w:pPr>
            <w:r>
              <w:rPr>
                <w:rFonts w:ascii="Arial" w:cs="Arial" w:eastAsia="Arial" w:hAnsi="Arial"/>
                <w:sz w:val="11"/>
                <w:szCs w:val="11"/>
                <w:b w:val="1"/>
                <w:bCs w:val="1"/>
                <w:color w:val="auto"/>
              </w:rPr>
              <w:t>Financing Activities</w:t>
            </w: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480" w:type="dxa"/>
            <w:vAlign w:val="bottom"/>
          </w:tcPr>
          <w:p>
            <w:pPr>
              <w:ind w:left="140"/>
              <w:spacing w:after="0"/>
              <w:rPr>
                <w:sz w:val="20"/>
                <w:szCs w:val="20"/>
                <w:color w:val="auto"/>
              </w:rPr>
            </w:pPr>
            <w:r>
              <w:rPr>
                <w:rFonts w:ascii="Arial" w:cs="Arial" w:eastAsia="Arial" w:hAnsi="Arial"/>
                <w:sz w:val="11"/>
                <w:szCs w:val="11"/>
                <w:color w:val="auto"/>
              </w:rPr>
              <w:t>Proceeds from borrowings</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1,973</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Repurchases of common stock under repurchase program and employee plans</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(300)</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Dividends paid</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(106)</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Net transfers to Comcast</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(2,250)</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(1,401)</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Repayment of long-term debt</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Settlement payment from NBCUniversal</w:t>
            </w:r>
          </w:p>
        </w:tc>
        <w:tc>
          <w:tcPr>
            <w:tcW w:w="1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70</w:t>
            </w: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7480" w:type="dxa"/>
            <w:vAlign w:val="bottom"/>
          </w:tcPr>
          <w:p>
            <w:pPr>
              <w:ind w:left="140"/>
              <w:spacing w:after="0"/>
              <w:rPr>
                <w:sz w:val="20"/>
                <w:szCs w:val="20"/>
                <w:color w:val="auto"/>
              </w:rPr>
            </w:pPr>
            <w:r>
              <w:rPr>
                <w:rFonts w:ascii="Arial" w:cs="Arial" w:eastAsia="Arial" w:hAnsi="Arial"/>
                <w:sz w:val="11"/>
                <w:szCs w:val="11"/>
                <w:color w:val="auto"/>
              </w:rPr>
              <w:t>Other</w:t>
            </w:r>
          </w:p>
        </w:tc>
        <w:tc>
          <w:tcPr>
            <w:tcW w:w="1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35"/>
        </w:trPr>
        <w:tc>
          <w:tcPr>
            <w:tcW w:w="7480" w:type="dxa"/>
            <w:vAlign w:val="bottom"/>
          </w:tcPr>
          <w:p>
            <w:pPr>
              <w:spacing w:after="0"/>
              <w:rPr>
                <w:sz w:val="20"/>
                <w:szCs w:val="20"/>
                <w:color w:val="auto"/>
              </w:rPr>
            </w:pPr>
            <w:r>
              <w:rPr>
                <w:rFonts w:ascii="Arial" w:cs="Arial" w:eastAsia="Arial" w:hAnsi="Arial"/>
                <w:sz w:val="11"/>
                <w:szCs w:val="11"/>
                <w:b w:val="1"/>
                <w:bCs w:val="1"/>
                <w:color w:val="auto"/>
              </w:rPr>
              <w:t>Net cash used in financing activities</w:t>
            </w:r>
          </w:p>
        </w:tc>
        <w:tc>
          <w:tcPr>
            <w:tcW w:w="1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(645)</w:t>
            </w:r>
          </w:p>
        </w:tc>
        <w:tc>
          <w:tcPr>
            <w:tcW w:w="8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(1,413)</w:t>
            </w:r>
          </w:p>
        </w:tc>
        <w:tc>
          <w:tcPr>
            <w:tcW w:w="0" w:type="dxa"/>
            <w:vAlign w:val="bottom"/>
          </w:tcPr>
          <w:p>
            <w:pPr>
              <w:spacing w:after="0"/>
              <w:rPr>
                <w:sz w:val="1"/>
                <w:szCs w:val="1"/>
                <w:color w:val="auto"/>
              </w:rPr>
            </w:pPr>
          </w:p>
        </w:tc>
      </w:tr>
      <w:tr>
        <w:trPr>
          <w:trHeight w:val="131"/>
        </w:trPr>
        <w:tc>
          <w:tcPr>
            <w:tcW w:w="7480" w:type="dxa"/>
            <w:vAlign w:val="bottom"/>
          </w:tcPr>
          <w:p>
            <w:pPr>
              <w:spacing w:after="0"/>
              <w:rPr>
                <w:sz w:val="20"/>
                <w:szCs w:val="20"/>
                <w:color w:val="auto"/>
              </w:rPr>
            </w:pPr>
            <w:r>
              <w:rPr>
                <w:rFonts w:ascii="Arial" w:cs="Arial" w:eastAsia="Arial" w:hAnsi="Arial"/>
                <w:sz w:val="11"/>
                <w:szCs w:val="11"/>
                <w:color w:val="auto"/>
              </w:rPr>
              <w:t>Increase (decrease) in cash, cash equivalents and restricted cash</w:t>
            </w:r>
          </w:p>
        </w:tc>
        <w:tc>
          <w:tcPr>
            <w:tcW w:w="12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45"/>
        </w:trPr>
        <w:tc>
          <w:tcPr>
            <w:tcW w:w="7480" w:type="dxa"/>
            <w:vAlign w:val="bottom"/>
          </w:tcPr>
          <w:p>
            <w:pPr>
              <w:spacing w:after="0"/>
              <w:rPr>
                <w:sz w:val="20"/>
                <w:szCs w:val="20"/>
                <w:color w:val="auto"/>
              </w:rPr>
            </w:pPr>
            <w:r>
              <w:rPr>
                <w:rFonts w:ascii="Arial" w:cs="Arial" w:eastAsia="Arial" w:hAnsi="Arial"/>
                <w:sz w:val="11"/>
                <w:szCs w:val="11"/>
                <w:color w:val="auto"/>
              </w:rPr>
              <w:t>Cash and cash equivalents and restricted cash, beginning of year</w:t>
            </w:r>
          </w:p>
        </w:tc>
        <w:tc>
          <w:tcPr>
            <w:tcW w:w="1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1,092</w:t>
            </w:r>
          </w:p>
        </w:tc>
        <w:tc>
          <w:tcPr>
            <w:tcW w:w="8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34"/>
        </w:trPr>
        <w:tc>
          <w:tcPr>
            <w:tcW w:w="7480" w:type="dxa"/>
            <w:vAlign w:val="bottom"/>
          </w:tcPr>
          <w:p>
            <w:pPr>
              <w:spacing w:after="0"/>
              <w:rPr>
                <w:sz w:val="20"/>
                <w:szCs w:val="20"/>
                <w:color w:val="auto"/>
              </w:rPr>
            </w:pPr>
            <w:r>
              <w:rPr>
                <w:rFonts w:ascii="Arial" w:cs="Arial" w:eastAsia="Arial" w:hAnsi="Arial"/>
                <w:sz w:val="11"/>
                <w:szCs w:val="11"/>
                <w:b w:val="1"/>
                <w:bCs w:val="1"/>
                <w:color w:val="auto"/>
              </w:rPr>
              <w:t>Cash and cash equivalents, end of period</w:t>
            </w:r>
          </w:p>
        </w:tc>
        <w:tc>
          <w:tcPr>
            <w:tcW w:w="1240" w:type="dxa"/>
            <w:vAlign w:val="bottom"/>
            <w:tcBorders>
              <w:bottom w:val="single" w:sz="8" w:color="auto"/>
            </w:tcBorders>
          </w:tcPr>
          <w:p>
            <w:pPr>
              <w:jc w:val="right"/>
              <w:ind w:right="112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1,051</w:t>
            </w:r>
          </w:p>
        </w:tc>
        <w:tc>
          <w:tcPr>
            <w:tcW w:w="80" w:type="dxa"/>
            <w:vAlign w:val="bottom"/>
          </w:tcPr>
          <w:p>
            <w:pPr>
              <w:spacing w:after="0"/>
              <w:rPr>
                <w:sz w:val="11"/>
                <w:szCs w:val="11"/>
                <w:color w:val="auto"/>
              </w:rPr>
            </w:pPr>
          </w:p>
        </w:tc>
        <w:tc>
          <w:tcPr>
            <w:tcW w:w="1320" w:type="dxa"/>
            <w:vAlign w:val="bottom"/>
            <w:tcBorders>
              <w:bottom w:val="single" w:sz="8" w:color="auto"/>
            </w:tcBorders>
          </w:tcPr>
          <w:p>
            <w:pPr>
              <w:jc w:val="right"/>
              <w:ind w:right="118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013" w:right="299" w:bottom="1440" w:gutter="0" w:footer="0" w:header="0"/>
        </w:sectPr>
      </w:pPr>
    </w:p>
    <w:bookmarkStart w:id="11" w:name="page12"/>
    <w:bookmarkEnd w:id="11"/>
    <w:p>
      <w:pPr>
        <w:ind w:left="20"/>
        <w:spacing w:after="0"/>
        <w:rPr>
          <w:sz w:val="20"/>
          <w:szCs w:val="20"/>
          <w:color w:val="auto"/>
        </w:rPr>
      </w:pPr>
      <w:r>
        <w:rPr>
          <w:rFonts w:ascii="Arial" w:cs="Arial" w:eastAsia="Arial" w:hAnsi="Arial"/>
          <w:sz w:val="11"/>
          <w:szCs w:val="11"/>
          <w:b w:val="1"/>
          <w:bCs w:val="1"/>
          <w:color w:val="auto"/>
        </w:rPr>
        <w:t>TABLE 3</w:t>
      </w:r>
    </w:p>
    <w:p>
      <w:pPr>
        <w:ind w:left="20"/>
        <w:spacing w:after="0" w:line="204" w:lineRule="auto"/>
        <w:rPr>
          <w:sz w:val="20"/>
          <w:szCs w:val="20"/>
          <w:color w:val="auto"/>
        </w:rPr>
      </w:pPr>
      <w:r>
        <w:rPr>
          <w:rFonts w:ascii="Arial" w:cs="Arial" w:eastAsia="Arial" w:hAnsi="Arial"/>
          <w:sz w:val="11"/>
          <w:szCs w:val="11"/>
          <w:b w:val="1"/>
          <w:bCs w:val="1"/>
          <w:color w:val="auto"/>
        </w:rPr>
        <w:t>Condensed Consolidated and Combined Balance Sheets</w:t>
      </w:r>
    </w:p>
    <w:p>
      <w:pPr>
        <w:ind w:left="20"/>
        <w:spacing w:after="0"/>
        <w:rPr>
          <w:sz w:val="20"/>
          <w:szCs w:val="20"/>
          <w:color w:val="auto"/>
        </w:rPr>
      </w:pPr>
      <w:r>
        <w:rPr>
          <w:rFonts w:ascii="Arial" w:cs="Arial" w:eastAsia="Arial" w:hAnsi="Arial"/>
          <w:sz w:val="11"/>
          <w:szCs w:val="11"/>
          <w:b w:val="1"/>
          <w:bCs w:val="1"/>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94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Arial" w:cs="Arial" w:eastAsia="Arial" w:hAnsi="Arial"/>
                <w:sz w:val="11"/>
                <w:szCs w:val="11"/>
                <w:b w:val="1"/>
                <w:bCs w:val="1"/>
                <w:color w:val="auto"/>
              </w:rPr>
              <w:t>September 30,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ind w:right="386"/>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44"/>
        </w:trPr>
        <w:tc>
          <w:tcPr>
            <w:tcW w:w="7940" w:type="dxa"/>
            <w:vAlign w:val="bottom"/>
          </w:tcPr>
          <w:p>
            <w:pPr>
              <w:spacing w:after="0"/>
              <w:rPr>
                <w:sz w:val="12"/>
                <w:szCs w:val="12"/>
                <w:color w:val="auto"/>
              </w:rPr>
            </w:pPr>
          </w:p>
        </w:tc>
        <w:tc>
          <w:tcPr>
            <w:tcW w:w="128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2026</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37"/>
        </w:trPr>
        <w:tc>
          <w:tcPr>
            <w:tcW w:w="7940" w:type="dxa"/>
            <w:vAlign w:val="bottom"/>
            <w:vMerge w:val="restart"/>
          </w:tcPr>
          <w:p>
            <w:pPr>
              <w:spacing w:after="0"/>
              <w:rPr>
                <w:sz w:val="20"/>
                <w:szCs w:val="20"/>
                <w:color w:val="auto"/>
              </w:rPr>
            </w:pPr>
            <w:r>
              <w:rPr>
                <w:rFonts w:ascii="Arial" w:cs="Arial" w:eastAsia="Arial" w:hAnsi="Arial"/>
                <w:sz w:val="11"/>
                <w:szCs w:val="11"/>
                <w:b w:val="1"/>
                <w:bCs w:val="1"/>
                <w:color w:val="auto"/>
              </w:rPr>
              <w:t>Assets</w:t>
            </w:r>
          </w:p>
        </w:tc>
        <w:tc>
          <w:tcPr>
            <w:tcW w:w="1280" w:type="dxa"/>
            <w:vAlign w:val="bottom"/>
          </w:tcPr>
          <w:p>
            <w:pPr>
              <w:spacing w:after="0"/>
              <w:rPr>
                <w:sz w:val="11"/>
                <w:szCs w:val="11"/>
                <w:color w:val="auto"/>
              </w:rPr>
            </w:pPr>
          </w:p>
        </w:tc>
        <w:tc>
          <w:tcPr>
            <w:tcW w:w="820" w:type="dxa"/>
            <w:vAlign w:val="bottom"/>
            <w:gridSpan w:val="3"/>
          </w:tcPr>
          <w:p>
            <w:pPr>
              <w:jc w:val="right"/>
              <w:ind w:right="66"/>
              <w:spacing w:after="0"/>
              <w:rPr>
                <w:sz w:val="20"/>
                <w:szCs w:val="20"/>
                <w:color w:val="auto"/>
              </w:rPr>
            </w:pPr>
            <w:r>
              <w:rPr>
                <w:rFonts w:ascii="Arial" w:cs="Arial" w:eastAsia="Arial" w:hAnsi="Arial"/>
                <w:sz w:val="11"/>
                <w:szCs w:val="11"/>
                <w:b w:val="1"/>
                <w:bCs w:val="1"/>
                <w:i w:val="1"/>
                <w:iCs w:val="1"/>
                <w:color w:val="auto"/>
              </w:rPr>
              <w:t>(in millions)</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94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40" w:type="dxa"/>
            <w:vAlign w:val="bottom"/>
          </w:tcPr>
          <w:p>
            <w:pPr>
              <w:spacing w:after="0"/>
              <w:rPr>
                <w:sz w:val="20"/>
                <w:szCs w:val="20"/>
                <w:color w:val="auto"/>
              </w:rPr>
            </w:pPr>
            <w:r>
              <w:rPr>
                <w:rFonts w:ascii="Arial" w:cs="Arial" w:eastAsia="Arial" w:hAnsi="Arial"/>
                <w:sz w:val="11"/>
                <w:szCs w:val="11"/>
                <w:color w:val="auto"/>
              </w:rPr>
              <w:t>Current Assets:</w:t>
            </w: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40" w:type="dxa"/>
            <w:vAlign w:val="bottom"/>
          </w:tcPr>
          <w:p>
            <w:pPr>
              <w:ind w:left="140"/>
              <w:spacing w:after="0"/>
              <w:rPr>
                <w:sz w:val="20"/>
                <w:szCs w:val="20"/>
                <w:color w:val="auto"/>
              </w:rPr>
            </w:pPr>
            <w:r>
              <w:rPr>
                <w:rFonts w:ascii="Arial" w:cs="Arial" w:eastAsia="Arial" w:hAnsi="Arial"/>
                <w:sz w:val="11"/>
                <w:szCs w:val="11"/>
                <w:color w:val="auto"/>
              </w:rPr>
              <w:t>Cash and cash equivalents</w:t>
            </w:r>
          </w:p>
        </w:tc>
        <w:tc>
          <w:tcPr>
            <w:tcW w:w="1280" w:type="dxa"/>
            <w:vAlign w:val="bottom"/>
          </w:tcPr>
          <w:p>
            <w:pPr>
              <w:jc w:val="right"/>
              <w:ind w:right="1146"/>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1,051</w:t>
            </w:r>
          </w:p>
        </w:tc>
        <w:tc>
          <w:tcPr>
            <w:tcW w:w="80" w:type="dxa"/>
            <w:vAlign w:val="bottom"/>
          </w:tcPr>
          <w:p>
            <w:pPr>
              <w:spacing w:after="0"/>
              <w:rPr>
                <w:sz w:val="13"/>
                <w:szCs w:val="13"/>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53"/>
        </w:trPr>
        <w:tc>
          <w:tcPr>
            <w:tcW w:w="7940" w:type="dxa"/>
            <w:vAlign w:val="bottom"/>
          </w:tcPr>
          <w:p>
            <w:pPr>
              <w:ind w:left="140"/>
              <w:spacing w:after="0"/>
              <w:rPr>
                <w:sz w:val="20"/>
                <w:szCs w:val="20"/>
                <w:color w:val="auto"/>
              </w:rPr>
            </w:pPr>
            <w:r>
              <w:rPr>
                <w:rFonts w:ascii="Arial" w:cs="Arial" w:eastAsia="Arial" w:hAnsi="Arial"/>
                <w:sz w:val="11"/>
                <w:szCs w:val="11"/>
                <w:color w:val="auto"/>
              </w:rPr>
              <w:t>Restricted cash</w:t>
            </w:r>
          </w:p>
        </w:tc>
        <w:tc>
          <w:tcPr>
            <w:tcW w:w="12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1,034</w:t>
            </w:r>
          </w:p>
        </w:tc>
        <w:tc>
          <w:tcPr>
            <w:tcW w:w="0" w:type="dxa"/>
            <w:vAlign w:val="bottom"/>
          </w:tcPr>
          <w:p>
            <w:pPr>
              <w:spacing w:after="0"/>
              <w:rPr>
                <w:sz w:val="1"/>
                <w:szCs w:val="1"/>
                <w:color w:val="auto"/>
              </w:rPr>
            </w:pPr>
          </w:p>
        </w:tc>
      </w:tr>
      <w:tr>
        <w:trPr>
          <w:trHeight w:val="153"/>
        </w:trPr>
        <w:tc>
          <w:tcPr>
            <w:tcW w:w="7940" w:type="dxa"/>
            <w:vAlign w:val="bottom"/>
          </w:tcPr>
          <w:p>
            <w:pPr>
              <w:ind w:left="140"/>
              <w:spacing w:after="0"/>
              <w:rPr>
                <w:sz w:val="20"/>
                <w:szCs w:val="20"/>
                <w:color w:val="auto"/>
              </w:rPr>
            </w:pPr>
            <w:r>
              <w:rPr>
                <w:rFonts w:ascii="Arial" w:cs="Arial" w:eastAsia="Arial" w:hAnsi="Arial"/>
                <w:sz w:val="11"/>
                <w:szCs w:val="11"/>
                <w:color w:val="auto"/>
              </w:rPr>
              <w:t>Receivables, net</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1,241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1,151</w:t>
            </w:r>
          </w:p>
        </w:tc>
        <w:tc>
          <w:tcPr>
            <w:tcW w:w="0" w:type="dxa"/>
            <w:vAlign w:val="bottom"/>
          </w:tcPr>
          <w:p>
            <w:pPr>
              <w:spacing w:after="0"/>
              <w:rPr>
                <w:sz w:val="1"/>
                <w:szCs w:val="1"/>
                <w:color w:val="auto"/>
              </w:rPr>
            </w:pPr>
          </w:p>
        </w:tc>
      </w:tr>
      <w:tr>
        <w:trPr>
          <w:trHeight w:val="153"/>
        </w:trPr>
        <w:tc>
          <w:tcPr>
            <w:tcW w:w="7940" w:type="dxa"/>
            <w:vAlign w:val="bottom"/>
          </w:tcPr>
          <w:p>
            <w:pPr>
              <w:ind w:left="140"/>
              <w:spacing w:after="0"/>
              <w:rPr>
                <w:sz w:val="20"/>
                <w:szCs w:val="20"/>
                <w:color w:val="auto"/>
              </w:rPr>
            </w:pPr>
            <w:r>
              <w:rPr>
                <w:rFonts w:ascii="Arial" w:cs="Arial" w:eastAsia="Arial" w:hAnsi="Arial"/>
                <w:sz w:val="11"/>
                <w:szCs w:val="11"/>
                <w:color w:val="auto"/>
              </w:rPr>
              <w:t>Assets held for sale</w:t>
            </w:r>
          </w:p>
        </w:tc>
        <w:tc>
          <w:tcPr>
            <w:tcW w:w="12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196</w:t>
            </w:r>
          </w:p>
        </w:tc>
        <w:tc>
          <w:tcPr>
            <w:tcW w:w="0" w:type="dxa"/>
            <w:vAlign w:val="bottom"/>
          </w:tcPr>
          <w:p>
            <w:pPr>
              <w:spacing w:after="0"/>
              <w:rPr>
                <w:sz w:val="1"/>
                <w:szCs w:val="1"/>
                <w:color w:val="auto"/>
              </w:rPr>
            </w:pPr>
          </w:p>
        </w:tc>
      </w:tr>
      <w:tr>
        <w:trPr>
          <w:trHeight w:val="153"/>
        </w:trPr>
        <w:tc>
          <w:tcPr>
            <w:tcW w:w="7940" w:type="dxa"/>
            <w:vAlign w:val="bottom"/>
          </w:tcPr>
          <w:p>
            <w:pPr>
              <w:ind w:left="140"/>
              <w:spacing w:after="0"/>
              <w:rPr>
                <w:sz w:val="20"/>
                <w:szCs w:val="20"/>
                <w:color w:val="auto"/>
              </w:rPr>
            </w:pPr>
            <w:r>
              <w:rPr>
                <w:rFonts w:ascii="Arial" w:cs="Arial" w:eastAsia="Arial" w:hAnsi="Arial"/>
                <w:sz w:val="11"/>
                <w:szCs w:val="11"/>
                <w:color w:val="auto"/>
              </w:rPr>
              <w:t>Other current assets</w:t>
            </w:r>
          </w:p>
        </w:tc>
        <w:tc>
          <w:tcPr>
            <w:tcW w:w="12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33"/>
        </w:trPr>
        <w:tc>
          <w:tcPr>
            <w:tcW w:w="7940" w:type="dxa"/>
            <w:vAlign w:val="bottom"/>
          </w:tcPr>
          <w:p>
            <w:pPr>
              <w:spacing w:after="0"/>
              <w:rPr>
                <w:sz w:val="20"/>
                <w:szCs w:val="20"/>
                <w:color w:val="auto"/>
              </w:rPr>
            </w:pPr>
            <w:r>
              <w:rPr>
                <w:rFonts w:ascii="Arial" w:cs="Arial" w:eastAsia="Arial" w:hAnsi="Arial"/>
                <w:sz w:val="11"/>
                <w:szCs w:val="11"/>
                <w:color w:val="auto"/>
              </w:rPr>
              <w:t>Total current assets</w:t>
            </w:r>
          </w:p>
        </w:tc>
        <w:tc>
          <w:tcPr>
            <w:tcW w:w="12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2,493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2,502</w:t>
            </w:r>
          </w:p>
        </w:tc>
        <w:tc>
          <w:tcPr>
            <w:tcW w:w="0" w:type="dxa"/>
            <w:vAlign w:val="bottom"/>
          </w:tcPr>
          <w:p>
            <w:pPr>
              <w:spacing w:after="0"/>
              <w:rPr>
                <w:sz w:val="1"/>
                <w:szCs w:val="1"/>
                <w:color w:val="auto"/>
              </w:rPr>
            </w:pPr>
          </w:p>
        </w:tc>
      </w:tr>
      <w:tr>
        <w:trPr>
          <w:trHeight w:val="153"/>
        </w:trPr>
        <w:tc>
          <w:tcPr>
            <w:tcW w:w="7940" w:type="dxa"/>
            <w:vAlign w:val="bottom"/>
          </w:tcPr>
          <w:p>
            <w:pPr>
              <w:spacing w:after="0"/>
              <w:rPr>
                <w:sz w:val="20"/>
                <w:szCs w:val="20"/>
                <w:color w:val="auto"/>
              </w:rPr>
            </w:pPr>
            <w:r>
              <w:rPr>
                <w:rFonts w:ascii="Arial" w:cs="Arial" w:eastAsia="Arial" w:hAnsi="Arial"/>
                <w:sz w:val="11"/>
                <w:szCs w:val="11"/>
                <w:color w:val="auto"/>
              </w:rPr>
              <w:t>Content costs</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570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539</w:t>
            </w:r>
          </w:p>
        </w:tc>
        <w:tc>
          <w:tcPr>
            <w:tcW w:w="0" w:type="dxa"/>
            <w:vAlign w:val="bottom"/>
          </w:tcPr>
          <w:p>
            <w:pPr>
              <w:spacing w:after="0"/>
              <w:rPr>
                <w:sz w:val="1"/>
                <w:szCs w:val="1"/>
                <w:color w:val="auto"/>
              </w:rPr>
            </w:pPr>
          </w:p>
        </w:tc>
      </w:tr>
      <w:tr>
        <w:trPr>
          <w:trHeight w:val="153"/>
        </w:trPr>
        <w:tc>
          <w:tcPr>
            <w:tcW w:w="7940" w:type="dxa"/>
            <w:vAlign w:val="bottom"/>
          </w:tcPr>
          <w:p>
            <w:pPr>
              <w:spacing w:after="0"/>
              <w:rPr>
                <w:sz w:val="20"/>
                <w:szCs w:val="20"/>
                <w:color w:val="auto"/>
              </w:rPr>
            </w:pPr>
            <w:r>
              <w:rPr>
                <w:rFonts w:ascii="Arial" w:cs="Arial" w:eastAsia="Arial" w:hAnsi="Arial"/>
                <w:sz w:val="11"/>
                <w:szCs w:val="11"/>
                <w:color w:val="auto"/>
              </w:rPr>
              <w:t>Investments</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262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214</w:t>
            </w:r>
          </w:p>
        </w:tc>
        <w:tc>
          <w:tcPr>
            <w:tcW w:w="0" w:type="dxa"/>
            <w:vAlign w:val="bottom"/>
          </w:tcPr>
          <w:p>
            <w:pPr>
              <w:spacing w:after="0"/>
              <w:rPr>
                <w:sz w:val="1"/>
                <w:szCs w:val="1"/>
                <w:color w:val="auto"/>
              </w:rPr>
            </w:pPr>
          </w:p>
        </w:tc>
      </w:tr>
      <w:tr>
        <w:trPr>
          <w:trHeight w:val="153"/>
        </w:trPr>
        <w:tc>
          <w:tcPr>
            <w:tcW w:w="7940" w:type="dxa"/>
            <w:vAlign w:val="bottom"/>
          </w:tcPr>
          <w:p>
            <w:pPr>
              <w:spacing w:after="0"/>
              <w:rPr>
                <w:sz w:val="20"/>
                <w:szCs w:val="20"/>
                <w:color w:val="auto"/>
              </w:rPr>
            </w:pPr>
            <w:r>
              <w:rPr>
                <w:rFonts w:ascii="Arial" w:cs="Arial" w:eastAsia="Arial" w:hAnsi="Arial"/>
                <w:sz w:val="11"/>
                <w:szCs w:val="11"/>
                <w:color w:val="auto"/>
              </w:rPr>
              <w:t>Property and equipment, net of accumulated depreciation of $656 million and $615 million</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463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423</w:t>
            </w:r>
          </w:p>
        </w:tc>
        <w:tc>
          <w:tcPr>
            <w:tcW w:w="0" w:type="dxa"/>
            <w:vAlign w:val="bottom"/>
          </w:tcPr>
          <w:p>
            <w:pPr>
              <w:spacing w:after="0"/>
              <w:rPr>
                <w:sz w:val="1"/>
                <w:szCs w:val="1"/>
                <w:color w:val="auto"/>
              </w:rPr>
            </w:pPr>
          </w:p>
        </w:tc>
      </w:tr>
      <w:tr>
        <w:trPr>
          <w:trHeight w:val="153"/>
        </w:trPr>
        <w:tc>
          <w:tcPr>
            <w:tcW w:w="7940" w:type="dxa"/>
            <w:vAlign w:val="bottom"/>
          </w:tcPr>
          <w:p>
            <w:pPr>
              <w:spacing w:after="0"/>
              <w:rPr>
                <w:sz w:val="20"/>
                <w:szCs w:val="20"/>
                <w:color w:val="auto"/>
              </w:rPr>
            </w:pPr>
            <w:r>
              <w:rPr>
                <w:rFonts w:ascii="Arial" w:cs="Arial" w:eastAsia="Arial" w:hAnsi="Arial"/>
                <w:sz w:val="11"/>
                <w:szCs w:val="11"/>
                <w:color w:val="auto"/>
              </w:rPr>
              <w:t>Intangible assets, net of accumulated amortization of $9,384 million and $8,848 million</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482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924</w:t>
            </w:r>
          </w:p>
        </w:tc>
        <w:tc>
          <w:tcPr>
            <w:tcW w:w="0" w:type="dxa"/>
            <w:vAlign w:val="bottom"/>
          </w:tcPr>
          <w:p>
            <w:pPr>
              <w:spacing w:after="0"/>
              <w:rPr>
                <w:sz w:val="1"/>
                <w:szCs w:val="1"/>
                <w:color w:val="auto"/>
              </w:rPr>
            </w:pPr>
          </w:p>
        </w:tc>
      </w:tr>
      <w:tr>
        <w:trPr>
          <w:trHeight w:val="153"/>
        </w:trPr>
        <w:tc>
          <w:tcPr>
            <w:tcW w:w="7940" w:type="dxa"/>
            <w:vAlign w:val="bottom"/>
          </w:tcPr>
          <w:p>
            <w:pPr>
              <w:spacing w:after="0"/>
              <w:rPr>
                <w:sz w:val="20"/>
                <w:szCs w:val="20"/>
                <w:color w:val="auto"/>
              </w:rPr>
            </w:pPr>
            <w:r>
              <w:rPr>
                <w:rFonts w:ascii="Arial" w:cs="Arial" w:eastAsia="Arial" w:hAnsi="Arial"/>
                <w:sz w:val="11"/>
                <w:szCs w:val="11"/>
                <w:color w:val="auto"/>
              </w:rPr>
              <w:t>Goodwill</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8,127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7,611</w:t>
            </w:r>
          </w:p>
        </w:tc>
        <w:tc>
          <w:tcPr>
            <w:tcW w:w="0" w:type="dxa"/>
            <w:vAlign w:val="bottom"/>
          </w:tcPr>
          <w:p>
            <w:pPr>
              <w:spacing w:after="0"/>
              <w:rPr>
                <w:sz w:val="1"/>
                <w:szCs w:val="1"/>
                <w:color w:val="auto"/>
              </w:rPr>
            </w:pPr>
          </w:p>
        </w:tc>
      </w:tr>
      <w:tr>
        <w:trPr>
          <w:trHeight w:val="154"/>
        </w:trPr>
        <w:tc>
          <w:tcPr>
            <w:tcW w:w="7940" w:type="dxa"/>
            <w:vAlign w:val="bottom"/>
          </w:tcPr>
          <w:p>
            <w:pPr>
              <w:spacing w:after="0"/>
              <w:rPr>
                <w:sz w:val="20"/>
                <w:szCs w:val="20"/>
                <w:color w:val="auto"/>
              </w:rPr>
            </w:pPr>
            <w:r>
              <w:rPr>
                <w:rFonts w:ascii="Arial" w:cs="Arial" w:eastAsia="Arial" w:hAnsi="Arial"/>
                <w:sz w:val="11"/>
                <w:szCs w:val="11"/>
                <w:color w:val="auto"/>
              </w:rPr>
              <w:t>Other noncurrent assets, net</w:t>
            </w:r>
          </w:p>
        </w:tc>
        <w:tc>
          <w:tcPr>
            <w:tcW w:w="12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34"/>
        </w:trPr>
        <w:tc>
          <w:tcPr>
            <w:tcW w:w="7940" w:type="dxa"/>
            <w:vAlign w:val="bottom"/>
          </w:tcPr>
          <w:p>
            <w:pPr>
              <w:spacing w:after="0"/>
              <w:rPr>
                <w:sz w:val="20"/>
                <w:szCs w:val="20"/>
                <w:color w:val="auto"/>
              </w:rPr>
            </w:pPr>
            <w:r>
              <w:rPr>
                <w:rFonts w:ascii="Arial" w:cs="Arial" w:eastAsia="Arial" w:hAnsi="Arial"/>
                <w:sz w:val="11"/>
                <w:szCs w:val="11"/>
                <w:b w:val="1"/>
                <w:bCs w:val="1"/>
                <w:color w:val="auto"/>
              </w:rPr>
              <w:t>Total assets</w:t>
            </w:r>
          </w:p>
        </w:tc>
        <w:tc>
          <w:tcPr>
            <w:tcW w:w="1280" w:type="dxa"/>
            <w:vAlign w:val="bottom"/>
            <w:tcBorders>
              <w:bottom w:val="single" w:sz="8" w:color="auto"/>
            </w:tcBorders>
          </w:tcPr>
          <w:p>
            <w:pPr>
              <w:jc w:val="right"/>
              <w:ind w:right="1146"/>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12,656</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12,333</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1"/>
                <w:szCs w:val="11"/>
                <w:b w:val="1"/>
                <w:bCs w:val="1"/>
                <w:color w:val="auto"/>
              </w:rPr>
              <w:t>Liabilities and Equity</w:t>
            </w: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9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7940" w:type="dxa"/>
            <w:vAlign w:val="bottom"/>
          </w:tcPr>
          <w:p>
            <w:pPr>
              <w:spacing w:after="0"/>
              <w:rPr>
                <w:sz w:val="20"/>
                <w:szCs w:val="20"/>
                <w:color w:val="auto"/>
              </w:rPr>
            </w:pPr>
            <w:r>
              <w:rPr>
                <w:rFonts w:ascii="Arial" w:cs="Arial" w:eastAsia="Arial" w:hAnsi="Arial"/>
                <w:sz w:val="11"/>
                <w:szCs w:val="11"/>
                <w:color w:val="auto"/>
              </w:rPr>
              <w:t>Current Liabilities:</w:t>
            </w: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940" w:type="dxa"/>
            <w:vAlign w:val="bottom"/>
          </w:tcPr>
          <w:p>
            <w:pPr>
              <w:ind w:left="140"/>
              <w:spacing w:after="0"/>
              <w:rPr>
                <w:sz w:val="20"/>
                <w:szCs w:val="20"/>
                <w:color w:val="auto"/>
              </w:rPr>
            </w:pPr>
            <w:r>
              <w:rPr>
                <w:rFonts w:ascii="Arial" w:cs="Arial" w:eastAsia="Arial" w:hAnsi="Arial"/>
                <w:sz w:val="11"/>
                <w:szCs w:val="11"/>
                <w:color w:val="auto"/>
              </w:rPr>
              <w:t>Accounts payable</w:t>
            </w:r>
          </w:p>
        </w:tc>
        <w:tc>
          <w:tcPr>
            <w:tcW w:w="1280" w:type="dxa"/>
            <w:vAlign w:val="bottom"/>
          </w:tcPr>
          <w:p>
            <w:pPr>
              <w:jc w:val="right"/>
              <w:ind w:right="1146"/>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224</w:t>
            </w:r>
          </w:p>
        </w:tc>
        <w:tc>
          <w:tcPr>
            <w:tcW w:w="80" w:type="dxa"/>
            <w:vAlign w:val="bottom"/>
          </w:tcPr>
          <w:p>
            <w:pPr>
              <w:spacing w:after="0"/>
              <w:rPr>
                <w:sz w:val="13"/>
                <w:szCs w:val="13"/>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151</w:t>
            </w:r>
          </w:p>
        </w:tc>
        <w:tc>
          <w:tcPr>
            <w:tcW w:w="0" w:type="dxa"/>
            <w:vAlign w:val="bottom"/>
          </w:tcPr>
          <w:p>
            <w:pPr>
              <w:spacing w:after="0"/>
              <w:rPr>
                <w:sz w:val="1"/>
                <w:szCs w:val="1"/>
                <w:color w:val="auto"/>
              </w:rPr>
            </w:pPr>
          </w:p>
        </w:tc>
      </w:tr>
      <w:tr>
        <w:trPr>
          <w:trHeight w:val="153"/>
        </w:trPr>
        <w:tc>
          <w:tcPr>
            <w:tcW w:w="7940" w:type="dxa"/>
            <w:vAlign w:val="bottom"/>
          </w:tcPr>
          <w:p>
            <w:pPr>
              <w:ind w:left="140"/>
              <w:spacing w:after="0"/>
              <w:rPr>
                <w:sz w:val="20"/>
                <w:szCs w:val="20"/>
                <w:color w:val="auto"/>
              </w:rPr>
            </w:pPr>
            <w:r>
              <w:rPr>
                <w:rFonts w:ascii="Arial" w:cs="Arial" w:eastAsia="Arial" w:hAnsi="Arial"/>
                <w:sz w:val="11"/>
                <w:szCs w:val="11"/>
                <w:color w:val="auto"/>
              </w:rPr>
              <w:t>Deferred revenue</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163</w:t>
            </w:r>
          </w:p>
        </w:tc>
        <w:tc>
          <w:tcPr>
            <w:tcW w:w="0" w:type="dxa"/>
            <w:vAlign w:val="bottom"/>
          </w:tcPr>
          <w:p>
            <w:pPr>
              <w:spacing w:after="0"/>
              <w:rPr>
                <w:sz w:val="1"/>
                <w:szCs w:val="1"/>
                <w:color w:val="auto"/>
              </w:rPr>
            </w:pPr>
          </w:p>
        </w:tc>
      </w:tr>
      <w:tr>
        <w:trPr>
          <w:trHeight w:val="153"/>
        </w:trPr>
        <w:tc>
          <w:tcPr>
            <w:tcW w:w="7940" w:type="dxa"/>
            <w:vAlign w:val="bottom"/>
          </w:tcPr>
          <w:p>
            <w:pPr>
              <w:ind w:left="140"/>
              <w:spacing w:after="0"/>
              <w:rPr>
                <w:sz w:val="20"/>
                <w:szCs w:val="20"/>
                <w:color w:val="auto"/>
              </w:rPr>
            </w:pPr>
            <w:r>
              <w:rPr>
                <w:rFonts w:ascii="Arial" w:cs="Arial" w:eastAsia="Arial" w:hAnsi="Arial"/>
                <w:sz w:val="11"/>
                <w:szCs w:val="11"/>
                <w:color w:val="auto"/>
              </w:rPr>
              <w:t>Accrued content obligations</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226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53"/>
        </w:trPr>
        <w:tc>
          <w:tcPr>
            <w:tcW w:w="7940" w:type="dxa"/>
            <w:vAlign w:val="bottom"/>
          </w:tcPr>
          <w:p>
            <w:pPr>
              <w:ind w:left="140"/>
              <w:spacing w:after="0"/>
              <w:rPr>
                <w:sz w:val="20"/>
                <w:szCs w:val="20"/>
                <w:color w:val="auto"/>
              </w:rPr>
            </w:pPr>
            <w:r>
              <w:rPr>
                <w:rFonts w:ascii="Arial" w:cs="Arial" w:eastAsia="Arial" w:hAnsi="Arial"/>
                <w:sz w:val="11"/>
                <w:szCs w:val="11"/>
                <w:color w:val="auto"/>
              </w:rPr>
              <w:t>Accrued employee costs</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53"/>
        </w:trPr>
        <w:tc>
          <w:tcPr>
            <w:tcW w:w="7940" w:type="dxa"/>
            <w:vAlign w:val="bottom"/>
          </w:tcPr>
          <w:p>
            <w:pPr>
              <w:ind w:left="140"/>
              <w:spacing w:after="0"/>
              <w:rPr>
                <w:sz w:val="20"/>
                <w:szCs w:val="20"/>
                <w:color w:val="auto"/>
              </w:rPr>
            </w:pPr>
            <w:r>
              <w:rPr>
                <w:rFonts w:ascii="Arial" w:cs="Arial" w:eastAsia="Arial" w:hAnsi="Arial"/>
                <w:sz w:val="11"/>
                <w:szCs w:val="11"/>
                <w:color w:val="auto"/>
              </w:rPr>
              <w:t>Current portion of long-term debt</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7940" w:type="dxa"/>
            <w:vAlign w:val="bottom"/>
          </w:tcPr>
          <w:p>
            <w:pPr>
              <w:ind w:left="140"/>
              <w:spacing w:after="0"/>
              <w:rPr>
                <w:sz w:val="20"/>
                <w:szCs w:val="20"/>
                <w:color w:val="auto"/>
              </w:rPr>
            </w:pPr>
            <w:r>
              <w:rPr>
                <w:rFonts w:ascii="Arial" w:cs="Arial" w:eastAsia="Arial" w:hAnsi="Arial"/>
                <w:sz w:val="11"/>
                <w:szCs w:val="11"/>
                <w:color w:val="auto"/>
              </w:rPr>
              <w:t>Accrued expenses and other current liabilities</w:t>
            </w:r>
          </w:p>
        </w:tc>
        <w:tc>
          <w:tcPr>
            <w:tcW w:w="12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383</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141</w:t>
            </w:r>
          </w:p>
        </w:tc>
        <w:tc>
          <w:tcPr>
            <w:tcW w:w="0" w:type="dxa"/>
            <w:vAlign w:val="bottom"/>
          </w:tcPr>
          <w:p>
            <w:pPr>
              <w:spacing w:after="0"/>
              <w:rPr>
                <w:sz w:val="1"/>
                <w:szCs w:val="1"/>
                <w:color w:val="auto"/>
              </w:rPr>
            </w:pPr>
          </w:p>
        </w:tc>
      </w:tr>
      <w:tr>
        <w:trPr>
          <w:trHeight w:val="133"/>
        </w:trPr>
        <w:tc>
          <w:tcPr>
            <w:tcW w:w="7940" w:type="dxa"/>
            <w:vAlign w:val="bottom"/>
          </w:tcPr>
          <w:p>
            <w:pPr>
              <w:spacing w:after="0"/>
              <w:rPr>
                <w:sz w:val="20"/>
                <w:szCs w:val="20"/>
                <w:color w:val="auto"/>
              </w:rPr>
            </w:pPr>
            <w:r>
              <w:rPr>
                <w:rFonts w:ascii="Arial" w:cs="Arial" w:eastAsia="Arial" w:hAnsi="Arial"/>
                <w:sz w:val="11"/>
                <w:szCs w:val="11"/>
                <w:color w:val="auto"/>
              </w:rPr>
              <w:t>Total current liabilities</w:t>
            </w:r>
          </w:p>
        </w:tc>
        <w:tc>
          <w:tcPr>
            <w:tcW w:w="12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1,196</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622</w:t>
            </w:r>
          </w:p>
        </w:tc>
        <w:tc>
          <w:tcPr>
            <w:tcW w:w="0" w:type="dxa"/>
            <w:vAlign w:val="bottom"/>
          </w:tcPr>
          <w:p>
            <w:pPr>
              <w:spacing w:after="0"/>
              <w:rPr>
                <w:sz w:val="1"/>
                <w:szCs w:val="1"/>
                <w:color w:val="auto"/>
              </w:rPr>
            </w:pPr>
          </w:p>
        </w:tc>
      </w:tr>
      <w:tr>
        <w:trPr>
          <w:trHeight w:val="153"/>
        </w:trPr>
        <w:tc>
          <w:tcPr>
            <w:tcW w:w="7940" w:type="dxa"/>
            <w:vAlign w:val="bottom"/>
          </w:tcPr>
          <w:p>
            <w:pPr>
              <w:spacing w:after="0"/>
              <w:rPr>
                <w:sz w:val="20"/>
                <w:szCs w:val="20"/>
                <w:color w:val="auto"/>
              </w:rPr>
            </w:pPr>
            <w:r>
              <w:rPr>
                <w:rFonts w:ascii="Arial" w:cs="Arial" w:eastAsia="Arial" w:hAnsi="Arial"/>
                <w:sz w:val="11"/>
                <w:szCs w:val="11"/>
                <w:color w:val="auto"/>
              </w:rPr>
              <w:t>Deferred income taxes</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191</w:t>
            </w:r>
          </w:p>
        </w:tc>
        <w:tc>
          <w:tcPr>
            <w:tcW w:w="0" w:type="dxa"/>
            <w:vAlign w:val="bottom"/>
          </w:tcPr>
          <w:p>
            <w:pPr>
              <w:spacing w:after="0"/>
              <w:rPr>
                <w:sz w:val="1"/>
                <w:szCs w:val="1"/>
                <w:color w:val="auto"/>
              </w:rPr>
            </w:pPr>
          </w:p>
        </w:tc>
      </w:tr>
      <w:tr>
        <w:trPr>
          <w:trHeight w:val="153"/>
        </w:trPr>
        <w:tc>
          <w:tcPr>
            <w:tcW w:w="7940" w:type="dxa"/>
            <w:vAlign w:val="bottom"/>
          </w:tcPr>
          <w:p>
            <w:pPr>
              <w:spacing w:after="0"/>
              <w:rPr>
                <w:sz w:val="20"/>
                <w:szCs w:val="20"/>
                <w:color w:val="auto"/>
              </w:rPr>
            </w:pPr>
            <w:r>
              <w:rPr>
                <w:rFonts w:ascii="Arial" w:cs="Arial" w:eastAsia="Arial" w:hAnsi="Arial"/>
                <w:sz w:val="11"/>
                <w:szCs w:val="11"/>
                <w:color w:val="auto"/>
              </w:rPr>
              <w:t>Noncurrent content obligations</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53"/>
        </w:trPr>
        <w:tc>
          <w:tcPr>
            <w:tcW w:w="7940" w:type="dxa"/>
            <w:vAlign w:val="bottom"/>
          </w:tcPr>
          <w:p>
            <w:pPr>
              <w:spacing w:after="0"/>
              <w:rPr>
                <w:sz w:val="20"/>
                <w:szCs w:val="20"/>
                <w:color w:val="auto"/>
              </w:rPr>
            </w:pPr>
            <w:r>
              <w:rPr>
                <w:rFonts w:ascii="Arial" w:cs="Arial" w:eastAsia="Arial" w:hAnsi="Arial"/>
                <w:sz w:val="11"/>
                <w:szCs w:val="11"/>
                <w:color w:val="auto"/>
              </w:rPr>
              <w:t>Long-term debt</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2,813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983</w:t>
            </w:r>
          </w:p>
        </w:tc>
        <w:tc>
          <w:tcPr>
            <w:tcW w:w="0" w:type="dxa"/>
            <w:vAlign w:val="bottom"/>
          </w:tcPr>
          <w:p>
            <w:pPr>
              <w:spacing w:after="0"/>
              <w:rPr>
                <w:sz w:val="1"/>
                <w:szCs w:val="1"/>
                <w:color w:val="auto"/>
              </w:rPr>
            </w:pPr>
          </w:p>
        </w:tc>
      </w:tr>
      <w:tr>
        <w:trPr>
          <w:trHeight w:val="153"/>
        </w:trPr>
        <w:tc>
          <w:tcPr>
            <w:tcW w:w="7940" w:type="dxa"/>
            <w:vAlign w:val="bottom"/>
          </w:tcPr>
          <w:p>
            <w:pPr>
              <w:spacing w:after="0"/>
              <w:rPr>
                <w:sz w:val="20"/>
                <w:szCs w:val="20"/>
                <w:color w:val="auto"/>
              </w:rPr>
            </w:pPr>
            <w:r>
              <w:rPr>
                <w:rFonts w:ascii="Arial" w:cs="Arial" w:eastAsia="Arial" w:hAnsi="Arial"/>
                <w:sz w:val="11"/>
                <w:szCs w:val="11"/>
                <w:color w:val="auto"/>
              </w:rPr>
              <w:t>Other noncurrent liabilities</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144"/>
        </w:trPr>
        <w:tc>
          <w:tcPr>
            <w:tcW w:w="7940" w:type="dxa"/>
            <w:vAlign w:val="bottom"/>
          </w:tcPr>
          <w:p>
            <w:pPr>
              <w:spacing w:after="0"/>
              <w:rPr>
                <w:sz w:val="20"/>
                <w:szCs w:val="20"/>
                <w:color w:val="auto"/>
              </w:rPr>
            </w:pPr>
            <w:r>
              <w:rPr>
                <w:rFonts w:ascii="Arial" w:cs="Arial" w:eastAsia="Arial" w:hAnsi="Arial"/>
                <w:sz w:val="11"/>
                <w:szCs w:val="11"/>
                <w:color w:val="auto"/>
              </w:rPr>
              <w:t>Commitments and contingencies</w:t>
            </w: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40" w:type="dxa"/>
            <w:vAlign w:val="bottom"/>
          </w:tcPr>
          <w:p>
            <w:pPr>
              <w:spacing w:after="0"/>
              <w:rPr>
                <w:sz w:val="20"/>
                <w:szCs w:val="20"/>
                <w:color w:val="auto"/>
              </w:rPr>
            </w:pPr>
            <w:r>
              <w:rPr>
                <w:rFonts w:ascii="Arial" w:cs="Arial" w:eastAsia="Arial" w:hAnsi="Arial"/>
                <w:sz w:val="11"/>
                <w:szCs w:val="11"/>
                <w:color w:val="auto"/>
              </w:rPr>
              <w:t>Equity:</w:t>
            </w: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940" w:type="dxa"/>
            <w:vAlign w:val="bottom"/>
          </w:tcPr>
          <w:p>
            <w:pPr>
              <w:ind w:left="120"/>
              <w:spacing w:after="0"/>
              <w:rPr>
                <w:sz w:val="20"/>
                <w:szCs w:val="20"/>
                <w:color w:val="auto"/>
              </w:rPr>
            </w:pPr>
            <w:r>
              <w:rPr>
                <w:rFonts w:ascii="Arial" w:cs="Arial" w:eastAsia="Arial" w:hAnsi="Arial"/>
                <w:sz w:val="11"/>
                <w:szCs w:val="11"/>
                <w:color w:val="auto"/>
              </w:rPr>
              <w:t>Preferred stock, no par value — authorized 20 million shares; none issued as of September 30, 2026</w:t>
            </w:r>
          </w:p>
        </w:tc>
        <w:tc>
          <w:tcPr>
            <w:tcW w:w="128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7940" w:type="dxa"/>
            <w:vAlign w:val="bottom"/>
          </w:tcPr>
          <w:p>
            <w:pPr>
              <w:ind w:left="120"/>
              <w:spacing w:after="0"/>
              <w:rPr>
                <w:sz w:val="20"/>
                <w:szCs w:val="20"/>
                <w:color w:val="auto"/>
              </w:rPr>
            </w:pPr>
            <w:r>
              <w:rPr>
                <w:rFonts w:ascii="Arial" w:cs="Arial" w:eastAsia="Arial" w:hAnsi="Arial"/>
                <w:sz w:val="11"/>
                <w:szCs w:val="11"/>
                <w:color w:val="auto"/>
              </w:rPr>
              <w:t>Class A common stock, $0.01 par value — authorized 7.5 billion shares; issued and outstanding 136,247,945 shares as of September 30, 2026</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7940" w:type="dxa"/>
            <w:vAlign w:val="bottom"/>
          </w:tcPr>
          <w:p>
            <w:pPr>
              <w:ind w:left="120"/>
              <w:spacing w:after="0"/>
              <w:rPr>
                <w:sz w:val="20"/>
                <w:szCs w:val="20"/>
                <w:color w:val="auto"/>
              </w:rPr>
            </w:pPr>
            <w:r>
              <w:rPr>
                <w:rFonts w:ascii="Arial" w:cs="Arial" w:eastAsia="Arial" w:hAnsi="Arial"/>
                <w:sz w:val="11"/>
                <w:szCs w:val="11"/>
                <w:color w:val="auto"/>
              </w:rPr>
              <w:t>Class B common stock, $0.01 par value — authorized 75 million shares; issued and outstanding 377,775 shares as of September 30, 2026</w:t>
            </w:r>
          </w:p>
        </w:tc>
        <w:tc>
          <w:tcPr>
            <w:tcW w:w="12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7940" w:type="dxa"/>
            <w:vAlign w:val="bottom"/>
          </w:tcPr>
          <w:p>
            <w:pPr>
              <w:ind w:left="120"/>
              <w:spacing w:after="0"/>
              <w:rPr>
                <w:sz w:val="20"/>
                <w:szCs w:val="20"/>
                <w:color w:val="auto"/>
              </w:rPr>
            </w:pPr>
            <w:r>
              <w:rPr>
                <w:rFonts w:ascii="Arial" w:cs="Arial" w:eastAsia="Arial" w:hAnsi="Arial"/>
                <w:sz w:val="11"/>
                <w:szCs w:val="11"/>
                <w:color w:val="auto"/>
              </w:rPr>
              <w:t>Additional paid-in capital</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7,637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7940" w:type="dxa"/>
            <w:vAlign w:val="bottom"/>
          </w:tcPr>
          <w:p>
            <w:pPr>
              <w:ind w:left="120"/>
              <w:spacing w:after="0"/>
              <w:rPr>
                <w:sz w:val="20"/>
                <w:szCs w:val="20"/>
                <w:color w:val="auto"/>
              </w:rPr>
            </w:pPr>
            <w:r>
              <w:rPr>
                <w:rFonts w:ascii="Arial" w:cs="Arial" w:eastAsia="Arial" w:hAnsi="Arial"/>
                <w:sz w:val="11"/>
                <w:szCs w:val="11"/>
                <w:color w:val="auto"/>
              </w:rPr>
              <w:t>Retained earnings</w:t>
            </w:r>
          </w:p>
        </w:tc>
        <w:tc>
          <w:tcPr>
            <w:tcW w:w="12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382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7940" w:type="dxa"/>
            <w:vAlign w:val="bottom"/>
          </w:tcPr>
          <w:p>
            <w:pPr>
              <w:ind w:left="120"/>
              <w:spacing w:after="0"/>
              <w:rPr>
                <w:sz w:val="20"/>
                <w:szCs w:val="20"/>
                <w:color w:val="auto"/>
              </w:rPr>
            </w:pPr>
            <w:r>
              <w:rPr>
                <w:rFonts w:ascii="Arial" w:cs="Arial" w:eastAsia="Arial" w:hAnsi="Arial"/>
                <w:sz w:val="11"/>
                <w:szCs w:val="11"/>
                <w:color w:val="auto"/>
              </w:rPr>
              <w:t>Net Comcast investment</w:t>
            </w:r>
          </w:p>
        </w:tc>
        <w:tc>
          <w:tcPr>
            <w:tcW w:w="128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10,299</w:t>
            </w:r>
          </w:p>
        </w:tc>
        <w:tc>
          <w:tcPr>
            <w:tcW w:w="0" w:type="dxa"/>
            <w:vAlign w:val="bottom"/>
          </w:tcPr>
          <w:p>
            <w:pPr>
              <w:spacing w:after="0"/>
              <w:rPr>
                <w:sz w:val="1"/>
                <w:szCs w:val="1"/>
                <w:color w:val="auto"/>
              </w:rPr>
            </w:pPr>
          </w:p>
        </w:tc>
      </w:tr>
      <w:tr>
        <w:trPr>
          <w:trHeight w:val="153"/>
        </w:trPr>
        <w:tc>
          <w:tcPr>
            <w:tcW w:w="7940" w:type="dxa"/>
            <w:vAlign w:val="bottom"/>
          </w:tcPr>
          <w:p>
            <w:pPr>
              <w:ind w:left="120"/>
              <w:spacing w:after="0"/>
              <w:rPr>
                <w:sz w:val="20"/>
                <w:szCs w:val="20"/>
                <w:color w:val="auto"/>
              </w:rPr>
            </w:pPr>
            <w:r>
              <w:rPr>
                <w:rFonts w:ascii="Arial" w:cs="Arial" w:eastAsia="Arial" w:hAnsi="Arial"/>
                <w:sz w:val="11"/>
                <w:szCs w:val="11"/>
                <w:color w:val="auto"/>
              </w:rPr>
              <w:t>Accumulated other comprehensive income (loss)</w:t>
            </w:r>
          </w:p>
        </w:tc>
        <w:tc>
          <w:tcPr>
            <w:tcW w:w="12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3"/>
        </w:trPr>
        <w:tc>
          <w:tcPr>
            <w:tcW w:w="7940" w:type="dxa"/>
            <w:vAlign w:val="bottom"/>
          </w:tcPr>
          <w:p>
            <w:pPr>
              <w:spacing w:after="0"/>
              <w:rPr>
                <w:sz w:val="20"/>
                <w:szCs w:val="20"/>
                <w:color w:val="auto"/>
              </w:rPr>
            </w:pPr>
            <w:r>
              <w:rPr>
                <w:rFonts w:ascii="Arial" w:cs="Arial" w:eastAsia="Arial" w:hAnsi="Arial"/>
                <w:sz w:val="11"/>
                <w:szCs w:val="11"/>
                <w:color w:val="auto"/>
              </w:rPr>
              <w:t>Total equity attributable to Versant</w:t>
            </w:r>
          </w:p>
        </w:tc>
        <w:tc>
          <w:tcPr>
            <w:tcW w:w="12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8,037</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10,292</w:t>
            </w:r>
          </w:p>
        </w:tc>
        <w:tc>
          <w:tcPr>
            <w:tcW w:w="0" w:type="dxa"/>
            <w:vAlign w:val="bottom"/>
          </w:tcPr>
          <w:p>
            <w:pPr>
              <w:spacing w:after="0"/>
              <w:rPr>
                <w:sz w:val="1"/>
                <w:szCs w:val="1"/>
                <w:color w:val="auto"/>
              </w:rPr>
            </w:pPr>
          </w:p>
        </w:tc>
      </w:tr>
      <w:tr>
        <w:trPr>
          <w:trHeight w:val="153"/>
        </w:trPr>
        <w:tc>
          <w:tcPr>
            <w:tcW w:w="7940" w:type="dxa"/>
            <w:vAlign w:val="bottom"/>
          </w:tcPr>
          <w:p>
            <w:pPr>
              <w:spacing w:after="0"/>
              <w:rPr>
                <w:sz w:val="20"/>
                <w:szCs w:val="20"/>
                <w:color w:val="auto"/>
              </w:rPr>
            </w:pPr>
            <w:r>
              <w:rPr>
                <w:rFonts w:ascii="Arial" w:cs="Arial" w:eastAsia="Arial" w:hAnsi="Arial"/>
                <w:sz w:val="11"/>
                <w:szCs w:val="11"/>
                <w:color w:val="auto"/>
              </w:rPr>
              <w:t>Noncontrolling interests</w:t>
            </w:r>
          </w:p>
        </w:tc>
        <w:tc>
          <w:tcPr>
            <w:tcW w:w="12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34"/>
        </w:trPr>
        <w:tc>
          <w:tcPr>
            <w:tcW w:w="7940" w:type="dxa"/>
            <w:vAlign w:val="bottom"/>
          </w:tcPr>
          <w:p>
            <w:pPr>
              <w:spacing w:after="0"/>
              <w:rPr>
                <w:sz w:val="20"/>
                <w:szCs w:val="20"/>
                <w:color w:val="auto"/>
              </w:rPr>
            </w:pPr>
            <w:r>
              <w:rPr>
                <w:rFonts w:ascii="Arial" w:cs="Arial" w:eastAsia="Arial" w:hAnsi="Arial"/>
                <w:sz w:val="11"/>
                <w:szCs w:val="11"/>
                <w:color w:val="auto"/>
              </w:rPr>
              <w:t>Total equity</w:t>
            </w:r>
          </w:p>
        </w:tc>
        <w:tc>
          <w:tcPr>
            <w:tcW w:w="1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8,147</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10,402</w:t>
            </w:r>
          </w:p>
        </w:tc>
        <w:tc>
          <w:tcPr>
            <w:tcW w:w="0" w:type="dxa"/>
            <w:vAlign w:val="bottom"/>
          </w:tcPr>
          <w:p>
            <w:pPr>
              <w:spacing w:after="0"/>
              <w:rPr>
                <w:sz w:val="1"/>
                <w:szCs w:val="1"/>
                <w:color w:val="auto"/>
              </w:rPr>
            </w:pPr>
          </w:p>
        </w:tc>
      </w:tr>
      <w:tr>
        <w:trPr>
          <w:trHeight w:val="134"/>
        </w:trPr>
        <w:tc>
          <w:tcPr>
            <w:tcW w:w="7940" w:type="dxa"/>
            <w:vAlign w:val="bottom"/>
          </w:tcPr>
          <w:p>
            <w:pPr>
              <w:spacing w:after="0"/>
              <w:rPr>
                <w:sz w:val="20"/>
                <w:szCs w:val="20"/>
                <w:color w:val="auto"/>
              </w:rPr>
            </w:pPr>
            <w:r>
              <w:rPr>
                <w:rFonts w:ascii="Arial" w:cs="Arial" w:eastAsia="Arial" w:hAnsi="Arial"/>
                <w:sz w:val="11"/>
                <w:szCs w:val="11"/>
                <w:b w:val="1"/>
                <w:bCs w:val="1"/>
                <w:color w:val="auto"/>
              </w:rPr>
              <w:t>Total liabilities and equity</w:t>
            </w:r>
          </w:p>
        </w:tc>
        <w:tc>
          <w:tcPr>
            <w:tcW w:w="1280" w:type="dxa"/>
            <w:vAlign w:val="bottom"/>
            <w:tcBorders>
              <w:bottom w:val="single" w:sz="8" w:color="auto"/>
            </w:tcBorders>
          </w:tcPr>
          <w:p>
            <w:pPr>
              <w:jc w:val="right"/>
              <w:ind w:right="1146"/>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12,656</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12,333</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-4074160</wp:posOffset>
            </wp:positionV>
            <wp:extent cx="2137410" cy="3960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7410" cy="3960495"/>
                    </a:xfrm>
                    <a:prstGeom prst="rect">
                      <a:avLst/>
                    </a:prstGeom>
                    <a:noFill/>
                  </pic:spPr>
                </pic:pic>
              </a:graphicData>
            </a:graphic>
          </wp:anchor>
        </w:drawing>
      </w:r>
    </w:p>
    <w:p>
      <w:pPr>
        <w:sectPr>
          <w:pgSz w:w="11900" w:h="16838" w:orient="portrait"/>
          <w:cols w:equalWidth="0" w:num="1">
            <w:col w:w="11300"/>
          </w:cols>
          <w:pgMar w:left="300" w:top="1022"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TABLE 4</w:t>
      </w:r>
    </w:p>
    <w:p>
      <w:pPr>
        <w:spacing w:after="0"/>
        <w:rPr>
          <w:sz w:val="20"/>
          <w:szCs w:val="20"/>
          <w:color w:val="auto"/>
        </w:rPr>
      </w:pPr>
      <w:r>
        <w:rPr>
          <w:rFonts w:ascii="Arial" w:cs="Arial" w:eastAsia="Arial" w:hAnsi="Arial"/>
          <w:sz w:val="12"/>
          <w:szCs w:val="12"/>
          <w:b w:val="1"/>
          <w:bCs w:val="1"/>
          <w:color w:val="auto"/>
        </w:rPr>
        <w:t>Supplemental Disclosures Regarding Non-GAAP Financial Measures</w:t>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auto"/>
        </w:rPr>
        <w:t>We evaluate our operating performance based on several factors, including the following non-GAAP financial measures: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Adjusted EBITDA</w:t>
      </w:r>
    </w:p>
    <w:p>
      <w:pPr>
        <w:spacing w:after="0" w:line="76" w:lineRule="exact"/>
        <w:rPr>
          <w:sz w:val="20"/>
          <w:szCs w:val="20"/>
          <w:color w:val="auto"/>
        </w:rPr>
      </w:pPr>
    </w:p>
    <w:p>
      <w:pPr>
        <w:ind w:right="40"/>
        <w:spacing w:after="0" w:line="247" w:lineRule="auto"/>
        <w:rPr>
          <w:sz w:val="20"/>
          <w:szCs w:val="20"/>
          <w:color w:val="auto"/>
        </w:rPr>
      </w:pPr>
      <w:r>
        <w:rPr>
          <w:rFonts w:ascii="Arial" w:cs="Arial" w:eastAsia="Arial" w:hAnsi="Arial"/>
          <w:sz w:val="11"/>
          <w:szCs w:val="11"/>
          <w:color w:val="auto"/>
        </w:rPr>
        <w:t>Adjusted EBITDA is a non-GAAP financial measure and is a key measure used to assess the operational strength and performance of our business as well as to assist in the evaluation of underlying trends in our business. This measure eliminates the significant level of noncash depreciation and amortization expense that results from property and equipment and intangible assets recognized in business combinations. It is also unaffected by our capital and tax structures, and by our investment activities, including the impacts of entities that we do not consolidate, as our management excludes these results when evaluating our operating performance. Our management and Board of Directors use this financial measure to evaluate our operating performance and to allocate resources.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47" w:lineRule="exact"/>
        <w:rPr>
          <w:sz w:val="20"/>
          <w:szCs w:val="20"/>
          <w:color w:val="auto"/>
        </w:rPr>
      </w:pPr>
    </w:p>
    <w:p>
      <w:pPr>
        <w:spacing w:after="0" w:line="247" w:lineRule="auto"/>
        <w:rPr>
          <w:sz w:val="20"/>
          <w:szCs w:val="20"/>
          <w:color w:val="auto"/>
        </w:rPr>
      </w:pPr>
      <w:r>
        <w:rPr>
          <w:rFonts w:ascii="Arial" w:cs="Arial" w:eastAsia="Arial" w:hAnsi="Arial"/>
          <w:sz w:val="11"/>
          <w:szCs w:val="11"/>
          <w:color w:val="auto"/>
        </w:rPr>
        <w:t>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make adjustments to Adjusted EBITDA for the impact of certain other events, gains, losses or other charges that affect the period-to-period comparability of our operating performance. Reconciliations of Adjusted EBITDA to the nearest GAAP measures for historical periods are presented below. A reconciliation for full-year 2026 outlook cannot be provided without unreasonable efforts because of the inherent difficulty in forecasting certain amounts that are necessary for such reconciliations due to the uncertainty and potential variability of reconciling items, which are dependent on future events and often outside of management’s control and which could be significant. Forward-looking estimates are made in a manner consistent with the relevant definitions noted herein.</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Standalone Adjusted EBITDA</w:t>
      </w:r>
    </w:p>
    <w:p>
      <w:pPr>
        <w:spacing w:after="0" w:line="72" w:lineRule="exact"/>
        <w:rPr>
          <w:sz w:val="20"/>
          <w:szCs w:val="20"/>
          <w:color w:val="auto"/>
        </w:rPr>
      </w:pPr>
    </w:p>
    <w:p>
      <w:pPr>
        <w:ind w:right="60"/>
        <w:spacing w:after="0" w:line="247" w:lineRule="auto"/>
        <w:rPr>
          <w:sz w:val="20"/>
          <w:szCs w:val="20"/>
          <w:color w:val="auto"/>
        </w:rPr>
      </w:pPr>
      <w:r>
        <w:rPr>
          <w:rFonts w:ascii="Arial" w:cs="Arial" w:eastAsia="Arial" w:hAnsi="Arial"/>
          <w:sz w:val="11"/>
          <w:szCs w:val="11"/>
          <w:color w:val="auto"/>
        </w:rPr>
        <w:t>Standalone Adjusted EBITDA is a non-GAAP financial measure used in periods prior to the Separation to measure the operational strength and performance of our business as well as to assist in the evaluation of underlying trends in our business. Consistent with Adjusted EBITDA, this measure eliminates noncash depreciation and amortization expense and is unaffected by our capital and tax structures and by our investment activities, as our management excludes these results when evaluating our operating performance. Standalone Adjusted EBITDA also includes estimated incremental costs of operating as a standalone company following the Separation. We use Standalone Adjusted EBITDA and believe this measure is useful to investors because it provides an estimate of our operating performance giving effect to the Separation and related transactions and additional costs that we expect to incur as a standalone company for the periods presented, and is one of the bases for comparing our operating performance with that of other companies in our industries, although our measure of Standalone Adjusted EBITDA may not be directly comparable to similar measures used by other companies.</w:t>
      </w:r>
    </w:p>
    <w:p>
      <w:pPr>
        <w:spacing w:after="0" w:line="47" w:lineRule="exact"/>
        <w:rPr>
          <w:sz w:val="20"/>
          <w:szCs w:val="20"/>
          <w:color w:val="auto"/>
        </w:rPr>
      </w:pPr>
    </w:p>
    <w:p>
      <w:pPr>
        <w:ind w:right="80"/>
        <w:spacing w:after="0" w:line="249" w:lineRule="auto"/>
        <w:rPr>
          <w:sz w:val="20"/>
          <w:szCs w:val="20"/>
          <w:color w:val="auto"/>
        </w:rPr>
      </w:pPr>
      <w:r>
        <w:rPr>
          <w:rFonts w:ascii="Arial" w:cs="Arial" w:eastAsia="Arial" w:hAnsi="Arial"/>
          <w:sz w:val="11"/>
          <w:szCs w:val="11"/>
          <w:color w:val="auto"/>
        </w:rPr>
        <w:t>We define Standalone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and further adjusted to give effect to estimated incremental costs of commercial agreements with Comcast and estimated additional costs we expect to incur as a standalone company in certain of our corporate administrative, facilities and support functions. From time to time, we may make adjustments to Standalone Adjusted EBITDA for the impact of certain events, gains, losses or other charges that affect the period-to-period comparability of our operating performance. Standalone Adjusted EBITDA is presented for informational purposes only and does not purport to represent what our results of operations actually would have been had we operated as a standalone company for the periods presented or to project our financial performance for any future period. Standalone Adjusted EBITDA is based on available information, estimates and assumptions, which we believe are reasonable, although actual future results will differ from the amounts presented. Reconciliations of Adjusted EBITDA and Standalone Adjusted EBITDA to the nearest GAAP measures for historical periods are presented below.</w:t>
      </w:r>
    </w:p>
    <w:p>
      <w:pPr>
        <w:sectPr>
          <w:pgSz w:w="11900" w:h="16838" w:orient="portrait"/>
          <w:cols w:equalWidth="0" w:num="1">
            <w:col w:w="11300"/>
          </w:cols>
          <w:pgMar w:left="300" w:top="1081" w:right="299" w:bottom="1440" w:gutter="0" w:footer="0" w:header="0"/>
        </w:sectPr>
      </w:pPr>
    </w:p>
    <w:bookmarkStart w:id="13" w:name="page14"/>
    <w:bookmarkEnd w:id="13"/>
    <w:p>
      <w:pPr>
        <w:ind w:left="8" w:right="4420"/>
        <w:spacing w:after="0" w:line="250" w:lineRule="auto"/>
        <w:rPr>
          <w:sz w:val="20"/>
          <w:szCs w:val="20"/>
          <w:color w:val="auto"/>
        </w:rPr>
      </w:pPr>
      <w:r>
        <w:rPr>
          <w:rFonts w:ascii="Arial" w:cs="Arial" w:eastAsia="Arial" w:hAnsi="Arial"/>
          <w:sz w:val="13"/>
          <w:szCs w:val="13"/>
          <w:b w:val="1"/>
          <w:bCs w:val="1"/>
          <w:color w:val="auto"/>
        </w:rPr>
        <w:t>Reconciliation from Net Income Attributable to Versant to Adjusted EBITDA and Standalone Adjusted EBITDA (Unaudited)</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460" w:type="dxa"/>
            <w:vAlign w:val="bottom"/>
          </w:tcPr>
          <w:p>
            <w:pPr>
              <w:spacing w:after="0"/>
              <w:rPr>
                <w:sz w:val="11"/>
                <w:szCs w:val="11"/>
                <w:color w:val="auto"/>
              </w:rPr>
            </w:pPr>
          </w:p>
        </w:tc>
        <w:tc>
          <w:tcPr>
            <w:tcW w:w="294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1"/>
                <w:szCs w:val="11"/>
                <w:b w:val="1"/>
                <w:bCs w:val="1"/>
                <w:color w:val="auto"/>
              </w:rPr>
              <w:t>Three Months Ended September 30,</w:t>
            </w: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gridSpan w:val="4"/>
          </w:tcPr>
          <w:p>
            <w:pPr>
              <w:jc w:val="center"/>
              <w:ind w:right="341"/>
              <w:spacing w:after="0"/>
              <w:rPr>
                <w:sz w:val="20"/>
                <w:szCs w:val="20"/>
                <w:color w:val="auto"/>
              </w:rPr>
            </w:pPr>
            <w:r>
              <w:rPr>
                <w:rFonts w:ascii="Arial" w:cs="Arial" w:eastAsia="Arial" w:hAnsi="Arial"/>
                <w:sz w:val="11"/>
                <w:szCs w:val="11"/>
                <w:b w:val="1"/>
                <w:bCs w:val="1"/>
                <w:color w:val="auto"/>
                <w:w w:val="98"/>
              </w:rPr>
              <w:t>Nine Months Ended September 30,</w:t>
            </w:r>
          </w:p>
        </w:tc>
        <w:tc>
          <w:tcPr>
            <w:tcW w:w="0" w:type="dxa"/>
            <w:vAlign w:val="bottom"/>
          </w:tcPr>
          <w:p>
            <w:pPr>
              <w:spacing w:after="0"/>
              <w:rPr>
                <w:sz w:val="1"/>
                <w:szCs w:val="1"/>
                <w:color w:val="auto"/>
              </w:rPr>
            </w:pPr>
          </w:p>
        </w:tc>
      </w:tr>
      <w:tr>
        <w:trPr>
          <w:trHeight w:val="133"/>
        </w:trPr>
        <w:tc>
          <w:tcPr>
            <w:tcW w:w="4460" w:type="dxa"/>
            <w:vAlign w:val="bottom"/>
          </w:tcPr>
          <w:p>
            <w:pPr>
              <w:spacing w:after="0"/>
              <w:rPr>
                <w:sz w:val="11"/>
                <w:szCs w:val="11"/>
                <w:color w:val="auto"/>
              </w:rPr>
            </w:pP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2026</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6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20"/>
        </w:trPr>
        <w:tc>
          <w:tcPr>
            <w:tcW w:w="4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0"/>
                <w:szCs w:val="10"/>
                <w:b w:val="1"/>
                <w:bCs w:val="1"/>
                <w:i w:val="1"/>
                <w:iCs w:val="1"/>
                <w:color w:val="auto"/>
              </w:rPr>
              <w:t>(in millions)</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460" w:type="dxa"/>
            <w:vAlign w:val="bottom"/>
          </w:tcPr>
          <w:p>
            <w:pPr>
              <w:spacing w:after="0"/>
              <w:rPr>
                <w:sz w:val="20"/>
                <w:szCs w:val="20"/>
                <w:color w:val="auto"/>
              </w:rPr>
            </w:pPr>
            <w:r>
              <w:rPr>
                <w:rFonts w:ascii="Arial" w:cs="Arial" w:eastAsia="Arial" w:hAnsi="Arial"/>
                <w:sz w:val="12"/>
                <w:szCs w:val="12"/>
                <w:color w:val="auto"/>
              </w:rPr>
              <w:t>Net income attributable to Versant</w:t>
            </w:r>
          </w:p>
        </w:tc>
        <w:tc>
          <w:tcPr>
            <w:tcW w:w="1200" w:type="dxa"/>
            <w:vAlign w:val="bottom"/>
          </w:tcPr>
          <w:p>
            <w:pPr>
              <w:jc w:val="right"/>
              <w:ind w:right="1063"/>
              <w:spacing w:after="0"/>
              <w:rPr>
                <w:sz w:val="20"/>
                <w:szCs w:val="20"/>
                <w:color w:val="auto"/>
              </w:rPr>
            </w:pPr>
            <w:r>
              <w:rPr>
                <w:rFonts w:ascii="Arial" w:cs="Arial" w:eastAsia="Arial" w:hAnsi="Arial"/>
                <w:sz w:val="12"/>
                <w:szCs w:val="12"/>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47</w:t>
            </w:r>
          </w:p>
        </w:tc>
        <w:tc>
          <w:tcPr>
            <w:tcW w:w="80" w:type="dxa"/>
            <w:vAlign w:val="bottom"/>
          </w:tcPr>
          <w:p>
            <w:pPr>
              <w:spacing w:after="0"/>
              <w:rPr>
                <w:sz w:val="13"/>
                <w:szCs w:val="13"/>
                <w:color w:val="auto"/>
              </w:rPr>
            </w:pPr>
          </w:p>
        </w:tc>
        <w:tc>
          <w:tcPr>
            <w:tcW w:w="1180" w:type="dxa"/>
            <w:vAlign w:val="bottom"/>
          </w:tcPr>
          <w:p>
            <w:pPr>
              <w:jc w:val="right"/>
              <w:ind w:right="1042"/>
              <w:spacing w:after="0"/>
              <w:rPr>
                <w:sz w:val="20"/>
                <w:szCs w:val="20"/>
                <w:color w:val="auto"/>
              </w:rPr>
            </w:pPr>
            <w:r>
              <w:rPr>
                <w:rFonts w:ascii="Arial" w:cs="Arial" w:eastAsia="Arial" w:hAnsi="Arial"/>
                <w:sz w:val="12"/>
                <w:szCs w:val="12"/>
                <w:b w:val="1"/>
                <w:bCs w:val="1"/>
                <w:color w:val="auto"/>
                <w:w w:val="89"/>
              </w:rPr>
              <w:t>$</w:t>
            </w:r>
          </w:p>
        </w:tc>
        <w:tc>
          <w:tcPr>
            <w:tcW w:w="520" w:type="dxa"/>
            <w:vAlign w:val="bottom"/>
          </w:tcPr>
          <w:p>
            <w:pPr>
              <w:jc w:val="right"/>
              <w:ind w:right="1"/>
              <w:spacing w:after="0"/>
              <w:rPr>
                <w:sz w:val="20"/>
                <w:szCs w:val="20"/>
                <w:color w:val="auto"/>
              </w:rPr>
            </w:pPr>
            <w:r>
              <w:rPr>
                <w:rFonts w:ascii="Arial" w:cs="Arial" w:eastAsia="Arial" w:hAnsi="Arial"/>
                <w:sz w:val="12"/>
                <w:szCs w:val="12"/>
                <w:b w:val="1"/>
                <w:bCs w:val="1"/>
                <w:color w:val="auto"/>
              </w:rPr>
              <w:t>80</w:t>
            </w:r>
          </w:p>
        </w:tc>
        <w:tc>
          <w:tcPr>
            <w:tcW w:w="4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w:t>
            </w:r>
          </w:p>
        </w:tc>
        <w:tc>
          <w:tcPr>
            <w:tcW w:w="1140" w:type="dxa"/>
            <w:vAlign w:val="bottom"/>
          </w:tcPr>
          <w:p>
            <w:pPr>
              <w:jc w:val="right"/>
              <w:ind w:right="1"/>
              <w:spacing w:after="0"/>
              <w:rPr>
                <w:sz w:val="20"/>
                <w:szCs w:val="20"/>
                <w:color w:val="auto"/>
              </w:rPr>
            </w:pPr>
            <w:r>
              <w:rPr>
                <w:rFonts w:ascii="Arial" w:cs="Arial" w:eastAsia="Arial" w:hAnsi="Arial"/>
                <w:sz w:val="12"/>
                <w:szCs w:val="12"/>
                <w:b w:val="1"/>
                <w:bCs w:val="1"/>
                <w:color w:val="auto"/>
              </w:rPr>
              <w:t>544</w:t>
            </w:r>
          </w:p>
        </w:tc>
        <w:tc>
          <w:tcPr>
            <w:tcW w:w="80" w:type="dxa"/>
            <w:vAlign w:val="bottom"/>
          </w:tcPr>
          <w:p>
            <w:pPr>
              <w:spacing w:after="0"/>
              <w:rPr>
                <w:sz w:val="13"/>
                <w:szCs w:val="13"/>
                <w:color w:val="auto"/>
              </w:rPr>
            </w:pPr>
          </w:p>
        </w:tc>
        <w:tc>
          <w:tcPr>
            <w:tcW w:w="400" w:type="dxa"/>
            <w:vAlign w:val="bottom"/>
          </w:tcPr>
          <w:p>
            <w:pPr>
              <w:jc w:val="center"/>
              <w:ind w:right="260"/>
              <w:spacing w:after="0"/>
              <w:rPr>
                <w:sz w:val="20"/>
                <w:szCs w:val="20"/>
                <w:color w:val="auto"/>
              </w:rPr>
            </w:pPr>
            <w:r>
              <w:rPr>
                <w:rFonts w:ascii="Arial" w:cs="Arial" w:eastAsia="Arial" w:hAnsi="Arial"/>
                <w:sz w:val="12"/>
                <w:szCs w:val="12"/>
                <w:b w:val="1"/>
                <w:bCs w:val="1"/>
                <w:color w:val="auto"/>
              </w:rPr>
              <w:t>$</w:t>
            </w:r>
          </w:p>
        </w:tc>
        <w:tc>
          <w:tcPr>
            <w:tcW w:w="1280" w:type="dxa"/>
            <w:vAlign w:val="bottom"/>
          </w:tcPr>
          <w:p>
            <w:pPr>
              <w:jc w:val="right"/>
              <w:ind w:right="1"/>
              <w:spacing w:after="0"/>
              <w:rPr>
                <w:sz w:val="20"/>
                <w:szCs w:val="20"/>
                <w:color w:val="auto"/>
              </w:rPr>
            </w:pPr>
            <w:r>
              <w:rPr>
                <w:rFonts w:ascii="Arial" w:cs="Arial" w:eastAsia="Arial" w:hAnsi="Arial"/>
                <w:sz w:val="12"/>
                <w:szCs w:val="12"/>
                <w:b w:val="1"/>
                <w:bCs w:val="1"/>
                <w:color w:val="auto"/>
              </w:rPr>
              <w:t>749</w:t>
            </w:r>
          </w:p>
        </w:tc>
        <w:tc>
          <w:tcPr>
            <w:tcW w:w="0" w:type="dxa"/>
            <w:vAlign w:val="bottom"/>
          </w:tcPr>
          <w:p>
            <w:pPr>
              <w:spacing w:after="0"/>
              <w:rPr>
                <w:sz w:val="1"/>
                <w:szCs w:val="1"/>
                <w:color w:val="auto"/>
              </w:rPr>
            </w:pPr>
          </w:p>
        </w:tc>
      </w:tr>
      <w:tr>
        <w:trPr>
          <w:trHeight w:val="153"/>
        </w:trPr>
        <w:tc>
          <w:tcPr>
            <w:tcW w:w="4460" w:type="dxa"/>
            <w:vAlign w:val="bottom"/>
          </w:tcPr>
          <w:p>
            <w:pPr>
              <w:ind w:left="120"/>
              <w:spacing w:after="0"/>
              <w:rPr>
                <w:sz w:val="20"/>
                <w:szCs w:val="20"/>
                <w:color w:val="auto"/>
              </w:rPr>
            </w:pPr>
            <w:r>
              <w:rPr>
                <w:rFonts w:ascii="Arial" w:cs="Arial" w:eastAsia="Arial" w:hAnsi="Arial"/>
                <w:sz w:val="12"/>
                <w:szCs w:val="12"/>
                <w:color w:val="auto"/>
              </w:rPr>
              <w:t>Net loss attributable to noncontrolling interests</w:t>
            </w:r>
          </w:p>
        </w:tc>
        <w:tc>
          <w:tcPr>
            <w:tcW w:w="12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460" w:type="dxa"/>
            <w:vAlign w:val="bottom"/>
          </w:tcPr>
          <w:p>
            <w:pPr>
              <w:ind w:left="120"/>
              <w:spacing w:after="0"/>
              <w:rPr>
                <w:sz w:val="20"/>
                <w:szCs w:val="20"/>
                <w:color w:val="auto"/>
              </w:rPr>
            </w:pPr>
            <w:r>
              <w:rPr>
                <w:rFonts w:ascii="Arial" w:cs="Arial" w:eastAsia="Arial" w:hAnsi="Arial"/>
                <w:sz w:val="12"/>
                <w:szCs w:val="12"/>
                <w:color w:val="auto"/>
              </w:rPr>
              <w:t>Income tax expense</w:t>
            </w:r>
          </w:p>
        </w:tc>
        <w:tc>
          <w:tcPr>
            <w:tcW w:w="1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243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153"/>
        </w:trPr>
        <w:tc>
          <w:tcPr>
            <w:tcW w:w="4460" w:type="dxa"/>
            <w:vAlign w:val="bottom"/>
          </w:tcPr>
          <w:p>
            <w:pPr>
              <w:ind w:left="120"/>
              <w:spacing w:after="0"/>
              <w:rPr>
                <w:sz w:val="20"/>
                <w:szCs w:val="20"/>
                <w:color w:val="auto"/>
              </w:rPr>
            </w:pPr>
            <w:r>
              <w:rPr>
                <w:rFonts w:ascii="Arial" w:cs="Arial" w:eastAsia="Arial" w:hAnsi="Arial"/>
                <w:sz w:val="12"/>
                <w:szCs w:val="12"/>
                <w:color w:val="auto"/>
              </w:rPr>
              <w:t>Investment and other (income) loss, net</w:t>
            </w:r>
          </w:p>
        </w:tc>
        <w:tc>
          <w:tcPr>
            <w:tcW w:w="1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53"/>
        </w:trPr>
        <w:tc>
          <w:tcPr>
            <w:tcW w:w="4460" w:type="dxa"/>
            <w:vAlign w:val="bottom"/>
          </w:tcPr>
          <w:p>
            <w:pPr>
              <w:ind w:left="120"/>
              <w:spacing w:after="0"/>
              <w:rPr>
                <w:sz w:val="20"/>
                <w:szCs w:val="20"/>
                <w:color w:val="auto"/>
              </w:rPr>
            </w:pPr>
            <w:r>
              <w:rPr>
                <w:rFonts w:ascii="Arial" w:cs="Arial" w:eastAsia="Arial" w:hAnsi="Arial"/>
                <w:sz w:val="12"/>
                <w:szCs w:val="12"/>
                <w:color w:val="auto"/>
              </w:rPr>
              <w:t>Interest expense</w:t>
            </w:r>
          </w:p>
        </w:tc>
        <w:tc>
          <w:tcPr>
            <w:tcW w:w="1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53</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157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2"/>
        </w:trPr>
        <w:tc>
          <w:tcPr>
            <w:tcW w:w="446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1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243</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255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757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744</w:t>
            </w:r>
          </w:p>
        </w:tc>
        <w:tc>
          <w:tcPr>
            <w:tcW w:w="0" w:type="dxa"/>
            <w:vAlign w:val="bottom"/>
          </w:tcPr>
          <w:p>
            <w:pPr>
              <w:spacing w:after="0"/>
              <w:rPr>
                <w:sz w:val="1"/>
                <w:szCs w:val="1"/>
                <w:color w:val="auto"/>
              </w:rPr>
            </w:pPr>
          </w:p>
        </w:tc>
      </w:tr>
      <w:tr>
        <w:trPr>
          <w:trHeight w:val="158"/>
        </w:trPr>
        <w:tc>
          <w:tcPr>
            <w:tcW w:w="4460" w:type="dxa"/>
            <w:vAlign w:val="bottom"/>
          </w:tcPr>
          <w:p>
            <w:pPr>
              <w:ind w:left="120"/>
              <w:spacing w:after="0" w:line="158" w:lineRule="exact"/>
              <w:rPr>
                <w:sz w:val="20"/>
                <w:szCs w:val="20"/>
                <w:color w:val="auto"/>
              </w:rPr>
            </w:pPr>
            <w:r>
              <w:rPr>
                <w:rFonts w:ascii="Arial" w:cs="Arial" w:eastAsia="Arial" w:hAnsi="Arial"/>
                <w:sz w:val="12"/>
                <w:szCs w:val="12"/>
                <w:color w:val="auto"/>
              </w:rPr>
              <w:t xml:space="preserve">Adjustments </w:t>
            </w:r>
            <w:r>
              <w:rPr>
                <w:rFonts w:ascii="Arial" w:cs="Arial" w:eastAsia="Arial" w:hAnsi="Arial"/>
                <w:sz w:val="15"/>
                <w:szCs w:val="15"/>
                <w:color w:val="auto"/>
                <w:vertAlign w:val="superscript"/>
              </w:rPr>
              <w:t>(1)</w:t>
            </w:r>
          </w:p>
        </w:tc>
        <w:tc>
          <w:tcPr>
            <w:tcW w:w="120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tcPr>
          <w:p>
            <w:pPr>
              <w:spacing w:after="0"/>
              <w:rPr>
                <w:sz w:val="13"/>
                <w:szCs w:val="13"/>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20"/>
                <w:szCs w:val="20"/>
                <w:color w:val="auto"/>
              </w:rPr>
            </w:pPr>
            <w:r>
              <w:rPr>
                <w:rFonts w:ascii="Arial" w:cs="Arial" w:eastAsia="Arial" w:hAnsi="Arial"/>
                <w:sz w:val="12"/>
                <w:szCs w:val="12"/>
                <w:b w:val="1"/>
                <w:bCs w:val="1"/>
                <w:color w:val="auto"/>
              </w:rPr>
              <w:t>Adjusted EBITDA</w:t>
            </w:r>
          </w:p>
        </w:tc>
        <w:tc>
          <w:tcPr>
            <w:tcW w:w="1200" w:type="dxa"/>
            <w:vAlign w:val="bottom"/>
            <w:tcBorders>
              <w:top w:val="single" w:sz="8" w:color="auto"/>
              <w:bottom w:val="single" w:sz="8" w:color="auto"/>
            </w:tcBorders>
          </w:tcPr>
          <w:p>
            <w:pPr>
              <w:jc w:val="right"/>
              <w:ind w:right="1063"/>
              <w:spacing w:after="0"/>
              <w:rPr>
                <w:sz w:val="20"/>
                <w:szCs w:val="20"/>
                <w:color w:val="auto"/>
              </w:rPr>
            </w:pPr>
            <w:r>
              <w:rPr>
                <w:rFonts w:ascii="Arial" w:cs="Arial" w:eastAsia="Arial" w:hAnsi="Arial"/>
                <w:sz w:val="12"/>
                <w:szCs w:val="12"/>
                <w:b w:val="1"/>
                <w:bCs w:val="1"/>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353</w:t>
            </w:r>
          </w:p>
        </w:tc>
        <w:tc>
          <w:tcPr>
            <w:tcW w:w="8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2"/>
                <w:szCs w:val="12"/>
                <w:b w:val="1"/>
                <w:bCs w:val="1"/>
                <w:color w:val="auto"/>
                <w:w w:val="89"/>
              </w:rPr>
              <w:t>$</w:t>
            </w:r>
          </w:p>
        </w:tc>
        <w:tc>
          <w:tcPr>
            <w:tcW w:w="5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445</w:t>
            </w: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w w:val="89"/>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1,681</w:t>
            </w: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w:t>
            </w: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1,888</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120"/>
              <w:spacing w:after="0" w:line="164" w:lineRule="exact"/>
              <w:rPr>
                <w:sz w:val="20"/>
                <w:szCs w:val="20"/>
                <w:color w:val="auto"/>
              </w:rPr>
            </w:pPr>
            <w:r>
              <w:rPr>
                <w:rFonts w:ascii="Arial" w:cs="Arial" w:eastAsia="Arial" w:hAnsi="Arial"/>
                <w:sz w:val="12"/>
                <w:szCs w:val="12"/>
                <w:color w:val="auto"/>
              </w:rPr>
              <w:t xml:space="preserve">Incremental costs of commercial agreements with Comcast </w:t>
            </w:r>
            <w:r>
              <w:rPr>
                <w:rFonts w:ascii="Arial" w:cs="Arial" w:eastAsia="Arial" w:hAnsi="Arial"/>
                <w:sz w:val="15"/>
                <w:szCs w:val="15"/>
                <w:color w:val="auto"/>
                <w:vertAlign w:val="superscript"/>
              </w:rPr>
              <w:t>(2)</w:t>
            </w: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46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Arial" w:cs="Arial" w:eastAsia="Arial" w:hAnsi="Arial"/>
                <w:sz w:val="12"/>
                <w:szCs w:val="12"/>
                <w:color w:val="auto"/>
              </w:rPr>
              <w:t>(46)</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jc w:val="right"/>
              <w:spacing w:after="0" w:line="125" w:lineRule="exact"/>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58"/>
        </w:trPr>
        <w:tc>
          <w:tcPr>
            <w:tcW w:w="4460" w:type="dxa"/>
            <w:vAlign w:val="bottom"/>
          </w:tcPr>
          <w:p>
            <w:pPr>
              <w:ind w:left="120"/>
              <w:spacing w:after="0" w:line="158" w:lineRule="exact"/>
              <w:rPr>
                <w:sz w:val="20"/>
                <w:szCs w:val="20"/>
                <w:color w:val="auto"/>
              </w:rPr>
            </w:pPr>
            <w:r>
              <w:rPr>
                <w:rFonts w:ascii="Arial" w:cs="Arial" w:eastAsia="Arial" w:hAnsi="Arial"/>
                <w:sz w:val="12"/>
                <w:szCs w:val="12"/>
                <w:color w:val="auto"/>
              </w:rPr>
              <w:t xml:space="preserve">Incremental costs of corporate administrative, facilities and support functions </w:t>
            </w:r>
            <w:r>
              <w:rPr>
                <w:rFonts w:ascii="Arial" w:cs="Arial" w:eastAsia="Arial" w:hAnsi="Arial"/>
                <w:sz w:val="15"/>
                <w:szCs w:val="15"/>
                <w:color w:val="auto"/>
                <w:vertAlign w:val="superscript"/>
              </w:rPr>
              <w:t>(3)</w:t>
            </w: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20"/>
                <w:szCs w:val="20"/>
                <w:color w:val="auto"/>
              </w:rPr>
            </w:pPr>
            <w:r>
              <w:rPr>
                <w:rFonts w:ascii="Arial" w:cs="Arial" w:eastAsia="Arial" w:hAnsi="Arial"/>
                <w:sz w:val="12"/>
                <w:szCs w:val="12"/>
                <w:b w:val="1"/>
                <w:bCs w:val="1"/>
                <w:color w:val="auto"/>
              </w:rPr>
              <w:t>Standalone Adjusted EBITDA</w:t>
            </w: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tcPr>
          <w:p>
            <w:pPr>
              <w:jc w:val="right"/>
              <w:ind w:right="1042"/>
              <w:spacing w:after="0"/>
              <w:rPr>
                <w:sz w:val="20"/>
                <w:szCs w:val="20"/>
                <w:color w:val="auto"/>
              </w:rPr>
            </w:pPr>
            <w:r>
              <w:rPr>
                <w:rFonts w:ascii="Arial" w:cs="Arial" w:eastAsia="Arial" w:hAnsi="Arial"/>
                <w:sz w:val="12"/>
                <w:szCs w:val="12"/>
                <w:b w:val="1"/>
                <w:bCs w:val="1"/>
                <w:color w:val="auto"/>
                <w:w w:val="89"/>
              </w:rPr>
              <w:t>$</w:t>
            </w: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381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jc w:val="center"/>
              <w:ind w:right="260"/>
              <w:spacing w:after="0"/>
              <w:rPr>
                <w:sz w:val="20"/>
                <w:szCs w:val="20"/>
                <w:color w:val="auto"/>
              </w:rPr>
            </w:pPr>
            <w:r>
              <w:rPr>
                <w:rFonts w:ascii="Arial" w:cs="Arial" w:eastAsia="Arial" w:hAnsi="Arial"/>
                <w:sz w:val="12"/>
                <w:szCs w:val="12"/>
                <w:b w:val="1"/>
                <w:bCs w:val="1"/>
                <w:color w:val="auto"/>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1,658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8"/>
        <w:spacing w:after="0"/>
        <w:rPr>
          <w:sz w:val="20"/>
          <w:szCs w:val="20"/>
          <w:color w:val="auto"/>
        </w:rPr>
      </w:pPr>
      <w:r>
        <w:rPr>
          <w:rFonts w:ascii="Arial" w:cs="Arial" w:eastAsia="Arial" w:hAnsi="Arial"/>
          <w:sz w:val="5"/>
          <w:szCs w:val="5"/>
          <w:color w:val="auto"/>
        </w:rPr>
        <w:t>________________________________________________________________</w:t>
      </w:r>
    </w:p>
    <w:p>
      <w:pPr>
        <w:spacing w:after="0" w:line="57" w:lineRule="exact"/>
        <w:rPr>
          <w:sz w:val="20"/>
          <w:szCs w:val="20"/>
          <w:color w:val="auto"/>
        </w:rPr>
      </w:pPr>
    </w:p>
    <w:p>
      <w:pPr>
        <w:jc w:val="both"/>
        <w:ind w:left="168" w:hanging="168"/>
        <w:spacing w:after="0" w:line="244" w:lineRule="auto"/>
        <w:tabs>
          <w:tab w:leader="none" w:pos="159" w:val="left"/>
        </w:tabs>
        <w:numPr>
          <w:ilvl w:val="0"/>
          <w:numId w:val="7"/>
        </w:numPr>
        <w:rPr>
          <w:rFonts w:ascii="Arial" w:cs="Arial" w:eastAsia="Arial" w:hAnsi="Arial"/>
          <w:sz w:val="15"/>
          <w:szCs w:val="15"/>
          <w:color w:val="auto"/>
          <w:vertAlign w:val="superscript"/>
        </w:rPr>
      </w:pPr>
      <w:r>
        <w:rPr>
          <w:rFonts w:ascii="Arial" w:cs="Arial" w:eastAsia="Arial" w:hAnsi="Arial"/>
          <w:sz w:val="11"/>
          <w:szCs w:val="11"/>
          <w:color w:val="auto"/>
        </w:rPr>
        <w:t>Amounts represent the impact of certain events, gains, losses or other charges that are adjusted in our definition of Adjusted EBITDA. For the periods presented, Adjusted EBITDA excludes transaction and transaction-related costs associated with the Separation, and includes fair value adjustments associated with a legacy deferred compensation plan assumed in the Separation.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 The legacy deferred compensation program is frozen and has been funded with investments held in a trust. As such, we include the investment gains and losses, presented in investment and other income (loss), net in Adjusted EBITDA to offset gains and losses on the deferred compensation plan liability included in selling, general and administrative expenses.</w:t>
      </w:r>
    </w:p>
    <w:p>
      <w:pPr>
        <w:sectPr>
          <w:pgSz w:w="11900" w:h="16838" w:orient="portrait"/>
          <w:cols w:equalWidth="0" w:num="1">
            <w:col w:w="11308"/>
          </w:cols>
          <w:pgMar w:left="292" w:top="1124" w:right="299" w:bottom="1440" w:gutter="0" w:footer="0" w:header="0"/>
        </w:sectPr>
      </w:pPr>
    </w:p>
    <w:bookmarkStart w:id="14" w:name="page15"/>
    <w:bookmarkEnd w:id="14"/>
    <w:tbl>
      <w:tblPr>
        <w:tblLayout w:type="fixed"/>
        <w:tblInd w:w="8" w:type="dxa"/>
        <w:tblCellMar>
          <w:top w:w="0" w:type="dxa"/>
          <w:left w:w="0" w:type="dxa"/>
          <w:bottom w:w="0" w:type="dxa"/>
          <w:right w:w="0" w:type="dxa"/>
        </w:tblCellMar>
      </w:tblPr>
      <w:tr>
        <w:trPr>
          <w:trHeight w:val="144"/>
        </w:trPr>
        <w:tc>
          <w:tcPr>
            <w:tcW w:w="4540" w:type="dxa"/>
            <w:vAlign w:val="bottom"/>
          </w:tcPr>
          <w:p>
            <w:pPr>
              <w:spacing w:after="0"/>
              <w:rPr>
                <w:sz w:val="12"/>
                <w:szCs w:val="12"/>
                <w:color w:val="auto"/>
              </w:rPr>
            </w:pPr>
          </w:p>
        </w:tc>
        <w:tc>
          <w:tcPr>
            <w:tcW w:w="2880" w:type="dxa"/>
            <w:vAlign w:val="bottom"/>
            <w:tcBorders>
              <w:bottom w:val="single" w:sz="8" w:color="auto"/>
            </w:tcBorders>
            <w:gridSpan w:val="4"/>
          </w:tcPr>
          <w:p>
            <w:pPr>
              <w:jc w:val="right"/>
              <w:ind w:right="222"/>
              <w:spacing w:after="0"/>
              <w:rPr>
                <w:sz w:val="20"/>
                <w:szCs w:val="20"/>
                <w:color w:val="auto"/>
              </w:rPr>
            </w:pPr>
            <w:r>
              <w:rPr>
                <w:rFonts w:ascii="Arial" w:cs="Arial" w:eastAsia="Arial" w:hAnsi="Arial"/>
                <w:sz w:val="11"/>
                <w:szCs w:val="11"/>
                <w:b w:val="1"/>
                <w:bCs w:val="1"/>
                <w:color w:val="auto"/>
              </w:rPr>
              <w:t>Three Months Ended September 30,</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4"/>
          </w:tcPr>
          <w:p>
            <w:pPr>
              <w:jc w:val="right"/>
              <w:ind w:right="701"/>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120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2026</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2025</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2"/>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41"/>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20"/>
        </w:trPr>
        <w:tc>
          <w:tcPr>
            <w:tcW w:w="4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0"/>
                <w:szCs w:val="10"/>
                <w:b w:val="1"/>
                <w:bCs w:val="1"/>
                <w:i w:val="1"/>
                <w:iCs w:val="1"/>
                <w:color w:val="auto"/>
              </w:rPr>
              <w:t>(in millions)</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40" w:type="dxa"/>
            <w:vAlign w:val="bottom"/>
          </w:tcPr>
          <w:p>
            <w:pPr>
              <w:spacing w:after="0"/>
              <w:rPr>
                <w:sz w:val="20"/>
                <w:szCs w:val="20"/>
                <w:color w:val="auto"/>
              </w:rPr>
            </w:pPr>
            <w:r>
              <w:rPr>
                <w:rFonts w:ascii="Arial" w:cs="Arial" w:eastAsia="Arial" w:hAnsi="Arial"/>
                <w:sz w:val="12"/>
                <w:szCs w:val="12"/>
                <w:color w:val="auto"/>
              </w:rPr>
              <w:t>Transaction costs</w:t>
            </w:r>
          </w:p>
        </w:tc>
        <w:tc>
          <w:tcPr>
            <w:tcW w:w="1200" w:type="dxa"/>
            <w:vAlign w:val="bottom"/>
          </w:tcPr>
          <w:p>
            <w:pPr>
              <w:jc w:val="right"/>
              <w:ind w:right="1063"/>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022"/>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53"/>
        </w:trPr>
        <w:tc>
          <w:tcPr>
            <w:tcW w:w="4540" w:type="dxa"/>
            <w:vAlign w:val="bottom"/>
          </w:tcPr>
          <w:p>
            <w:pPr>
              <w:spacing w:after="0"/>
              <w:rPr>
                <w:sz w:val="20"/>
                <w:szCs w:val="20"/>
                <w:color w:val="auto"/>
              </w:rPr>
            </w:pPr>
            <w:r>
              <w:rPr>
                <w:rFonts w:ascii="Arial" w:cs="Arial" w:eastAsia="Arial" w:hAnsi="Arial"/>
                <w:sz w:val="12"/>
                <w:szCs w:val="12"/>
                <w:color w:val="auto"/>
              </w:rPr>
              <w:t>Transaction-related costs</w:t>
            </w:r>
          </w:p>
        </w:tc>
        <w:tc>
          <w:tcPr>
            <w:tcW w:w="1200" w:type="dxa"/>
            <w:vAlign w:val="bottom"/>
          </w:tcPr>
          <w:p>
            <w:pPr>
              <w:spacing w:after="0"/>
              <w:rPr>
                <w:sz w:val="13"/>
                <w:szCs w:val="13"/>
                <w:color w:val="auto"/>
              </w:rPr>
            </w:pPr>
          </w:p>
        </w:tc>
        <w:tc>
          <w:tcPr>
            <w:tcW w:w="52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ind w:right="1"/>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57"/>
        </w:trPr>
        <w:tc>
          <w:tcPr>
            <w:tcW w:w="4540" w:type="dxa"/>
            <w:vAlign w:val="bottom"/>
          </w:tcPr>
          <w:p>
            <w:pPr>
              <w:spacing w:after="0"/>
              <w:rPr>
                <w:sz w:val="20"/>
                <w:szCs w:val="20"/>
                <w:color w:val="auto"/>
              </w:rPr>
            </w:pPr>
            <w:r>
              <w:rPr>
                <w:rFonts w:ascii="Arial" w:cs="Arial" w:eastAsia="Arial" w:hAnsi="Arial"/>
                <w:sz w:val="12"/>
                <w:szCs w:val="12"/>
                <w:color w:val="auto"/>
              </w:rPr>
              <w:t>Investment gains related to deferred compensation plan</w:t>
            </w:r>
          </w:p>
        </w:tc>
        <w:tc>
          <w:tcPr>
            <w:tcW w:w="1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97"/>
        </w:trPr>
        <w:tc>
          <w:tcPr>
            <w:tcW w:w="4540" w:type="dxa"/>
            <w:vAlign w:val="bottom"/>
          </w:tcPr>
          <w:p>
            <w:pPr>
              <w:spacing w:after="0" w:line="97" w:lineRule="exact"/>
              <w:rPr>
                <w:sz w:val="20"/>
                <w:szCs w:val="20"/>
                <w:color w:val="auto"/>
              </w:rPr>
            </w:pPr>
            <w:r>
              <w:rPr>
                <w:rFonts w:ascii="Arial" w:cs="Arial" w:eastAsia="Arial" w:hAnsi="Arial"/>
                <w:sz w:val="11"/>
                <w:szCs w:val="11"/>
                <w:b w:val="1"/>
                <w:bCs w:val="1"/>
                <w:color w:val="auto"/>
              </w:rPr>
              <w:t>Total transaction and</w:t>
            </w:r>
          </w:p>
        </w:tc>
        <w:tc>
          <w:tcPr>
            <w:tcW w:w="1200" w:type="dxa"/>
            <w:vAlign w:val="bottom"/>
            <w:vMerge w:val="restart"/>
          </w:tcPr>
          <w:p>
            <w:pPr>
              <w:jc w:val="right"/>
              <w:ind w:right="1063"/>
              <w:spacing w:after="0"/>
              <w:rPr>
                <w:sz w:val="20"/>
                <w:szCs w:val="20"/>
                <w:color w:val="auto"/>
              </w:rPr>
            </w:pPr>
            <w:r>
              <w:rPr>
                <w:rFonts w:ascii="Arial" w:cs="Arial" w:eastAsia="Arial" w:hAnsi="Arial"/>
                <w:sz w:val="12"/>
                <w:szCs w:val="12"/>
                <w:b w:val="1"/>
                <w:bCs w:val="1"/>
                <w:color w:val="auto"/>
                <w:w w:val="89"/>
              </w:rPr>
              <w:t>$</w:t>
            </w:r>
          </w:p>
        </w:tc>
        <w:tc>
          <w:tcPr>
            <w:tcW w:w="52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w:t>
            </w:r>
          </w:p>
        </w:tc>
        <w:tc>
          <w:tcPr>
            <w:tcW w:w="1160" w:type="dxa"/>
            <w:vAlign w:val="bottom"/>
            <w:vMerge w:val="restart"/>
          </w:tcPr>
          <w:p>
            <w:pPr>
              <w:jc w:val="right"/>
              <w:ind w:right="1022"/>
              <w:spacing w:after="0"/>
              <w:rPr>
                <w:sz w:val="20"/>
                <w:szCs w:val="20"/>
                <w:color w:val="auto"/>
              </w:rPr>
            </w:pPr>
            <w:r>
              <w:rPr>
                <w:rFonts w:ascii="Arial" w:cs="Arial" w:eastAsia="Arial" w:hAnsi="Arial"/>
                <w:sz w:val="12"/>
                <w:szCs w:val="12"/>
                <w:b w:val="1"/>
                <w:bCs w:val="1"/>
                <w:color w:val="auto"/>
                <w:w w:val="89"/>
              </w:rPr>
              <w:t>$</w:t>
            </w:r>
          </w:p>
        </w:tc>
        <w:tc>
          <w:tcPr>
            <w:tcW w:w="50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27</w:t>
            </w:r>
          </w:p>
        </w:tc>
        <w:tc>
          <w:tcPr>
            <w:tcW w:w="80" w:type="dxa"/>
            <w:vAlign w:val="bottom"/>
          </w:tcPr>
          <w:p>
            <w:pPr>
              <w:spacing w:after="0"/>
              <w:rPr>
                <w:sz w:val="8"/>
                <w:szCs w:val="8"/>
                <w:color w:val="auto"/>
              </w:rPr>
            </w:pPr>
          </w:p>
        </w:tc>
        <w:tc>
          <w:tcPr>
            <w:tcW w:w="420" w:type="dxa"/>
            <w:vAlign w:val="bottom"/>
            <w:vMerge w:val="restart"/>
          </w:tcPr>
          <w:p>
            <w:pPr>
              <w:jc w:val="right"/>
              <w:ind w:right="280"/>
              <w:spacing w:after="0"/>
              <w:rPr>
                <w:sz w:val="20"/>
                <w:szCs w:val="20"/>
                <w:color w:val="auto"/>
              </w:rPr>
            </w:pPr>
            <w:r>
              <w:rPr>
                <w:rFonts w:ascii="Arial" w:cs="Arial" w:eastAsia="Arial" w:hAnsi="Arial"/>
                <w:sz w:val="12"/>
                <w:szCs w:val="12"/>
                <w:b w:val="1"/>
                <w:bCs w:val="1"/>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8"/>
                <w:szCs w:val="8"/>
                <w:color w:val="auto"/>
              </w:rPr>
            </w:pPr>
          </w:p>
        </w:tc>
        <w:tc>
          <w:tcPr>
            <w:tcW w:w="400" w:type="dxa"/>
            <w:vAlign w:val="bottom"/>
            <w:vMerge w:val="restart"/>
          </w:tcPr>
          <w:p>
            <w:pPr>
              <w:jc w:val="right"/>
              <w:ind w:right="260"/>
              <w:spacing w:after="0"/>
              <w:rPr>
                <w:sz w:val="20"/>
                <w:szCs w:val="20"/>
                <w:color w:val="auto"/>
              </w:rPr>
            </w:pPr>
            <w:r>
              <w:rPr>
                <w:rFonts w:ascii="Arial" w:cs="Arial" w:eastAsia="Arial" w:hAnsi="Arial"/>
                <w:sz w:val="12"/>
                <w:szCs w:val="12"/>
                <w:b w:val="1"/>
                <w:bCs w:val="1"/>
                <w:color w:val="auto"/>
                <w:w w:val="89"/>
              </w:rPr>
              <w:t>$</w:t>
            </w:r>
          </w:p>
        </w:tc>
        <w:tc>
          <w:tcPr>
            <w:tcW w:w="126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71</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20"/>
                <w:szCs w:val="20"/>
                <w:color w:val="auto"/>
              </w:rPr>
            </w:pPr>
            <w:r>
              <w:rPr>
                <w:rFonts w:ascii="Arial" w:cs="Arial" w:eastAsia="Arial" w:hAnsi="Arial"/>
                <w:sz w:val="12"/>
                <w:szCs w:val="12"/>
                <w:b w:val="1"/>
                <w:bCs w:val="1"/>
                <w:color w:val="auto"/>
              </w:rPr>
              <w:t>transaction-related costs</w:t>
            </w:r>
          </w:p>
        </w:tc>
        <w:tc>
          <w:tcPr>
            <w:tcW w:w="120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68" w:right="540" w:hanging="168"/>
        <w:spacing w:after="0" w:line="228" w:lineRule="auto"/>
        <w:tabs>
          <w:tab w:leader="none" w:pos="159" w:val="left"/>
        </w:tabs>
        <w:numPr>
          <w:ilvl w:val="0"/>
          <w:numId w:val="8"/>
        </w:numPr>
        <w:rPr>
          <w:rFonts w:ascii="Arial" w:cs="Arial" w:eastAsia="Arial" w:hAnsi="Arial"/>
          <w:sz w:val="15"/>
          <w:szCs w:val="15"/>
          <w:color w:val="auto"/>
          <w:vertAlign w:val="superscript"/>
        </w:rPr>
      </w:pPr>
      <w:r>
        <w:rPr>
          <w:rFonts w:ascii="Arial" w:cs="Arial" w:eastAsia="Arial" w:hAnsi="Arial"/>
          <w:sz w:val="11"/>
          <w:szCs w:val="11"/>
          <w:color w:val="auto"/>
        </w:rPr>
        <w:t>Amounts represent incremental costs of commercial agreements entered into with Comcast in connection with the Separation and primarily relate to the commercial services agreement for the sale and use of our advertising and promotional inventory.</w:t>
      </w:r>
    </w:p>
    <w:p>
      <w:pPr>
        <w:spacing w:after="0" w:line="93" w:lineRule="exact"/>
        <w:rPr>
          <w:rFonts w:ascii="Arial" w:cs="Arial" w:eastAsia="Arial" w:hAnsi="Arial"/>
          <w:sz w:val="15"/>
          <w:szCs w:val="15"/>
          <w:color w:val="auto"/>
          <w:vertAlign w:val="superscript"/>
        </w:rPr>
      </w:pPr>
    </w:p>
    <w:p>
      <w:pPr>
        <w:ind w:left="168" w:right="20" w:hanging="168"/>
        <w:spacing w:after="0" w:line="246" w:lineRule="auto"/>
        <w:tabs>
          <w:tab w:leader="none" w:pos="159" w:val="left"/>
        </w:tabs>
        <w:numPr>
          <w:ilvl w:val="0"/>
          <w:numId w:val="8"/>
        </w:numPr>
        <w:rPr>
          <w:rFonts w:ascii="Arial" w:cs="Arial" w:eastAsia="Arial" w:hAnsi="Arial"/>
          <w:sz w:val="15"/>
          <w:szCs w:val="15"/>
          <w:color w:val="auto"/>
          <w:vertAlign w:val="superscript"/>
        </w:rPr>
      </w:pPr>
      <w:r>
        <w:rPr>
          <w:rFonts w:ascii="Arial" w:cs="Arial" w:eastAsia="Arial" w:hAnsi="Arial"/>
          <w:sz w:val="11"/>
          <w:szCs w:val="11"/>
          <w:color w:val="auto"/>
        </w:rPr>
        <w:t>Amounts represent estimated incremental costs related to corporate administrative, facilities and support functions and primarily include the recurring and ongoing costs required to operate new functions required for a public company such as external reporting, internal audit, treasury, investor relations, board of directors and stock administration, and expanding the services of existing functions such as information technology, finance, supply chain, human resources, legal, tax, facilities and insurance. Amounts were determined by comparing expected costs to amounts in the combined statements of income, inclusive of allocation for centralized functions within Comcast and allocations of costs for the use of shared assets.</w:t>
      </w:r>
    </w:p>
    <w:p>
      <w:pPr>
        <w:spacing w:after="0" w:line="91" w:lineRule="exact"/>
        <w:rPr>
          <w:sz w:val="20"/>
          <w:szCs w:val="20"/>
          <w:color w:val="auto"/>
        </w:rPr>
      </w:pPr>
    </w:p>
    <w:p>
      <w:pPr>
        <w:ind w:left="48"/>
        <w:spacing w:after="0"/>
        <w:rPr>
          <w:sz w:val="20"/>
          <w:szCs w:val="20"/>
          <w:color w:val="auto"/>
        </w:rPr>
      </w:pPr>
      <w:r>
        <w:rPr>
          <w:rFonts w:ascii="Arial" w:cs="Arial" w:eastAsia="Arial" w:hAnsi="Arial"/>
          <w:sz w:val="11"/>
          <w:szCs w:val="11"/>
          <w:b w:val="1"/>
          <w:bCs w:val="1"/>
          <w:u w:val="single" w:color="auto"/>
          <w:color w:val="auto"/>
        </w:rPr>
        <w:t>Free Cash Flow</w:t>
      </w:r>
    </w:p>
    <w:p>
      <w:pPr>
        <w:spacing w:after="0" w:line="117" w:lineRule="exact"/>
        <w:rPr>
          <w:sz w:val="20"/>
          <w:szCs w:val="20"/>
          <w:color w:val="auto"/>
        </w:rPr>
      </w:pPr>
    </w:p>
    <w:p>
      <w:pPr>
        <w:ind w:left="8" w:right="100"/>
        <w:spacing w:after="0" w:line="266" w:lineRule="auto"/>
        <w:rPr>
          <w:sz w:val="20"/>
          <w:szCs w:val="20"/>
          <w:color w:val="auto"/>
        </w:rPr>
      </w:pPr>
      <w:r>
        <w:rPr>
          <w:rFonts w:ascii="Arial" w:cs="Arial" w:eastAsia="Arial" w:hAnsi="Arial"/>
          <w:sz w:val="11"/>
          <w:szCs w:val="11"/>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82" w:lineRule="exact"/>
        <w:rPr>
          <w:sz w:val="20"/>
          <w:szCs w:val="20"/>
          <w:color w:val="auto"/>
        </w:rPr>
      </w:pPr>
    </w:p>
    <w:p>
      <w:pPr>
        <w:ind w:left="8" w:right="100"/>
        <w:spacing w:after="0" w:line="264" w:lineRule="auto"/>
        <w:rPr>
          <w:sz w:val="20"/>
          <w:szCs w:val="20"/>
          <w:color w:val="auto"/>
        </w:rPr>
      </w:pPr>
      <w:r>
        <w:rPr>
          <w:rFonts w:ascii="Arial" w:cs="Arial" w:eastAsia="Arial" w:hAnsi="Arial"/>
          <w:sz w:val="11"/>
          <w:szCs w:val="11"/>
          <w:color w:val="auto"/>
        </w:rPr>
        <w:t>Free Cash Flow is defined as net cash provided by operating activities, reduced by capital expenditures. From time to time, we may exclude from Free Cash Flow the impact of certain cash receipts or payments that affect comparability. Reconciliations of Free Cash Flow to the nearest GAAP measures for historical periods are presented below. A reconciliation for full-year 2026 outlook cannot be provided without unreasonable efforts because of the inherent difficulty in forecasting certain amounts that are necessary for such reconciliations due to the uncertainty and potential variability of reconciling items, which are dependent on future events and often outside of management’s control and which could be significant. Forward-looking estimates are made in a manner consistent with the relevant definitions noted herein.</w:t>
      </w:r>
    </w:p>
    <w:p>
      <w:pPr>
        <w:sectPr>
          <w:pgSz w:w="11900" w:h="16838" w:orient="portrait"/>
          <w:cols w:equalWidth="0" w:num="1">
            <w:col w:w="11308"/>
          </w:cols>
          <w:pgMar w:left="292" w:top="1022" w:right="29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8"/>
        <w:spacing w:after="0"/>
        <w:rPr>
          <w:sz w:val="20"/>
          <w:szCs w:val="20"/>
          <w:color w:val="auto"/>
        </w:rPr>
      </w:pPr>
      <w:r>
        <w:rPr>
          <w:rFonts w:ascii="Arial" w:cs="Arial" w:eastAsia="Arial" w:hAnsi="Arial"/>
          <w:sz w:val="12"/>
          <w:szCs w:val="12"/>
          <w:color w:val="auto"/>
        </w:rPr>
        <w:t>Net cash provided by operating activities</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2"/>
          <w:szCs w:val="12"/>
          <w:color w:val="auto"/>
        </w:rPr>
        <w:t>Capital expenditures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Free Cash Flow</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2320" w:type="dxa"/>
            <w:vAlign w:val="bottom"/>
            <w:gridSpan w:val="2"/>
          </w:tcPr>
          <w:p>
            <w:pPr>
              <w:ind w:left="100"/>
              <w:spacing w:after="0"/>
              <w:rPr>
                <w:sz w:val="20"/>
                <w:szCs w:val="20"/>
                <w:color w:val="auto"/>
              </w:rPr>
            </w:pPr>
            <w:r>
              <w:rPr>
                <w:rFonts w:ascii="Arial" w:cs="Arial" w:eastAsia="Arial" w:hAnsi="Arial"/>
                <w:sz w:val="11"/>
                <w:szCs w:val="11"/>
                <w:b w:val="1"/>
                <w:bCs w:val="1"/>
                <w:color w:val="auto"/>
              </w:rPr>
              <w:t>Three Months Ended September 30,</w:t>
            </w:r>
          </w:p>
        </w:tc>
        <w:tc>
          <w:tcPr>
            <w:tcW w:w="300" w:type="dxa"/>
            <w:vAlign w:val="bottom"/>
          </w:tcPr>
          <w:p>
            <w:pPr>
              <w:spacing w:after="0"/>
              <w:rPr>
                <w:sz w:val="12"/>
                <w:szCs w:val="12"/>
                <w:color w:val="auto"/>
              </w:rPr>
            </w:pPr>
          </w:p>
        </w:tc>
        <w:tc>
          <w:tcPr>
            <w:tcW w:w="2160" w:type="dxa"/>
            <w:vAlign w:val="bottom"/>
          </w:tcPr>
          <w:p>
            <w:pPr>
              <w:jc w:val="right"/>
              <w:ind w:right="282"/>
              <w:spacing w:after="0"/>
              <w:rPr>
                <w:sz w:val="20"/>
                <w:szCs w:val="20"/>
                <w:color w:val="auto"/>
              </w:rPr>
            </w:pPr>
            <w:r>
              <w:rPr>
                <w:rFonts w:ascii="Arial" w:cs="Arial" w:eastAsia="Arial" w:hAnsi="Arial"/>
                <w:sz w:val="11"/>
                <w:szCs w:val="11"/>
                <w:b w:val="1"/>
                <w:bCs w:val="1"/>
                <w:color w:val="auto"/>
                <w:w w:val="99"/>
              </w:rPr>
              <w:t>Nine Months Ended September 30,</w:t>
            </w:r>
          </w:p>
        </w:tc>
      </w:tr>
      <w:tr>
        <w:trPr>
          <w:trHeight w:val="144"/>
        </w:trPr>
        <w:tc>
          <w:tcPr>
            <w:tcW w:w="20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jc w:val="right"/>
              <w:ind w:right="1044"/>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jc w:val="right"/>
              <w:ind w:right="1042"/>
              <w:spacing w:after="0"/>
              <w:rPr>
                <w:sz w:val="20"/>
                <w:szCs w:val="20"/>
                <w:color w:val="auto"/>
              </w:rPr>
            </w:pPr>
            <w:r>
              <w:rPr>
                <w:rFonts w:ascii="Arial" w:cs="Arial" w:eastAsia="Arial" w:hAnsi="Arial"/>
                <w:sz w:val="11"/>
                <w:szCs w:val="11"/>
                <w:b w:val="1"/>
                <w:bCs w:val="1"/>
                <w:color w:val="auto"/>
              </w:rPr>
              <w:t>2026</w:t>
            </w:r>
          </w:p>
        </w:tc>
      </w:tr>
      <w:tr>
        <w:trPr>
          <w:trHeight w:val="120"/>
        </w:trPr>
        <w:tc>
          <w:tcPr>
            <w:tcW w:w="200" w:type="dxa"/>
            <w:vAlign w:val="bottom"/>
          </w:tcPr>
          <w:p>
            <w:pPr>
              <w:spacing w:after="0"/>
              <w:rPr>
                <w:sz w:val="10"/>
                <w:szCs w:val="10"/>
                <w:color w:val="auto"/>
              </w:rPr>
            </w:pPr>
          </w:p>
        </w:tc>
        <w:tc>
          <w:tcPr>
            <w:tcW w:w="2620" w:type="dxa"/>
            <w:vAlign w:val="bottom"/>
            <w:gridSpan w:val="3"/>
          </w:tcPr>
          <w:p>
            <w:pPr>
              <w:jc w:val="right"/>
              <w:spacing w:after="0"/>
              <w:rPr>
                <w:sz w:val="20"/>
                <w:szCs w:val="20"/>
                <w:color w:val="auto"/>
              </w:rPr>
            </w:pPr>
            <w:r>
              <w:rPr>
                <w:rFonts w:ascii="Arial" w:cs="Arial" w:eastAsia="Arial" w:hAnsi="Arial"/>
                <w:sz w:val="10"/>
                <w:szCs w:val="10"/>
                <w:b w:val="1"/>
                <w:bCs w:val="1"/>
                <w:i w:val="1"/>
                <w:iCs w:val="1"/>
                <w:color w:val="auto"/>
              </w:rPr>
              <w:t>(in millions)</w:t>
            </w:r>
          </w:p>
        </w:tc>
        <w:tc>
          <w:tcPr>
            <w:tcW w:w="2160" w:type="dxa"/>
            <w:vAlign w:val="bottom"/>
          </w:tcPr>
          <w:p>
            <w:pPr>
              <w:spacing w:after="0"/>
              <w:rPr>
                <w:sz w:val="10"/>
                <w:szCs w:val="10"/>
                <w:color w:val="auto"/>
              </w:rPr>
            </w:pPr>
          </w:p>
        </w:tc>
      </w:tr>
      <w:tr>
        <w:trPr>
          <w:trHeight w:val="153"/>
        </w:trPr>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2240" w:type="dxa"/>
            <w:vAlign w:val="bottom"/>
          </w:tcPr>
          <w:p>
            <w:pPr>
              <w:jc w:val="right"/>
              <w:spacing w:after="0"/>
              <w:rPr>
                <w:sz w:val="20"/>
                <w:szCs w:val="20"/>
                <w:color w:val="auto"/>
              </w:rPr>
            </w:pPr>
            <w:r>
              <w:rPr>
                <w:rFonts w:ascii="Arial" w:cs="Arial" w:eastAsia="Arial" w:hAnsi="Arial"/>
                <w:sz w:val="12"/>
                <w:szCs w:val="12"/>
                <w:color w:val="auto"/>
              </w:rPr>
              <w:t>346</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2160" w:type="dxa"/>
            <w:vAlign w:val="bottom"/>
          </w:tcPr>
          <w:p>
            <w:pPr>
              <w:jc w:val="right"/>
              <w:ind w:right="2"/>
              <w:spacing w:after="0"/>
              <w:rPr>
                <w:sz w:val="20"/>
                <w:szCs w:val="20"/>
                <w:color w:val="auto"/>
              </w:rPr>
            </w:pPr>
            <w:r>
              <w:rPr>
                <w:rFonts w:ascii="Arial" w:cs="Arial" w:eastAsia="Arial" w:hAnsi="Arial"/>
                <w:sz w:val="12"/>
                <w:szCs w:val="12"/>
                <w:color w:val="auto"/>
              </w:rPr>
              <w:t>1,313</w:t>
            </w:r>
          </w:p>
        </w:tc>
      </w:tr>
      <w:tr>
        <w:trPr>
          <w:trHeight w:val="157"/>
        </w:trPr>
        <w:tc>
          <w:tcPr>
            <w:tcW w:w="2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w:t>
            </w:r>
          </w:p>
        </w:tc>
      </w:tr>
      <w:tr>
        <w:trPr>
          <w:trHeight w:val="142"/>
        </w:trPr>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8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302</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2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1,210</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608" w:space="720"/>
            <w:col w:w="4980"/>
          </w:cols>
          <w:pgMar w:left="292" w:top="1022" w:right="299" w:bottom="1440" w:gutter="0" w:footer="0" w:header="0"/>
          <w:type w:val="continuous"/>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2026-11-03T07:09:57Z</dcterms:created>
  <dcterms:modified xsi:type="dcterms:W3CDTF">2026-11-03T07:09:57Z</dcterms:modified>
</cp:coreProperties>
</file>