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Potter Leonard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03/10/2026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03/10/2026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3,000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37.31</w:t>
            </w:r>
          </w:p>
        </w:tc>
        <w:tc>
          <w:tcPr>
            <w:tcW w:w="380" w:type="dxa"/>
            <w:vAlign w:val="bottom"/>
          </w:tcPr>
          <w:p>
            <w:pPr>
              <w:spacing w:after="0"/>
              <w:rPr>
                <w:sz w:val="23"/>
                <w:szCs w:val="23"/>
                <w:color w:val="auto"/>
              </w:rPr>
            </w:pPr>
          </w:p>
        </w:tc>
        <w:tc>
          <w:tcPr>
            <w:tcW w:w="820" w:type="dxa"/>
            <w:vAlign w:val="bottom"/>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5,378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jc w:val="center"/>
              <w:ind w:left="289"/>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3,000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38.34</w:t>
            </w:r>
          </w:p>
        </w:tc>
        <w:tc>
          <w:tcPr>
            <w:tcW w:w="380" w:type="dxa"/>
            <w:vAlign w:val="bottom"/>
          </w:tcPr>
          <w:p>
            <w:pPr>
              <w:spacing w:after="0"/>
              <w:rPr>
                <w:sz w:val="23"/>
                <w:szCs w:val="23"/>
                <w:color w:val="auto"/>
              </w:rPr>
            </w:pPr>
          </w:p>
        </w:tc>
        <w:tc>
          <w:tcPr>
            <w:tcW w:w="820" w:type="dxa"/>
            <w:vAlign w:val="bottom"/>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8,378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37.88</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jc w:val="center"/>
              <w:ind w:right="15"/>
              <w:spacing w:after="0"/>
              <w:rPr>
                <w:sz w:val="20"/>
                <w:szCs w:val="20"/>
                <w:color w:val="auto"/>
              </w:rPr>
            </w:pPr>
            <w:r>
              <w:rPr>
                <w:rFonts w:ascii="Times New Roman" w:cs="Times New Roman" w:eastAsia="Times New Roman" w:hAnsi="Times New Roman"/>
                <w:sz w:val="17"/>
                <w:szCs w:val="17"/>
                <w:color w:val="0000FF"/>
              </w:rPr>
              <w:t>13,378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37.65</w:t>
            </w:r>
          </w:p>
        </w:tc>
        <w:tc>
          <w:tcPr>
            <w:tcW w:w="120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color w:val="0000FF"/>
              </w:rPr>
              <w:t>15,878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$37.70 to $38.05 per share, inclusive. The reporting person shall provide to the Securities and Exchange Commission, the Issuer or any security holder of the Issuer, upon request,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217"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2026-03-16T17:42:38Z</dcterms:created>
  <dcterms:modified xsi:type="dcterms:W3CDTF">2026-03-16T17:42:38Z</dcterms:modified>
</cp:coreProperties>
</file>