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7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Kini Anand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VERSANT MEDIA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900 SYLVAN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Versant Media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VSNT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65"/>
        <w:spacing w:after="0"/>
        <w:rPr>
          <w:sz w:val="20"/>
          <w:szCs w:val="20"/>
          <w:color w:val="auto"/>
        </w:rPr>
      </w:pPr>
      <w:r>
        <w:rPr>
          <w:rFonts w:ascii="Times New Roman" w:cs="Times New Roman" w:eastAsia="Times New Roman" w:hAnsi="Times New Roman"/>
          <w:sz w:val="17"/>
          <w:szCs w:val="17"/>
          <w:color w:val="0000FF"/>
        </w:rPr>
        <w:t>CFO and COO</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766" w:gutter="0" w:footer="0" w:header="0"/>
          <w:type w:val="continuous"/>
        </w:sectPr>
      </w:pPr>
    </w:p>
    <w:tbl>
      <w:tblPr>
        <w:tblLayout w:type="fixed"/>
        <w:tblInd w:w="80" w:type="dxa"/>
        <w:tblCellMar>
          <w:top w:w="0" w:type="dxa"/>
          <w:left w:w="0" w:type="dxa"/>
          <w:bottom w:w="0" w:type="dxa"/>
          <w:right w:w="0" w:type="dxa"/>
        </w:tblCellMar>
      </w:tblPr>
      <w:tr>
        <w:trPr>
          <w:trHeight w:val="42"/>
        </w:trPr>
        <w:tc>
          <w:tcPr>
            <w:tcW w:w="40" w:type="dxa"/>
            <w:vAlign w:val="bottom"/>
          </w:tcPr>
          <w:p>
            <w:pPr>
              <w:spacing w:after="0"/>
              <w:rPr>
                <w:sz w:val="3"/>
                <w:szCs w:val="3"/>
                <w:color w:val="auto"/>
              </w:rPr>
            </w:pPr>
          </w:p>
        </w:tc>
        <w:tc>
          <w:tcPr>
            <w:tcW w:w="116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600" w:type="dxa"/>
            <w:vAlign w:val="bottom"/>
            <w:shd w:val="clear" w:color="auto" w:fill="9A9A9A"/>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2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ENGLEWOOD</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07632</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160" w:type="dxa"/>
            <w:vAlign w:val="bottom"/>
          </w:tcPr>
          <w:p>
            <w:pPr>
              <w:spacing w:after="0" w:line="182" w:lineRule="exact"/>
              <w:rPr>
                <w:sz w:val="20"/>
                <w:szCs w:val="20"/>
                <w:color w:val="auto"/>
              </w:rPr>
            </w:pPr>
            <w:r>
              <w:rPr>
                <w:rFonts w:ascii="Times New Roman" w:cs="Times New Roman" w:eastAsia="Times New Roman" w:hAnsi="Times New Roman"/>
                <w:sz w:val="17"/>
                <w:szCs w:val="17"/>
                <w:color w:val="0000FF"/>
              </w:rPr>
              <w:t>CLIFFS</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225,153</w:t>
            </w:r>
            <w:r>
              <w:rPr>
                <w:rFonts w:ascii="Times New Roman" w:cs="Times New Roman" w:eastAsia="Times New Roman" w:hAnsi="Times New Roman"/>
                <w:sz w:val="22"/>
                <w:szCs w:val="22"/>
                <w:color w:val="008000"/>
                <w:vertAlign w:val="superscript"/>
              </w:rPr>
              <w:t>(3)</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(3)</w:t>
            </w:r>
          </w:p>
        </w:tc>
        <w:tc>
          <w:tcPr>
            <w:tcW w:w="14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225,661</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right="40"/>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80,893</w:t>
            </w:r>
            <w:r>
              <w:rPr>
                <w:rFonts w:ascii="Times New Roman" w:cs="Times New Roman" w:eastAsia="Times New Roman" w:hAnsi="Times New Roman"/>
                <w:sz w:val="22"/>
                <w:szCs w:val="22"/>
                <w:color w:val="008000"/>
                <w:vertAlign w:val="superscript"/>
              </w:rPr>
              <w:t>(5)</w:t>
            </w: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008000"/>
              </w:rPr>
              <w:t>(5)</w:t>
            </w:r>
          </w:p>
        </w:tc>
        <w:tc>
          <w:tcPr>
            <w:tcW w:w="14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306,554</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28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Distribution, pursuant to (i) the terms of the Employee Matters Agreement, dated as of January 2, 2026, by and between Comcast and Versant ("EMA") and (ii) the anti-dilution adjustment provisions under the Comcast 2002 Restricted Stock Plan and Comcast 2023 Omnibus Equity Incentive Plan, certain restricted stock units with respect to Comcast Class A Common Stock ("Comcast RSUs") were equitably adjusted and converted into restricted stock units with respect to Versant Class A Common Stock ("Versant RSUs"), based on (i) the volume weighted average price of Comcast Class A Common Stock (adjusted based on the Distribution ratio) and Versant Class A Common Stock, in each case for the five trading-day period following January 2, 2026 (such adjustment, the "Equity Award Conversion").</w:t>
      </w:r>
    </w:p>
    <w:p>
      <w:pPr>
        <w:spacing w:after="0" w:line="26"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Versant RSUs upon the conversion of certain Comcast RSUs held by the Reporting Person as of January 2, 2026 pursuant to the Equity Award Conversion. The Versant RSUs were granted pursuant to the Versant Omnibus Equity Incentive Plan ("Versant Plan") and are generally subject to the same terms and conditions as applicable to the corresponding Comcast RSUs.</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shares of Versant Class A Common Stock received by the Reporting Person in connection with the Distribution in respect of shares of Comcast Class A Common Stock held as of the Record Date.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of a Versant RSU award ("Founder's Grant") under the Versant Plan to the Reporting Person on January 9, 2026. The Founder's Grant will vest in full on the third anniversary of the date of grant, subject to the Reporting Person's continued employment through such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7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8408"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2026-01-12T16:55:46Z</dcterms:created>
  <dcterms:modified xsi:type="dcterms:W3CDTF">2026-01-12T16:55:46Z</dcterms:modified>
</cp:coreProperties>
</file>