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Lazarus Mark 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Versant Media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VSNT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C/O VERSANT MEDIA GROUP,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900 SYLVAN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320" w:type="dxa"/>
            <w:vAlign w:val="bottom"/>
          </w:tcPr>
          <w:p>
            <w:pPr>
              <w:spacing w:after="0"/>
              <w:rPr>
                <w:sz w:val="20"/>
                <w:szCs w:val="20"/>
                <w:color w:val="auto"/>
              </w:rPr>
            </w:pPr>
            <w:r>
              <w:rPr>
                <w:rFonts w:ascii="Arial" w:cs="Arial" w:eastAsia="Arial" w:hAnsi="Arial"/>
                <w:sz w:val="15"/>
                <w:szCs w:val="15"/>
                <w:color w:val="auto"/>
              </w:rPr>
              <w:t>(Street)</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27"/>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ENGLEWOOD</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NJ</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07632</w:t>
            </w:r>
          </w:p>
        </w:tc>
      </w:tr>
      <w:tr>
        <w:trPr>
          <w:trHeight w:val="254"/>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CLIFFS</w:t>
            </w: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Jordan Fasbender,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80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Jordan Fasbender, Jayshree Mahtani, and Courtny Titus, as the undersigned’s true and lawful attorneys-in-fact to:</w:t>
      </w:r>
    </w:p>
    <w:p>
      <w:pPr>
        <w:spacing w:after="0" w:line="180" w:lineRule="exact"/>
        <w:rPr>
          <w:sz w:val="20"/>
          <w:szCs w:val="20"/>
          <w:color w:val="auto"/>
        </w:rPr>
      </w:pPr>
    </w:p>
    <w:p>
      <w:pPr>
        <w:ind w:right="420" w:firstLine="720"/>
        <w:spacing w:after="0" w:line="266"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“Exchange Act”), and the rules thereunder of Versant Media Group, Inc. (the “Company”), Forms 3, 4 and 5 in accordance with Section 16(a) of the Exchange Act;</w:t>
      </w:r>
    </w:p>
    <w:p>
      <w:pPr>
        <w:spacing w:after="0" w:line="195" w:lineRule="exact"/>
        <w:rPr>
          <w:rFonts w:ascii="Times New Roman" w:cs="Times New Roman" w:eastAsia="Times New Roman" w:hAnsi="Times New Roman"/>
          <w:sz w:val="20"/>
          <w:szCs w:val="20"/>
          <w:color w:val="auto"/>
        </w:rPr>
      </w:pPr>
    </w:p>
    <w:p>
      <w:pPr>
        <w:ind w:right="240" w:firstLine="720"/>
        <w:spacing w:after="0" w:line="261"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and timely file such form with the United States Securities and Exchange Commission (the “SEC”) and stock exchange or similar authority;</w:t>
      </w:r>
    </w:p>
    <w:p>
      <w:pPr>
        <w:spacing w:after="0" w:line="200" w:lineRule="exact"/>
        <w:rPr>
          <w:rFonts w:ascii="Times New Roman" w:cs="Times New Roman" w:eastAsia="Times New Roman" w:hAnsi="Times New Roman"/>
          <w:sz w:val="20"/>
          <w:szCs w:val="20"/>
          <w:color w:val="auto"/>
        </w:rPr>
      </w:pPr>
    </w:p>
    <w:p>
      <w:pPr>
        <w:ind w:right="440" w:firstLine="720"/>
        <w:spacing w:after="0" w:line="261"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w:t>
      </w:r>
    </w:p>
    <w:p>
      <w:pPr>
        <w:spacing w:after="0" w:line="200" w:lineRule="exact"/>
        <w:rPr>
          <w:rFonts w:ascii="Times New Roman" w:cs="Times New Roman" w:eastAsia="Times New Roman" w:hAnsi="Times New Roman"/>
          <w:sz w:val="20"/>
          <w:szCs w:val="20"/>
          <w:color w:val="auto"/>
        </w:rPr>
      </w:pPr>
    </w:p>
    <w:p>
      <w:pPr>
        <w:ind w:right="280" w:firstLine="720"/>
        <w:spacing w:after="0" w:line="258"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 and</w:t>
      </w:r>
    </w:p>
    <w:p>
      <w:pPr>
        <w:spacing w:after="0" w:line="204" w:lineRule="exact"/>
        <w:rPr>
          <w:rFonts w:ascii="Times New Roman" w:cs="Times New Roman" w:eastAsia="Times New Roman" w:hAnsi="Times New Roman"/>
          <w:sz w:val="20"/>
          <w:szCs w:val="20"/>
          <w:color w:val="auto"/>
        </w:rPr>
      </w:pPr>
    </w:p>
    <w:p>
      <w:pPr>
        <w:ind w:right="240" w:firstLine="720"/>
        <w:spacing w:after="0" w:line="258"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 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ind w:right="16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6" w:lineRule="exact"/>
        <w:rPr>
          <w:sz w:val="20"/>
          <w:szCs w:val="20"/>
          <w:color w:val="auto"/>
        </w:rPr>
      </w:pPr>
    </w:p>
    <w:p>
      <w:pPr>
        <w:ind w:right="140" w:firstLine="72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374650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840"/>
          </w:cols>
          <w:pgMar w:left="580" w:top="115" w:right="47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20"/>
          <w:szCs w:val="20"/>
          <w:color w:val="auto"/>
        </w:rPr>
        <w:t>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199" w:lineRule="exact"/>
        <w:rPr>
          <w:sz w:val="20"/>
          <w:szCs w:val="20"/>
          <w:color w:val="auto"/>
        </w:rPr>
      </w:pPr>
    </w:p>
    <w:p>
      <w:pPr>
        <w:ind w:right="680" w:firstLine="720"/>
        <w:spacing w:after="0" w:line="213" w:lineRule="auto"/>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w:t>
      </w:r>
      <w:r>
        <w:rPr>
          <w:rFonts w:ascii="Times New Roman" w:cs="Times New Roman" w:eastAsia="Times New Roman" w:hAnsi="Times New Roman"/>
          <w:sz w:val="20"/>
          <w:szCs w:val="20"/>
          <w:u w:val="single" w:color="auto"/>
          <w:color w:val="auto"/>
        </w:rPr>
        <w:t>18</w:t>
      </w:r>
      <w:r>
        <w:rPr>
          <w:rFonts w:ascii="Times New Roman" w:cs="Times New Roman" w:eastAsia="Times New Roman" w:hAnsi="Times New Roman"/>
          <w:sz w:val="33"/>
          <w:szCs w:val="33"/>
          <w:u w:val="single" w:color="auto"/>
          <w:color w:val="auto"/>
          <w:vertAlign w:val="superscript"/>
        </w:rPr>
        <w:t>th</w:t>
      </w:r>
      <w:r>
        <w:rPr>
          <w:rFonts w:ascii="Times New Roman" w:cs="Times New Roman" w:eastAsia="Times New Roman" w:hAnsi="Times New Roman"/>
          <w:sz w:val="20"/>
          <w:szCs w:val="20"/>
          <w:color w:val="auto"/>
        </w:rPr>
        <w:t xml:space="preserve"> day of </w:t>
      </w:r>
      <w:r>
        <w:rPr>
          <w:rFonts w:ascii="Times New Roman" w:cs="Times New Roman" w:eastAsia="Times New Roman" w:hAnsi="Times New Roman"/>
          <w:sz w:val="20"/>
          <w:szCs w:val="20"/>
          <w:u w:val="single" w:color="auto"/>
          <w:color w:val="auto"/>
        </w:rPr>
        <w:t>November</w:t>
      </w:r>
      <w:r>
        <w:rPr>
          <w:rFonts w:ascii="Times New Roman" w:cs="Times New Roman" w:eastAsia="Times New Roman" w:hAnsi="Times New Roman"/>
          <w:sz w:val="20"/>
          <w:szCs w:val="20"/>
          <w:color w:val="auto"/>
        </w:rPr>
        <w:t>,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Mark Lazarus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Mark Lazarus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247650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600"/>
      </w:cols>
      <w:pgMar w:left="580" w:top="87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360780" TargetMode="External"/><Relationship Id="rId11"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2026-01-05T18:11:08Z</dcterms:created>
  <dcterms:modified xsi:type="dcterms:W3CDTF">2026-01-05T18:11:08Z</dcterms:modified>
</cp:coreProperties>
</file>