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SEC Form 3</w:t>
            </w:r>
          </w:p>
        </w:tc>
        <w:tc>
          <w:tcPr>
            <w:tcW w:w="6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40" w:type="dxa"/>
            <w:vAlign w:val="bottom"/>
          </w:tcPr>
          <w:p>
            <w:pPr>
              <w:ind w:left="660"/>
              <w:spacing w:after="0"/>
              <w:rPr>
                <w:sz w:val="20"/>
                <w:szCs w:val="20"/>
                <w:color w:val="auto"/>
              </w:rPr>
            </w:pPr>
            <w:r>
              <w:rPr>
                <w:rFonts w:ascii="Arial" w:cs="Arial" w:eastAsia="Arial" w:hAnsi="Arial"/>
                <w:sz w:val="22"/>
                <w:szCs w:val="22"/>
                <w:b w:val="1"/>
                <w:bCs w:val="1"/>
                <w:color w:val="auto"/>
              </w:rPr>
              <w:t>FORM 3</w:t>
            </w:r>
          </w:p>
        </w:tc>
        <w:tc>
          <w:tcPr>
            <w:tcW w:w="6660" w:type="dxa"/>
            <w:vAlign w:val="bottom"/>
          </w:tcPr>
          <w:p>
            <w:pPr>
              <w:jc w:val="center"/>
              <w:ind w:left="16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6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6660" w:type="dxa"/>
            <w:vAlign w:val="bottom"/>
            <w:vMerge w:val="restart"/>
          </w:tcPr>
          <w:p>
            <w:pPr>
              <w:jc w:val="center"/>
              <w:ind w:left="186"/>
              <w:spacing w:after="0"/>
              <w:rPr>
                <w:sz w:val="20"/>
                <w:szCs w:val="20"/>
                <w:color w:val="auto"/>
              </w:rPr>
            </w:pPr>
            <w:r>
              <w:rPr>
                <w:rFonts w:ascii="Arial" w:cs="Arial" w:eastAsia="Arial" w:hAnsi="Arial"/>
                <w:sz w:val="19"/>
                <w:szCs w:val="19"/>
                <w:b w:val="1"/>
                <w:bCs w:val="1"/>
                <w:color w:val="auto"/>
              </w:rPr>
              <w:t>INITIAL STATEMENT OF BENEFICIAL OWNERSHIP OF SECURITIES</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8"/>
              </w:rPr>
              <w:t>3235-0104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restart"/>
          </w:tcPr>
          <w:p>
            <w:pPr>
              <w:jc w:val="center"/>
              <w:ind w:left="14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840" w:type="dxa"/>
            <w:vAlign w:val="bottom"/>
          </w:tcPr>
          <w:p>
            <w:pPr>
              <w:spacing w:after="0"/>
              <w:rPr>
                <w:sz w:val="3"/>
                <w:szCs w:val="3"/>
                <w:color w:val="auto"/>
              </w:rPr>
            </w:pPr>
          </w:p>
        </w:tc>
        <w:tc>
          <w:tcPr>
            <w:tcW w:w="6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840" w:type="dxa"/>
            <w:vAlign w:val="bottom"/>
          </w:tcPr>
          <w:p>
            <w:pPr>
              <w:spacing w:after="0"/>
              <w:rPr>
                <w:sz w:val="4"/>
                <w:szCs w:val="4"/>
                <w:color w:val="auto"/>
              </w:rPr>
            </w:pPr>
          </w:p>
        </w:tc>
        <w:tc>
          <w:tcPr>
            <w:tcW w:w="6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-744855</wp:posOffset>
            </wp:positionV>
            <wp:extent cx="6732905" cy="439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39293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p>
      <w:pPr>
        <w:spacing w:after="0" w:line="55" w:lineRule="exact"/>
        <w:rPr>
          <w:sz w:val="24"/>
          <w:szCs w:val="24"/>
          <w:color w:val="auto"/>
        </w:rPr>
      </w:pPr>
    </w:p>
    <w:tbl>
      <w:tblPr>
        <w:tblLayout w:type="fixed"/>
        <w:tblInd w:w="80" w:type="dxa"/>
        <w:tblCellMar>
          <w:top w:w="0" w:type="dxa"/>
          <w:left w:w="0" w:type="dxa"/>
          <w:bottom w:w="0" w:type="dxa"/>
          <w:right w:w="0" w:type="dxa"/>
        </w:tblCellMar>
      </w:tblPr>
      <w:tr>
        <w:trPr>
          <w:trHeight w:val="218"/>
        </w:trPr>
        <w:tc>
          <w:tcPr>
            <w:tcW w:w="2740" w:type="dxa"/>
            <w:vAlign w:val="bottom"/>
            <w:gridSpan w:val="3"/>
          </w:tcPr>
          <w:p>
            <w:pPr>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tc>
        <w:tc>
          <w:tcPr>
            <w:tcW w:w="1820" w:type="dxa"/>
            <w:vAlign w:val="bottom"/>
          </w:tcPr>
          <w:p>
            <w:pPr>
              <w:ind w:left="420"/>
              <w:spacing w:after="0"/>
              <w:rPr>
                <w:sz w:val="20"/>
                <w:szCs w:val="20"/>
                <w:color w:val="auto"/>
              </w:rPr>
            </w:pPr>
            <w:r>
              <w:rPr>
                <w:rFonts w:ascii="Arial" w:cs="Arial" w:eastAsia="Arial" w:hAnsi="Arial"/>
                <w:sz w:val="12"/>
                <w:szCs w:val="12"/>
                <w:color w:val="auto"/>
                <w:w w:val="98"/>
              </w:rPr>
              <w:t>2. Date of Event Requiring</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60" w:type="dxa"/>
            <w:vAlign w:val="bottom"/>
            <w:vMerge w:val="restart"/>
          </w:tcPr>
          <w:p>
            <w:pPr>
              <w:spacing w:after="0"/>
              <w:rPr>
                <w:rFonts w:ascii="Times New Roman" w:cs="Times New Roman" w:eastAsia="Times New Roman" w:hAnsi="Times New Roman"/>
                <w:sz w:val="19"/>
                <w:szCs w:val="19"/>
                <w:color w:val="0000EE"/>
              </w:rPr>
            </w:pPr>
            <w:hyperlink r:id="rId9">
              <w:r>
                <w:rPr>
                  <w:rFonts w:ascii="Times New Roman" w:cs="Times New Roman" w:eastAsia="Times New Roman" w:hAnsi="Times New Roman"/>
                  <w:sz w:val="19"/>
                  <w:szCs w:val="19"/>
                  <w:color w:val="0000EE"/>
                </w:rPr>
                <w:t>Montiel Maritza Gomez</w:t>
              </w:r>
            </w:hyperlink>
          </w:p>
        </w:tc>
        <w:tc>
          <w:tcPr>
            <w:tcW w:w="84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2"/>
                <w:szCs w:val="12"/>
                <w:color w:val="auto"/>
              </w:rPr>
              <w:t>Statement</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860" w:type="dxa"/>
            <w:vAlign w:val="bottom"/>
            <w:tcBorders>
              <w:bottom w:val="single" w:sz="8" w:color="0000EE"/>
            </w:tcBorders>
            <w:vMerge w:val="continue"/>
          </w:tcPr>
          <w:p>
            <w:pPr>
              <w:spacing w:after="0"/>
              <w:rPr>
                <w:sz w:val="8"/>
                <w:szCs w:val="8"/>
                <w:color w:val="auto"/>
              </w:rPr>
            </w:pPr>
          </w:p>
        </w:tc>
        <w:tc>
          <w:tcPr>
            <w:tcW w:w="840" w:type="dxa"/>
            <w:vAlign w:val="bottom"/>
            <w:vMerge w:val="restart"/>
          </w:tcPr>
          <w:p>
            <w:pPr>
              <w:spacing w:after="0"/>
              <w:rPr>
                <w:sz w:val="8"/>
                <w:szCs w:val="8"/>
                <w:color w:val="auto"/>
              </w:rPr>
            </w:pPr>
          </w:p>
        </w:tc>
        <w:tc>
          <w:tcPr>
            <w:tcW w:w="1820" w:type="dxa"/>
            <w:vAlign w:val="bottom"/>
            <w:vMerge w:val="restart"/>
          </w:tcPr>
          <w:p>
            <w:pPr>
              <w:ind w:left="420"/>
              <w:spacing w:after="0"/>
              <w:rPr>
                <w:sz w:val="20"/>
                <w:szCs w:val="20"/>
                <w:color w:val="auto"/>
              </w:rPr>
            </w:pPr>
            <w:r>
              <w:rPr>
                <w:rFonts w:ascii="Arial" w:cs="Arial" w:eastAsia="Arial" w:hAnsi="Arial"/>
                <w:sz w:val="12"/>
                <w:szCs w:val="12"/>
                <w:color w:val="auto"/>
              </w:rPr>
              <w:t>(Month/Day/Year)</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7" w:lineRule="exact"/>
        <w:rPr>
          <w:sz w:val="24"/>
          <w:szCs w:val="24"/>
          <w:color w:val="auto"/>
        </w:rPr>
      </w:pPr>
    </w:p>
    <w:p>
      <w:pPr>
        <w:spacing w:after="0"/>
        <w:rPr>
          <w:rFonts w:ascii="Times New Roman" w:cs="Times New Roman" w:eastAsia="Times New Roman" w:hAnsi="Times New Roman"/>
          <w:sz w:val="19"/>
          <w:szCs w:val="19"/>
          <w:color w:val="0000EE"/>
        </w:rPr>
      </w:pPr>
      <w:hyperlink r:id="rId10">
        <w:r>
          <w:rPr>
            <w:rFonts w:ascii="Times New Roman" w:cs="Times New Roman" w:eastAsia="Times New Roman" w:hAnsi="Times New Roman"/>
            <w:sz w:val="19"/>
            <w:szCs w:val="19"/>
            <w:u w:val="single" w:color="auto"/>
            <w:color w:val="0000EE"/>
          </w:rPr>
          <w:t>Versant Media Group,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VSNT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88" w:lineRule="exact"/>
        <w:rPr>
          <w:sz w:val="24"/>
          <w:szCs w:val="24"/>
          <w:color w:val="auto"/>
        </w:rPr>
      </w:pPr>
    </w:p>
    <w:p>
      <w:pPr>
        <w:sectPr>
          <w:pgSz w:w="11900" w:h="16840" w:orient="portrait"/>
          <w:cols w:equalWidth="0" w:num="2">
            <w:col w:w="4640" w:space="160"/>
            <w:col w:w="5760"/>
          </w:cols>
          <w:pgMar w:left="660" w:top="556" w:right="680" w:bottom="1440" w:gutter="0" w:footer="0" w:header="0"/>
          <w:type w:val="continuous"/>
        </w:sectPr>
      </w:pPr>
    </w:p>
    <w:tbl>
      <w:tblPr>
        <w:tblLayout w:type="fixed"/>
        <w:tblInd w:w="100" w:type="dxa"/>
        <w:tblCellMar>
          <w:top w:w="0" w:type="dxa"/>
          <w:left w:w="0" w:type="dxa"/>
          <w:bottom w:w="0" w:type="dxa"/>
          <w:right w:w="0" w:type="dxa"/>
        </w:tblCellMar>
      </w:tblPr>
      <w:tr>
        <w:trPr>
          <w:trHeight w:val="118"/>
        </w:trPr>
        <w:tc>
          <w:tcPr>
            <w:tcW w:w="660" w:type="dxa"/>
            <w:vAlign w:val="bottom"/>
            <w:tcBorders>
              <w:bottom w:val="single" w:sz="8" w:color="EEEEEE"/>
            </w:tcBorders>
          </w:tcPr>
          <w:p>
            <w:pPr>
              <w:spacing w:after="0"/>
              <w:rPr>
                <w:sz w:val="10"/>
                <w:szCs w:val="10"/>
                <w:color w:val="auto"/>
              </w:rPr>
            </w:pPr>
          </w:p>
        </w:tc>
        <w:tc>
          <w:tcPr>
            <w:tcW w:w="1020" w:type="dxa"/>
            <w:vAlign w:val="bottom"/>
            <w:tcBorders>
              <w:bottom w:val="single" w:sz="8" w:color="EEEEEE"/>
            </w:tcBorders>
          </w:tcPr>
          <w:p>
            <w:pPr>
              <w:spacing w:after="0"/>
              <w:rPr>
                <w:sz w:val="10"/>
                <w:szCs w:val="10"/>
                <w:color w:val="auto"/>
              </w:rPr>
            </w:pPr>
          </w:p>
        </w:tc>
        <w:tc>
          <w:tcPr>
            <w:tcW w:w="1320" w:type="dxa"/>
            <w:vAlign w:val="bottom"/>
            <w:tcBorders>
              <w:bottom w:val="single" w:sz="8" w:color="EEEEEE"/>
            </w:tcBorders>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12/06/2025</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60" w:type="dxa"/>
            <w:vAlign w:val="bottom"/>
          </w:tcPr>
          <w:p>
            <w:pPr>
              <w:ind w:left="20"/>
              <w:spacing w:after="0"/>
              <w:rPr>
                <w:sz w:val="20"/>
                <w:szCs w:val="20"/>
                <w:color w:val="auto"/>
              </w:rPr>
            </w:pPr>
            <w:r>
              <w:rPr>
                <w:rFonts w:ascii="Arial" w:cs="Arial" w:eastAsia="Arial" w:hAnsi="Arial"/>
                <w:sz w:val="12"/>
                <w:szCs w:val="12"/>
                <w:color w:val="auto"/>
              </w:rPr>
              <w:t>(Last)</w:t>
            </w:r>
          </w:p>
        </w:tc>
        <w:tc>
          <w:tcPr>
            <w:tcW w:w="1020" w:type="dxa"/>
            <w:vAlign w:val="bottom"/>
          </w:tcPr>
          <w:p>
            <w:pPr>
              <w:ind w:left="360"/>
              <w:spacing w:after="0"/>
              <w:rPr>
                <w:sz w:val="20"/>
                <w:szCs w:val="20"/>
                <w:color w:val="auto"/>
              </w:rPr>
            </w:pPr>
            <w:r>
              <w:rPr>
                <w:rFonts w:ascii="Arial" w:cs="Arial" w:eastAsia="Arial" w:hAnsi="Arial"/>
                <w:sz w:val="12"/>
                <w:szCs w:val="12"/>
                <w:color w:val="auto"/>
              </w:rPr>
              <w:t>(First)</w:t>
            </w:r>
          </w:p>
        </w:tc>
        <w:tc>
          <w:tcPr>
            <w:tcW w:w="2160" w:type="dxa"/>
            <w:vAlign w:val="bottom"/>
            <w:gridSpan w:val="2"/>
          </w:tcPr>
          <w:p>
            <w:pPr>
              <w:jc w:val="right"/>
              <w:ind w:right="1302"/>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COMCAST CORPORATION</w:t>
      </w:r>
    </w:p>
    <w:p>
      <w:pPr>
        <w:spacing w:after="0" w:line="4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COMCAST CENTER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59"/>
        </w:trPr>
        <w:tc>
          <w:tcPr>
            <w:tcW w:w="1760" w:type="dxa"/>
            <w:vAlign w:val="bottom"/>
          </w:tcPr>
          <w:p>
            <w:pPr>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r>
      <w:tr>
        <w:trPr>
          <w:trHeight w:val="224"/>
        </w:trPr>
        <w:tc>
          <w:tcPr>
            <w:tcW w:w="17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PHILADELPHIA PA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19103</w:t>
            </w:r>
          </w:p>
        </w:tc>
      </w:tr>
    </w:tbl>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220" w:firstLine="7"/>
        <w:spacing w:after="0" w:line="307" w:lineRule="auto"/>
        <w:tabs>
          <w:tab w:leader="none" w:pos="12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7"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8" w:lineRule="exact"/>
        <w:rPr>
          <w:sz w:val="24"/>
          <w:szCs w:val="24"/>
          <w:color w:val="auto"/>
        </w:rPr>
      </w:pPr>
    </w:p>
    <w:p>
      <w:pPr>
        <w:jc w:val="right"/>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21"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4" w:right="52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If Amendment, Date of Original Filed (Month/Day/Year)</w:t>
      </w:r>
    </w:p>
    <w:p>
      <w:pPr>
        <w:spacing w:after="0" w:line="79" w:lineRule="exact"/>
        <w:rPr>
          <w:rFonts w:ascii="Arial" w:cs="Arial" w:eastAsia="Arial" w:hAnsi="Arial"/>
          <w:sz w:val="12"/>
          <w:szCs w:val="12"/>
          <w:color w:val="auto"/>
        </w:rPr>
      </w:pPr>
    </w:p>
    <w:p>
      <w:pPr>
        <w:ind w:left="-4" w:right="44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Individual or Joint/Group Filing (Check Applicable Line)</w:t>
      </w:r>
    </w:p>
    <w:p>
      <w:pPr>
        <w:spacing w:after="0" w:line="7" w:lineRule="exact"/>
        <w:rPr>
          <w:sz w:val="24"/>
          <w:szCs w:val="24"/>
          <w:color w:val="auto"/>
        </w:rPr>
      </w:pPr>
    </w:p>
    <w:p>
      <w:pPr>
        <w:ind w:left="436"/>
        <w:spacing w:after="0"/>
        <w:rPr>
          <w:sz w:val="20"/>
          <w:szCs w:val="20"/>
          <w:color w:val="auto"/>
        </w:rPr>
      </w:pPr>
      <w:r>
        <w:rPr>
          <w:rFonts w:ascii="Arial" w:cs="Arial" w:eastAsia="Arial" w:hAnsi="Arial"/>
          <w:sz w:val="11"/>
          <w:szCs w:val="11"/>
          <w:color w:val="auto"/>
        </w:rPr>
        <w:t>Form filed by One Reporting Person</w:t>
      </w:r>
    </w:p>
    <w:p>
      <w:pPr>
        <w:spacing w:after="0" w:line="90" w:lineRule="exact"/>
        <w:rPr>
          <w:sz w:val="24"/>
          <w:szCs w:val="24"/>
          <w:color w:val="auto"/>
        </w:rPr>
      </w:pPr>
    </w:p>
    <w:p>
      <w:pPr>
        <w:ind w:left="436" w:right="640"/>
        <w:spacing w:after="0" w:line="307" w:lineRule="auto"/>
        <w:rPr>
          <w:sz w:val="20"/>
          <w:szCs w:val="20"/>
          <w:color w:val="auto"/>
        </w:rPr>
      </w:pPr>
      <w:r>
        <w:rPr>
          <w:rFonts w:ascii="Arial" w:cs="Arial" w:eastAsia="Arial" w:hAnsi="Arial"/>
          <w:sz w:val="12"/>
          <w:szCs w:val="12"/>
          <w:color w:val="auto"/>
        </w:rPr>
        <w:t>Form filed by More than One Reporting Person</w:t>
      </w:r>
    </w:p>
    <w:p>
      <w:pPr>
        <w:spacing w:after="0" w:line="337" w:lineRule="exact"/>
        <w:rPr>
          <w:sz w:val="24"/>
          <w:szCs w:val="24"/>
          <w:color w:val="auto"/>
        </w:rPr>
      </w:pPr>
    </w:p>
    <w:p>
      <w:pPr>
        <w:sectPr>
          <w:pgSz w:w="11900" w:h="16840" w:orient="portrait"/>
          <w:cols w:equalWidth="0" w:num="3">
            <w:col w:w="4087" w:space="720"/>
            <w:col w:w="2753" w:space="404"/>
            <w:col w:w="2596"/>
          </w:cols>
          <w:pgMar w:left="660" w:top="556" w:right="680" w:bottom="1440" w:gutter="0" w:footer="0" w:header="0"/>
          <w:type w:val="continuous"/>
        </w:sectPr>
      </w:pPr>
    </w:p>
    <w:p>
      <w:pPr>
        <w:spacing w:after="0" w:line="77" w:lineRule="exact"/>
        <w:rPr>
          <w:sz w:val="24"/>
          <w:szCs w:val="24"/>
          <w:color w:val="auto"/>
        </w:rPr>
      </w:pPr>
    </w:p>
    <w:p>
      <w:pPr>
        <w:ind w:left="120"/>
        <w:spacing w:after="0"/>
        <w:tabs>
          <w:tab w:leader="none" w:pos="1100" w:val="left"/>
          <w:tab w:leader="none" w:pos="21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16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4)</w:t>
            </w: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2. Amount of Securities</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 Ownership</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4. Nature of Indirect Beneficial Ownership</w:t>
            </w:r>
          </w:p>
        </w:tc>
      </w:tr>
      <w:tr>
        <w:trPr>
          <w:trHeight w:val="156"/>
        </w:trPr>
        <w:tc>
          <w:tcPr>
            <w:tcW w:w="3160" w:type="dxa"/>
            <w:vAlign w:val="bottom"/>
          </w:tcPr>
          <w:p>
            <w:pPr>
              <w:spacing w:after="0"/>
              <w:rPr>
                <w:sz w:val="13"/>
                <w:szCs w:val="13"/>
                <w:color w:val="auto"/>
              </w:rPr>
            </w:pP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Beneficially Owned (Instr. 4)</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Form: Direct (D)</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(Instr. 5)</w:t>
            </w:r>
          </w:p>
        </w:tc>
      </w:tr>
      <w:tr>
        <w:trPr>
          <w:trHeight w:val="156"/>
        </w:trPr>
        <w:tc>
          <w:tcPr>
            <w:tcW w:w="3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or Indirect (I)</w:t>
            </w:r>
          </w:p>
        </w:tc>
        <w:tc>
          <w:tcPr>
            <w:tcW w:w="2800" w:type="dxa"/>
            <w:vAlign w:val="bottom"/>
          </w:tcPr>
          <w:p>
            <w:pPr>
              <w:spacing w:after="0"/>
              <w:rPr>
                <w:sz w:val="13"/>
                <w:szCs w:val="13"/>
                <w:color w:val="auto"/>
              </w:rPr>
            </w:pPr>
          </w:p>
        </w:tc>
      </w:tr>
      <w:tr>
        <w:trPr>
          <w:trHeight w:val="165"/>
        </w:trPr>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(Instr. 5)</w:t>
            </w:r>
          </w:p>
        </w:tc>
        <w:tc>
          <w:tcPr>
            <w:tcW w:w="2800" w:type="dxa"/>
            <w:vAlign w:val="bottom"/>
          </w:tcPr>
          <w:p>
            <w:pPr>
              <w:spacing w:after="0"/>
              <w:rPr>
                <w:sz w:val="14"/>
                <w:szCs w:val="14"/>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ind w:left="80"/>
              <w:spacing w:after="0"/>
              <w:rPr>
                <w:sz w:val="20"/>
                <w:szCs w:val="20"/>
                <w:color w:val="auto"/>
              </w:rPr>
            </w:pPr>
            <w:r>
              <w:rPr>
                <w:rFonts w:ascii="Arial" w:cs="Arial" w:eastAsia="Arial" w:hAnsi="Arial"/>
                <w:sz w:val="12"/>
                <w:szCs w:val="12"/>
                <w:b w:val="1"/>
                <w:bCs w:val="1"/>
                <w:color w:val="auto"/>
              </w:rPr>
              <w:t>1. Title of Derivative Security (Instr. 4)</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Title and Amount of Securities</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Expiration Date</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Underlying Derivative Security (Instr. 4)</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Ownership</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or Exercise</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Form: Direct</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0" w:type="dxa"/>
            <w:vAlign w:val="bottom"/>
          </w:tcPr>
          <w:p>
            <w:pPr>
              <w:spacing w:after="0"/>
              <w:rPr>
                <w:sz w:val="1"/>
                <w:szCs w:val="1"/>
                <w:color w:val="auto"/>
              </w:rPr>
            </w:pPr>
          </w:p>
        </w:tc>
      </w:tr>
      <w:tr>
        <w:trPr>
          <w:trHeight w:val="49"/>
        </w:trPr>
        <w:tc>
          <w:tcPr>
            <w:tcW w:w="340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 or</w:t>
            </w: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8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Indirect (I)</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or</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Explanation of Responses: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Remarks:</w:t>
            </w: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40"/>
              <w:spacing w:after="0"/>
              <w:rPr>
                <w:sz w:val="20"/>
                <w:szCs w:val="20"/>
                <w:color w:val="auto"/>
              </w:rPr>
            </w:pPr>
            <w:r>
              <w:rPr>
                <w:rFonts w:ascii="Times New Roman" w:cs="Times New Roman" w:eastAsia="Times New Roman" w:hAnsi="Times New Roman"/>
                <w:sz w:val="12"/>
                <w:szCs w:val="12"/>
                <w:color w:val="008000"/>
              </w:rPr>
              <w:t>Exhibit 24 - Power of Attorney</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No securities are beneficially owned.</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6"/>
              </w:rPr>
              <w:t>/s/ Elizabeth Wideman,</w:t>
            </w:r>
          </w:p>
        </w:tc>
        <w:tc>
          <w:tcPr>
            <w:tcW w:w="400" w:type="dxa"/>
            <w:vAlign w:val="bottom"/>
          </w:tcPr>
          <w:p>
            <w:pPr>
              <w:spacing w:after="0"/>
              <w:rPr>
                <w:sz w:val="19"/>
                <w:szCs w:val="19"/>
                <w:color w:val="auto"/>
              </w:rPr>
            </w:pPr>
          </w:p>
        </w:tc>
        <w:tc>
          <w:tcPr>
            <w:tcW w:w="23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6"/>
                <w:szCs w:val="16"/>
                <w:color w:val="0000FF"/>
              </w:rPr>
              <w:t>12/08/2025</w:t>
            </w:r>
          </w:p>
        </w:tc>
        <w:tc>
          <w:tcPr>
            <w:tcW w:w="0" w:type="dxa"/>
            <w:vAlign w:val="bottom"/>
          </w:tcPr>
          <w:p>
            <w:pPr>
              <w:spacing w:after="0"/>
              <w:rPr>
                <w:sz w:val="1"/>
                <w:szCs w:val="1"/>
                <w:color w:val="auto"/>
              </w:rPr>
            </w:pPr>
          </w:p>
        </w:tc>
      </w:tr>
      <w:tr>
        <w:trPr>
          <w:trHeight w:val="64"/>
        </w:trPr>
        <w:tc>
          <w:tcPr>
            <w:tcW w:w="3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8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6"/>
              </w:rPr>
              <w:t>authorized signatory</w:t>
            </w:r>
          </w:p>
        </w:tc>
        <w:tc>
          <w:tcPr>
            <w:tcW w:w="580" w:type="dxa"/>
            <w:vAlign w:val="bottom"/>
            <w:gridSpan w:val="2"/>
            <w:vMerge w:val="restart"/>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80" w:type="dxa"/>
            <w:vAlign w:val="bottom"/>
            <w:tcBorders>
              <w:bottom w:val="single" w:sz="8" w:color="auto"/>
            </w:tcBorders>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Date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0560"/>
          </w:cols>
          <w:pgMar w:left="660" w:top="556" w:right="680"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b w:val="1"/>
          <w:bCs w:val="1"/>
          <w:color w:val="auto"/>
        </w:rPr>
        <w:t>EXHIBIT 24</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78" w:lineRule="exact"/>
        <w:rPr>
          <w:sz w:val="20"/>
          <w:szCs w:val="20"/>
          <w:color w:val="auto"/>
        </w:rPr>
      </w:pPr>
    </w:p>
    <w:p>
      <w:pPr>
        <w:ind w:right="720" w:firstLine="576"/>
        <w:spacing w:after="0" w:line="259" w:lineRule="auto"/>
        <w:rPr>
          <w:sz w:val="20"/>
          <w:szCs w:val="20"/>
          <w:color w:val="auto"/>
        </w:rPr>
      </w:pPr>
      <w:r>
        <w:rPr>
          <w:rFonts w:ascii="Times New Roman" w:cs="Times New Roman" w:eastAsia="Times New Roman" w:hAnsi="Times New Roman"/>
          <w:sz w:val="16"/>
          <w:szCs w:val="16"/>
          <w:color w:val="auto"/>
        </w:rPr>
        <w:t>Know all by these presents, that the undersigned hereby constitutes and appoints Elizabeth Wideman as the undersigned’s true and lawful attorney-in-fact to:</w:t>
      </w:r>
    </w:p>
    <w:p>
      <w:pPr>
        <w:spacing w:after="0" w:line="143" w:lineRule="exact"/>
        <w:rPr>
          <w:sz w:val="20"/>
          <w:szCs w:val="20"/>
          <w:color w:val="auto"/>
        </w:rPr>
      </w:pPr>
    </w:p>
    <w:p>
      <w:pPr>
        <w:ind w:right="480" w:firstLine="574"/>
        <w:spacing w:after="0" w:line="247"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for and on behalf of the undersigned, in the undersigned’s capacity as a reporting person pursuant to Section 16 of the Securities Exchange Act of 1934, as amended (the “Exchange Act”), and the rules thereunder of Versant Media Group, Inc., a Pennsylvania corporation (the “Company”), Forms 3, 4 and 5, including any amendments thereto, in accordance with Section 16(a) of the Exchange Act;</w:t>
      </w:r>
    </w:p>
    <w:p>
      <w:pPr>
        <w:spacing w:after="0" w:line="152" w:lineRule="exact"/>
        <w:rPr>
          <w:rFonts w:ascii="Times New Roman" w:cs="Times New Roman" w:eastAsia="Times New Roman" w:hAnsi="Times New Roman"/>
          <w:sz w:val="16"/>
          <w:szCs w:val="16"/>
          <w:color w:val="auto"/>
        </w:rPr>
      </w:pPr>
    </w:p>
    <w:p>
      <w:pPr>
        <w:jc w:val="both"/>
        <w:ind w:right="18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155" w:lineRule="exact"/>
        <w:rPr>
          <w:rFonts w:ascii="Times New Roman" w:cs="Times New Roman" w:eastAsia="Times New Roman" w:hAnsi="Times New Roman"/>
          <w:sz w:val="16"/>
          <w:szCs w:val="16"/>
          <w:color w:val="auto"/>
        </w:rPr>
      </w:pPr>
    </w:p>
    <w:p>
      <w:pPr>
        <w:ind w:right="320" w:firstLine="574"/>
        <w:spacing w:after="0" w:line="299" w:lineRule="auto"/>
        <w:tabs>
          <w:tab w:leader="none" w:pos="1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p>
      <w:pPr>
        <w:spacing w:after="0" w:line="118" w:lineRule="exact"/>
        <w:rPr>
          <w:rFonts w:ascii="Times New Roman" w:cs="Times New Roman" w:eastAsia="Times New Roman" w:hAnsi="Times New Roman"/>
          <w:sz w:val="14"/>
          <w:szCs w:val="14"/>
          <w:color w:val="auto"/>
        </w:rPr>
      </w:pPr>
    </w:p>
    <w:p>
      <w:pPr>
        <w:ind w:right="16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the discretion of any of such attorney-in-fact; and</w:t>
      </w:r>
    </w:p>
    <w:p>
      <w:pPr>
        <w:spacing w:after="0" w:line="155" w:lineRule="exact"/>
        <w:rPr>
          <w:sz w:val="20"/>
          <w:szCs w:val="20"/>
          <w:color w:val="auto"/>
        </w:rPr>
      </w:pPr>
    </w:p>
    <w:p>
      <w:pPr>
        <w:ind w:right="80" w:firstLine="576"/>
        <w:spacing w:after="0" w:line="239" w:lineRule="auto"/>
        <w:rPr>
          <w:sz w:val="20"/>
          <w:szCs w:val="20"/>
          <w:color w:val="auto"/>
        </w:rPr>
      </w:pPr>
      <w:r>
        <w:rPr>
          <w:rFonts w:ascii="Times New Roman" w:cs="Times New Roman" w:eastAsia="Times New Roman" w:hAnsi="Times New Roman"/>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attorney-in- fact, or the substitute or substitutes or delegee or delegees of any of such attorney-in-fact,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161" w:lineRule="exact"/>
        <w:rPr>
          <w:sz w:val="20"/>
          <w:szCs w:val="20"/>
          <w:color w:val="auto"/>
        </w:rPr>
      </w:pPr>
    </w:p>
    <w:p>
      <w:pPr>
        <w:ind w:right="360" w:firstLine="576"/>
        <w:spacing w:after="0" w:line="243" w:lineRule="auto"/>
        <w:rPr>
          <w:sz w:val="20"/>
          <w:szCs w:val="20"/>
          <w:color w:val="auto"/>
        </w:rPr>
      </w:pPr>
      <w:r>
        <w:rPr>
          <w:rFonts w:ascii="Times New Roman" w:cs="Times New Roman" w:eastAsia="Times New Roman" w:hAnsi="Times New Roman"/>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312420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undersigned has caused this Power of Attorney to be executed as of this</w:t>
      </w:r>
      <w:r>
        <w:rPr>
          <w:rFonts w:ascii="Times New Roman" w:cs="Times New Roman" w:eastAsia="Times New Roman" w:hAnsi="Times New Roman"/>
          <w:sz w:val="16"/>
          <w:szCs w:val="16"/>
          <w:u w:val="single" w:color="auto"/>
          <w:color w:val="auto"/>
        </w:rPr>
        <w:t>21st</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u w:val="single" w:color="auto"/>
          <w:color w:val="auto"/>
        </w:rPr>
        <w:t>November</w:t>
      </w:r>
      <w:r>
        <w:rPr>
          <w:rFonts w:ascii="Times New Roman" w:cs="Times New Roman" w:eastAsia="Times New Roman" w:hAnsi="Times New Roman"/>
          <w:sz w:val="16"/>
          <w:szCs w:val="16"/>
          <w:color w:val="auto"/>
        </w:rPr>
        <w:t xml:space="preserve"> ,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Maritza Montiel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Maritza Montiel</w:t>
      </w: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5715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sectPr>
      <w:pgSz w:w="11900" w:h="16840" w:orient="portrait"/>
      <w:cols w:equalWidth="0" w:num="1">
        <w:col w:w="10480"/>
      </w:cols>
      <w:pgMar w:left="740" w:top="555" w:right="6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9" Type="http://schemas.openxmlformats.org/officeDocument/2006/relationships/hyperlink" Target="http://www.sec.gov/cgi-bin/browse-edgar?action=getcompany&amp;CIK=0001640081" TargetMode="External"/><Relationship Id="rId10"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2025-12-08T15:38:00Z</dcterms:created>
  <dcterms:modified xsi:type="dcterms:W3CDTF">2025-12-08T15:38:00Z</dcterms:modified>
</cp:coreProperties>
</file>