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filename1.htm"/>
      <w:bookmarkStart w:id="1" w:name="ksfilename1"/>
      <w:bookmarkEnd w:id="0"/>
      <w:bookmarkEnd w:id="1"/>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As confidentially submitted to the Securities and Exchange Commission on July 21, 2025 </w:t>
      </w:r>
    </w:p>
    <w:p>
      <w:pPr>
        <w:pStyle w:val="TextBody"/>
        <w:bidi w:val="0"/>
        <w:spacing w:before="0" w:after="0"/>
        <w:jc w:val="right"/>
        <w:rPr>
          <w:rFonts w:ascii="Times New Roman" w:hAnsi="Times New Roman"/>
          <w:b/>
          <w:sz w:val="20"/>
        </w:rPr>
      </w:pPr>
      <w:r>
        <w:rPr>
          <w:rFonts w:ascii="Times New Roman" w:hAnsi="Times New Roman"/>
          <w:b/>
          <w:sz w:val="20"/>
        </w:rPr>
        <w:t xml:space="preserve">File No. 377-08061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AMENDMENT NO. 1 </w:t>
      </w:r>
    </w:p>
    <w:p>
      <w:pPr>
        <w:pStyle w:val="TextBody"/>
        <w:bidi w:val="0"/>
        <w:spacing w:before="0" w:after="0"/>
        <w:jc w:val="center"/>
        <w:rPr>
          <w:rFonts w:ascii="Times New Roman" w:hAnsi="Times New Roman"/>
          <w:b/>
          <w:sz w:val="36"/>
        </w:rPr>
      </w:pPr>
      <w:r>
        <w:rPr>
          <w:rFonts w:ascii="Times New Roman" w:hAnsi="Times New Roman"/>
          <w:b/>
          <w:sz w:val="36"/>
        </w:rPr>
        <w:t xml:space="preserve">TO </w:t>
      </w:r>
    </w:p>
    <w:p>
      <w:pPr>
        <w:pStyle w:val="TextBody"/>
        <w:bidi w:val="0"/>
        <w:spacing w:before="0" w:after="0"/>
        <w:jc w:val="center"/>
        <w:rPr>
          <w:rFonts w:ascii="Times New Roman" w:hAnsi="Times New Roman"/>
          <w:b/>
          <w:sz w:val="36"/>
        </w:rPr>
      </w:pPr>
      <w:r>
        <w:rPr>
          <w:rFonts w:ascii="Times New Roman" w:hAnsi="Times New Roman"/>
          <w:b/>
          <w:sz w:val="36"/>
        </w:rPr>
        <w:t xml:space="preserve">FORM 10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GENERAL FORM FOR REGISTRATION OF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12(b) OR 12(g)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Versant Media Group,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Pennsylvania</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39-2087186</w:t>
            </w:r>
          </w:p>
        </w:tc>
      </w:tr>
      <w:tr>
        <w:trPr/>
        <w:tc>
          <w:tcPr>
            <w:tcW w:w="5153" w:type="dxa"/>
            <w:tcBorders/>
          </w:tcPr>
          <w:p>
            <w:pPr>
              <w:pStyle w:val="TableContents"/>
              <w:bidi w:val="0"/>
              <w:spacing w:before="0" w:after="283"/>
              <w:jc w:val="center"/>
              <w:rPr>
                <w:b/>
              </w:rPr>
            </w:pPr>
            <w:r>
              <w:rPr>
                <w:b/>
              </w:rPr>
              <w:t>(State or Other Jurisdiction of</w:t>
              <w:b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30 Rockefeller Plaza</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10112</w:t>
            </w:r>
          </w:p>
        </w:tc>
      </w:tr>
      <w:tr>
        <w:trPr/>
        <w:tc>
          <w:tcPr>
            <w:tcW w:w="5153" w:type="dxa"/>
            <w:tcBorders/>
          </w:tcPr>
          <w:p>
            <w:pPr>
              <w:pStyle w:val="TableContents"/>
              <w:bidi w:val="0"/>
              <w:spacing w:before="0" w:after="283"/>
              <w:jc w:val="center"/>
              <w:rPr>
                <w:b/>
              </w:rPr>
            </w:pPr>
            <w:r>
              <w:rPr>
                <w:b/>
              </w:rPr>
              <w:t>(Address of Principal Executive Office)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(212) 664-4444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Copies to: </w:t>
      </w:r>
    </w:p>
    <w:p>
      <w:pPr>
        <w:pStyle w:val="TextBody"/>
        <w:bidi w:val="0"/>
        <w:spacing w:before="240" w:after="0"/>
        <w:jc w:val="center"/>
        <w:rPr>
          <w:rFonts w:ascii="Times New Roman" w:hAnsi="Times New Roman"/>
          <w:b/>
          <w:sz w:val="20"/>
        </w:rPr>
      </w:pPr>
      <w:r>
        <w:rPr>
          <w:rFonts w:ascii="Times New Roman" w:hAnsi="Times New Roman"/>
          <w:b/>
          <w:sz w:val="20"/>
        </w:rPr>
        <w:t xml:space="preserve">John B. Meade </w:t>
      </w:r>
    </w:p>
    <w:p>
      <w:pPr>
        <w:pStyle w:val="TextBody"/>
        <w:bidi w:val="0"/>
        <w:spacing w:before="0" w:after="0"/>
        <w:jc w:val="center"/>
        <w:rPr>
          <w:rFonts w:ascii="Times New Roman" w:hAnsi="Times New Roman"/>
          <w:b/>
          <w:sz w:val="20"/>
        </w:rPr>
      </w:pPr>
      <w:r>
        <w:rPr>
          <w:rFonts w:ascii="Times New Roman" w:hAnsi="Times New Roman"/>
          <w:b/>
          <w:sz w:val="20"/>
        </w:rPr>
        <w:t xml:space="preserve">Stephen A. Byeff </w:t>
      </w:r>
    </w:p>
    <w:p>
      <w:pPr>
        <w:pStyle w:val="TextBody"/>
        <w:bidi w:val="0"/>
        <w:spacing w:before="0" w:after="0"/>
        <w:jc w:val="center"/>
        <w:rPr>
          <w:rFonts w:ascii="Times New Roman" w:hAnsi="Times New Roman"/>
          <w:b/>
          <w:sz w:val="20"/>
        </w:rPr>
      </w:pPr>
      <w:r>
        <w:rPr>
          <w:rFonts w:ascii="Times New Roman" w:hAnsi="Times New Roman"/>
          <w:b/>
          <w:sz w:val="20"/>
        </w:rPr>
        <w:t xml:space="preserve">Davis Polk &amp; Wardwell LLP </w:t>
      </w:r>
    </w:p>
    <w:p>
      <w:pPr>
        <w:pStyle w:val="TextBody"/>
        <w:bidi w:val="0"/>
        <w:spacing w:before="0" w:after="0"/>
        <w:jc w:val="center"/>
        <w:rPr>
          <w:rFonts w:ascii="Times New Roman" w:hAnsi="Times New Roman"/>
          <w:b/>
          <w:sz w:val="20"/>
        </w:rPr>
      </w:pPr>
      <w:r>
        <w:rPr>
          <w:rFonts w:ascii="Times New Roman" w:hAnsi="Times New Roman"/>
          <w:b/>
          <w:sz w:val="20"/>
        </w:rPr>
        <w:t xml:space="preserve">450 Lexington Avenue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10017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or to be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 to be so registered</w:t>
            </w:r>
          </w:p>
        </w:tc>
        <w:tc>
          <w:tcPr>
            <w:tcW w:w="102" w:type="dxa"/>
            <w:tcBorders/>
            <w:vAlign w:val="bottom"/>
          </w:tcPr>
          <w:p>
            <w:pPr>
              <w:pStyle w:val="TableContents"/>
              <w:bidi w:val="0"/>
              <w:spacing w:before="0" w:after="283"/>
              <w:jc w:val="left"/>
              <w:rPr/>
            </w:pPr>
            <w:r>
              <w:rPr/>
              <w:t> </w:t>
            </w:r>
          </w:p>
        </w:tc>
        <w:tc>
          <w:tcPr>
            <w:tcW w:w="49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 on which each class is to be registered</w:t>
            </w:r>
          </w:p>
        </w:tc>
      </w:tr>
      <w:tr>
        <w:trPr/>
        <w:tc>
          <w:tcPr>
            <w:tcW w:w="5154" w:type="dxa"/>
            <w:tcBorders/>
          </w:tcPr>
          <w:p>
            <w:pPr>
              <w:pStyle w:val="TableContents"/>
              <w:bidi w:val="0"/>
              <w:spacing w:before="0" w:after="283"/>
              <w:jc w:val="center"/>
              <w:rPr/>
            </w:pPr>
            <w:r>
              <w:rPr/>
              <w:t>Class A Common Stock, par value $0.01 per share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12(g) of the Act: None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0"/>
        <w:gridCol w:w="103"/>
        <w:gridCol w:w="4386"/>
        <w:gridCol w:w="120"/>
        <w:gridCol w:w="2803"/>
        <w:gridCol w:w="103"/>
        <w:gridCol w:w="240"/>
      </w:tblGrid>
      <w:tr>
        <w:trPr/>
        <w:tc>
          <w:tcPr>
            <w:tcW w:w="245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386"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803"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r>
      <w:tr>
        <w:trPr>
          <w:trHeight w:val="120" w:hRule="atLeast"/>
        </w:trPr>
        <w:tc>
          <w:tcPr>
            <w:tcW w:w="2450" w:type="dxa"/>
            <w:tcBorders/>
            <w:vAlign w:val="center"/>
          </w:tcPr>
          <w:p>
            <w:pPr>
              <w:pStyle w:val="TableContents"/>
              <w:bidi w:val="0"/>
              <w:spacing w:before="0" w:after="283"/>
              <w:jc w:val="left"/>
              <w:rPr>
                <w:sz w:val="4"/>
                <w:szCs w:val="4"/>
              </w:rPr>
            </w:pPr>
            <w:r>
              <w:rPr>
                <w:sz w:val="4"/>
                <w:szCs w:val="4"/>
              </w:rPr>
            </w:r>
          </w:p>
        </w:tc>
        <w:tc>
          <w:tcPr>
            <w:tcW w:w="4489" w:type="dxa"/>
            <w:gridSpan w:val="2"/>
            <w:tcBorders/>
            <w:vAlign w:val="center"/>
          </w:tcPr>
          <w:p>
            <w:pPr>
              <w:pStyle w:val="TableContents"/>
              <w:bidi w:val="0"/>
              <w:spacing w:before="0" w:after="283"/>
              <w:jc w:val="left"/>
              <w:rPr>
                <w:sz w:val="4"/>
                <w:szCs w:val="4"/>
              </w:rPr>
            </w:pPr>
            <w:r>
              <w:rPr>
                <w:sz w:val="4"/>
                <w:szCs w:val="4"/>
              </w:rPr>
            </w:r>
          </w:p>
        </w:tc>
        <w:tc>
          <w:tcPr>
            <w:tcW w:w="2923" w:type="dxa"/>
            <w:gridSpan w:val="2"/>
            <w:tcBorders/>
            <w:vAlign w:val="center"/>
          </w:tcPr>
          <w:p>
            <w:pPr>
              <w:pStyle w:val="TableContents"/>
              <w:bidi w:val="0"/>
              <w:spacing w:before="0" w:after="283"/>
              <w:jc w:val="left"/>
              <w:rPr>
                <w:sz w:val="4"/>
                <w:szCs w:val="4"/>
              </w:rPr>
            </w:pPr>
            <w:r>
              <w:rPr>
                <w:sz w:val="4"/>
                <w:szCs w:val="4"/>
              </w:rPr>
            </w:r>
          </w:p>
        </w:tc>
        <w:tc>
          <w:tcPr>
            <w:tcW w:w="343" w:type="dxa"/>
            <w:gridSpan w:val="2"/>
            <w:tcBorders/>
            <w:vAlign w:val="center"/>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386"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803"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r>
      <w:tr>
        <w:trPr>
          <w:trHeight w:val="120" w:hRule="atLeast"/>
        </w:trPr>
        <w:tc>
          <w:tcPr>
            <w:tcW w:w="2450" w:type="dxa"/>
            <w:tcBorders/>
            <w:vAlign w:val="center"/>
          </w:tcPr>
          <w:p>
            <w:pPr>
              <w:pStyle w:val="TableContents"/>
              <w:bidi w:val="0"/>
              <w:spacing w:before="0" w:after="283"/>
              <w:jc w:val="left"/>
              <w:rPr>
                <w:sz w:val="4"/>
                <w:szCs w:val="4"/>
              </w:rPr>
            </w:pPr>
            <w:r>
              <w:rPr>
                <w:sz w:val="4"/>
                <w:szCs w:val="4"/>
              </w:rPr>
            </w:r>
          </w:p>
        </w:tc>
        <w:tc>
          <w:tcPr>
            <w:tcW w:w="4489" w:type="dxa"/>
            <w:gridSpan w:val="2"/>
            <w:tcBorders/>
            <w:vAlign w:val="center"/>
          </w:tcPr>
          <w:p>
            <w:pPr>
              <w:pStyle w:val="TableContents"/>
              <w:bidi w:val="0"/>
              <w:spacing w:before="0" w:after="283"/>
              <w:jc w:val="left"/>
              <w:rPr>
                <w:sz w:val="4"/>
                <w:szCs w:val="4"/>
              </w:rPr>
            </w:pPr>
            <w:r>
              <w:rPr>
                <w:sz w:val="4"/>
                <w:szCs w:val="4"/>
              </w:rPr>
            </w:r>
          </w:p>
        </w:tc>
        <w:tc>
          <w:tcPr>
            <w:tcW w:w="2923" w:type="dxa"/>
            <w:gridSpan w:val="2"/>
            <w:tcBorders/>
            <w:vAlign w:val="center"/>
          </w:tcPr>
          <w:p>
            <w:pPr>
              <w:pStyle w:val="TableContents"/>
              <w:bidi w:val="0"/>
              <w:spacing w:before="0" w:after="283"/>
              <w:jc w:val="left"/>
              <w:rPr>
                <w:sz w:val="4"/>
                <w:szCs w:val="4"/>
              </w:rPr>
            </w:pPr>
            <w:r>
              <w:rPr>
                <w:sz w:val="4"/>
                <w:szCs w:val="4"/>
              </w:rPr>
            </w:r>
          </w:p>
        </w:tc>
        <w:tc>
          <w:tcPr>
            <w:tcW w:w="343" w:type="dxa"/>
            <w:gridSpan w:val="2"/>
            <w:tcBorders/>
            <w:vAlign w:val="center"/>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38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03"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Versant Media Group, Inc.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REGISTRATION STATEMENT </w:t>
      </w:r>
    </w:p>
    <w:p>
      <w:pPr>
        <w:pStyle w:val="TextBody"/>
        <w:bidi w:val="0"/>
        <w:spacing w:before="120" w:after="0"/>
        <w:jc w:val="center"/>
        <w:rPr>
          <w:rFonts w:ascii="Times New Roman" w:hAnsi="Times New Roman"/>
          <w:b/>
          <w:sz w:val="20"/>
        </w:rPr>
      </w:pPr>
      <w:r>
        <w:rPr>
          <w:rFonts w:ascii="Times New Roman" w:hAnsi="Times New Roman"/>
          <w:b/>
          <w:sz w:val="20"/>
        </w:rPr>
        <w:t xml:space="preserve">CROSS-REFERENCE SHEET BETWEEN INFORMATION STATEMENT AND ITEMS OF FORM 10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required to be included herein is incorporated by reference to specifically identified portions of the body of the information statement filed herewith as Exhibit 99.1 (the information statement). None of the information contained in the information statement shall be incorporated by reference herein or deemed to be a part hereof unless such information is specifically incorporated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 Business.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sections Summary, Risk Factors, Special Note Regarding Forward-Looking Statements, The Separation, Capitalization, Unaudited Pro Forma Combined Financial Statements, Managements Discussion and Analysis of Financial Condition and Results of Operations, Business, Management, Compensation Discussion and Analysis, Certain Relationships and Related Party Transactions, Where You Can Find More Information and Index to Audited Combined Financial Statements (and the statements referenced therein) of the information statement. Those sections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1A. Risk Factors.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sections Risk Factors and Special Note Regarding Forward-Looking Statements of the information statement. Those sections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sections Summary, Risk Factors, Capitalization, Unaudited Pro Forma Combined Financial Statements, Managements Discussion and Analysis of Financial Condition and Results of Operations and Index to Audited Combined Financial Statements (and the statements referenced therein) of the information statement. Those sections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3. Properties.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 BusinessProperties of the information statement. That section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4. Security Ownership of Certain Beneficial Owners and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 Ownership of Common Stock by Certain Beneficial Owners and Management of the information statement. That section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5.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 Management of the information statement. That section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6.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sections Compensation Discussion and Analysis and Management of the information statement. Those sections are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Item 7. Certain Relationships and Related Transactions, and 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sections The SeparationAgreements with Comcast, Certain Relationships and Related Party Transactions, Management, Compensation Discussion and Analysis and Ownership of Common Stock by Certain Beneficial Owners and Management of the information statement. Those sections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8.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 BusinessLegal Proceedings of the information statement. That section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 Market Price of and Dividends on the Registrants Common Equity and Related Stockholder Matters.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sections Summary, Risk Factors, The Separation, Dividend Policy, Capitalization and Description of Capital Stock of the information statement. Those sections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10.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 Description of Capital StockDistributions of Securities of the information statement. That section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11. Description of Registrants Securities to Be Registered.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 Description of Capital Stock of the information statement. That section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12.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 Description of Capital Stock of the information statement. That section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13. Financial Statements and Supplementary Data.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 Index to Audited Combined Financial Statements (and the statements referenced therein) of the information statement. That section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14. Changes in and Disagreements with Accountants on Accounting and Financial Disclosure.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15. Financial Statements and Exhibits.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r>
              <w:rPr>
                <w:b/>
                <w:i/>
              </w:rPr>
              <w:t>(a)</w:t>
            </w:r>
          </w:p>
        </w:tc>
        <w:tc>
          <w:tcPr>
            <w:tcW w:w="928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this item is contained in the sections Index to Audited Combined Financial Statements (and the statements referenced therein) of the information statement. That section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r>
              <w:rPr>
                <w:b/>
                <w:i/>
              </w:rPr>
              <w:t>(b)</w:t>
            </w:r>
          </w:p>
        </w:tc>
        <w:tc>
          <w:tcPr>
            <w:tcW w:w="929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are filed as exhibits 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6"/>
        <w:gridCol w:w="593"/>
        <w:gridCol w:w="8726"/>
      </w:tblGrid>
      <w:tr>
        <w:trPr/>
        <w:tc>
          <w:tcPr>
            <w:tcW w:w="886" w:type="dxa"/>
            <w:tcBorders/>
            <w:vAlign w:val="center"/>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sz w:val="4"/>
                <w:szCs w:val="4"/>
              </w:rPr>
            </w:pPr>
            <w:r>
              <w:rPr>
                <w:sz w:val="4"/>
                <w:szCs w:val="4"/>
              </w:rPr>
            </w:r>
          </w:p>
        </w:tc>
        <w:tc>
          <w:tcPr>
            <w:tcW w:w="8726" w:type="dxa"/>
            <w:tcBorders/>
            <w:vAlign w:val="center"/>
          </w:tcPr>
          <w:p>
            <w:pPr>
              <w:pStyle w:val="TableContents"/>
              <w:bidi w:val="0"/>
              <w:spacing w:before="0" w:after="283"/>
              <w:jc w:val="left"/>
              <w:rPr>
                <w:sz w:val="4"/>
                <w:szCs w:val="4"/>
              </w:rPr>
            </w:pPr>
            <w:r>
              <w:rPr>
                <w:sz w:val="4"/>
                <w:szCs w:val="4"/>
              </w:rPr>
            </w:r>
          </w:p>
        </w:tc>
      </w:tr>
      <w:tr>
        <w:trPr/>
        <w:tc>
          <w:tcPr>
            <w:tcW w:w="886"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593" w:type="dxa"/>
            <w:tcBorders/>
            <w:vAlign w:val="bottom"/>
          </w:tcPr>
          <w:p>
            <w:pPr>
              <w:pStyle w:val="TableContents"/>
              <w:bidi w:val="0"/>
              <w:spacing w:before="0" w:after="283"/>
              <w:jc w:val="left"/>
              <w:rPr/>
            </w:pPr>
            <w:r>
              <w:rPr/>
              <w:t>  </w:t>
            </w:r>
          </w:p>
        </w:tc>
        <w:tc>
          <w:tcPr>
            <w:tcW w:w="87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Title</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 </w:t>
            </w:r>
            <w:r>
              <w:rPr/>
              <w:t>2.1</w:t>
            </w:r>
          </w:p>
        </w:tc>
        <w:tc>
          <w:tcPr>
            <w:tcW w:w="593" w:type="dxa"/>
            <w:tcBorders/>
            <w:vAlign w:val="bottom"/>
          </w:tcPr>
          <w:p>
            <w:pPr>
              <w:pStyle w:val="TableContents"/>
              <w:bidi w:val="0"/>
              <w:spacing w:before="0" w:after="283"/>
              <w:jc w:val="left"/>
              <w:rPr/>
            </w:pPr>
            <w:r>
              <w:rPr/>
              <w:t>  </w:t>
            </w:r>
          </w:p>
        </w:tc>
        <w:tc>
          <w:tcPr>
            <w:tcW w:w="8726" w:type="dxa"/>
            <w:tcBorders/>
          </w:tcPr>
          <w:p>
            <w:pPr>
              <w:pStyle w:val="TableContents"/>
              <w:bidi w:val="0"/>
              <w:spacing w:before="0" w:after="283"/>
              <w:jc w:val="left"/>
              <w:rPr/>
            </w:pPr>
            <w:r>
              <w:rPr/>
              <w:t>Form of Separation and Distribution Agreement between Comcast and Versant Media Group, Inc.*</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 </w:t>
            </w:r>
            <w:r>
              <w:rPr/>
              <w:t>3.1</w:t>
            </w:r>
          </w:p>
        </w:tc>
        <w:tc>
          <w:tcPr>
            <w:tcW w:w="593" w:type="dxa"/>
            <w:tcBorders/>
            <w:vAlign w:val="bottom"/>
          </w:tcPr>
          <w:p>
            <w:pPr>
              <w:pStyle w:val="TableContents"/>
              <w:bidi w:val="0"/>
              <w:spacing w:before="0" w:after="283"/>
              <w:jc w:val="left"/>
              <w:rPr/>
            </w:pPr>
            <w:r>
              <w:rPr/>
              <w:t>  </w:t>
            </w:r>
          </w:p>
        </w:tc>
        <w:tc>
          <w:tcPr>
            <w:tcW w:w="8726" w:type="dxa"/>
            <w:tcBorders/>
          </w:tcPr>
          <w:p>
            <w:pPr>
              <w:pStyle w:val="TableContents"/>
              <w:bidi w:val="0"/>
              <w:spacing w:before="0" w:after="283"/>
              <w:jc w:val="left"/>
              <w:rPr/>
            </w:pPr>
            <w:r>
              <w:rPr/>
              <w:t>Form of Amended and Restated Articles of Incorporation of Versant Media Group, Inc.*</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 </w:t>
            </w:r>
            <w:r>
              <w:rPr/>
              <w:t>3.2</w:t>
            </w:r>
          </w:p>
        </w:tc>
        <w:tc>
          <w:tcPr>
            <w:tcW w:w="593" w:type="dxa"/>
            <w:tcBorders/>
            <w:vAlign w:val="bottom"/>
          </w:tcPr>
          <w:p>
            <w:pPr>
              <w:pStyle w:val="TableContents"/>
              <w:bidi w:val="0"/>
              <w:spacing w:before="0" w:after="283"/>
              <w:jc w:val="left"/>
              <w:rPr/>
            </w:pPr>
            <w:r>
              <w:rPr/>
              <w:t>  </w:t>
            </w:r>
          </w:p>
        </w:tc>
        <w:tc>
          <w:tcPr>
            <w:tcW w:w="8726" w:type="dxa"/>
            <w:tcBorders/>
          </w:tcPr>
          <w:p>
            <w:pPr>
              <w:pStyle w:val="TableContents"/>
              <w:bidi w:val="0"/>
              <w:spacing w:before="0" w:after="283"/>
              <w:jc w:val="left"/>
              <w:rPr/>
            </w:pPr>
            <w:r>
              <w:rPr/>
              <w:t>Form of Amended and Restated Bylaws of Versant Media Group, Inc.*</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10.1</w:t>
            </w:r>
          </w:p>
        </w:tc>
        <w:tc>
          <w:tcPr>
            <w:tcW w:w="593" w:type="dxa"/>
            <w:tcBorders/>
            <w:vAlign w:val="bottom"/>
          </w:tcPr>
          <w:p>
            <w:pPr>
              <w:pStyle w:val="TableContents"/>
              <w:bidi w:val="0"/>
              <w:spacing w:before="0" w:after="283"/>
              <w:jc w:val="left"/>
              <w:rPr/>
            </w:pPr>
            <w:r>
              <w:rPr/>
              <w:t>  </w:t>
            </w:r>
          </w:p>
        </w:tc>
        <w:tc>
          <w:tcPr>
            <w:tcW w:w="8726" w:type="dxa"/>
            <w:tcBorders/>
          </w:tcPr>
          <w:p>
            <w:pPr>
              <w:pStyle w:val="TableContents"/>
              <w:bidi w:val="0"/>
              <w:spacing w:before="0" w:after="283"/>
              <w:jc w:val="left"/>
              <w:rPr/>
            </w:pPr>
            <w:r>
              <w:rPr/>
              <w:t>Form of Transition Services Agreement between Comcast and Versant Media Group, Inc.*</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10.2</w:t>
            </w:r>
          </w:p>
        </w:tc>
        <w:tc>
          <w:tcPr>
            <w:tcW w:w="593" w:type="dxa"/>
            <w:tcBorders/>
            <w:vAlign w:val="bottom"/>
          </w:tcPr>
          <w:p>
            <w:pPr>
              <w:pStyle w:val="TableContents"/>
              <w:bidi w:val="0"/>
              <w:spacing w:before="0" w:after="283"/>
              <w:jc w:val="left"/>
              <w:rPr/>
            </w:pPr>
            <w:r>
              <w:rPr/>
              <w:t>  </w:t>
            </w:r>
          </w:p>
        </w:tc>
        <w:tc>
          <w:tcPr>
            <w:tcW w:w="8726" w:type="dxa"/>
            <w:tcBorders/>
          </w:tcPr>
          <w:p>
            <w:pPr>
              <w:pStyle w:val="TableContents"/>
              <w:bidi w:val="0"/>
              <w:spacing w:before="0" w:after="283"/>
              <w:jc w:val="left"/>
              <w:rPr/>
            </w:pPr>
            <w:r>
              <w:rPr/>
              <w:t>Form of Tax Matters Agreement between Comcast and Versant Media Group, Inc.*</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10.3</w:t>
            </w:r>
          </w:p>
        </w:tc>
        <w:tc>
          <w:tcPr>
            <w:tcW w:w="593" w:type="dxa"/>
            <w:tcBorders/>
            <w:vAlign w:val="bottom"/>
          </w:tcPr>
          <w:p>
            <w:pPr>
              <w:pStyle w:val="TableContents"/>
              <w:bidi w:val="0"/>
              <w:spacing w:before="0" w:after="283"/>
              <w:jc w:val="left"/>
              <w:rPr/>
            </w:pPr>
            <w:r>
              <w:rPr/>
              <w:t>  </w:t>
            </w:r>
          </w:p>
        </w:tc>
        <w:tc>
          <w:tcPr>
            <w:tcW w:w="8726" w:type="dxa"/>
            <w:tcBorders/>
          </w:tcPr>
          <w:p>
            <w:pPr>
              <w:pStyle w:val="TableContents"/>
              <w:bidi w:val="0"/>
              <w:spacing w:before="0" w:after="283"/>
              <w:jc w:val="left"/>
              <w:rPr/>
            </w:pPr>
            <w:r>
              <w:rPr/>
              <w:t>Form of Employee Matters Agreement between Comcast and Versant Media Group, Inc.*</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10.4</w:t>
            </w:r>
          </w:p>
        </w:tc>
        <w:tc>
          <w:tcPr>
            <w:tcW w:w="593" w:type="dxa"/>
            <w:tcBorders/>
            <w:vAlign w:val="bottom"/>
          </w:tcPr>
          <w:p>
            <w:pPr>
              <w:pStyle w:val="TableContents"/>
              <w:bidi w:val="0"/>
              <w:spacing w:before="0" w:after="283"/>
              <w:jc w:val="left"/>
              <w:rPr/>
            </w:pPr>
            <w:r>
              <w:rPr/>
              <w:t>  </w:t>
            </w:r>
          </w:p>
        </w:tc>
        <w:tc>
          <w:tcPr>
            <w:tcW w:w="8726" w:type="dxa"/>
            <w:tcBorders/>
          </w:tcPr>
          <w:p>
            <w:pPr>
              <w:pStyle w:val="TableContents"/>
              <w:bidi w:val="0"/>
              <w:spacing w:before="0" w:after="283"/>
              <w:jc w:val="left"/>
              <w:rPr/>
            </w:pPr>
            <w:r>
              <w:rPr/>
              <w:t>Form of Versant Media Group, Inc. Omnibus Equity Incentive Plan*</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10.5</w:t>
            </w:r>
          </w:p>
        </w:tc>
        <w:tc>
          <w:tcPr>
            <w:tcW w:w="593" w:type="dxa"/>
            <w:tcBorders/>
            <w:vAlign w:val="bottom"/>
          </w:tcPr>
          <w:p>
            <w:pPr>
              <w:pStyle w:val="TableContents"/>
              <w:bidi w:val="0"/>
              <w:spacing w:before="0" w:after="283"/>
              <w:jc w:val="left"/>
              <w:rPr/>
            </w:pPr>
            <w:r>
              <w:rPr/>
              <w:t>  </w:t>
            </w:r>
          </w:p>
        </w:tc>
        <w:tc>
          <w:tcPr>
            <w:tcW w:w="8726" w:type="dxa"/>
            <w:tcBorders/>
          </w:tcPr>
          <w:p>
            <w:pPr>
              <w:pStyle w:val="TableContents"/>
              <w:bidi w:val="0"/>
              <w:spacing w:before="0" w:after="283"/>
              <w:jc w:val="left"/>
              <w:rPr/>
            </w:pPr>
            <w:r>
              <w:rPr/>
              <w:t>Form of Indemnification Agreement for Non-Employee Directors*</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10.6</w:t>
            </w:r>
          </w:p>
        </w:tc>
        <w:tc>
          <w:tcPr>
            <w:tcW w:w="593" w:type="dxa"/>
            <w:tcBorders/>
            <w:vAlign w:val="bottom"/>
          </w:tcPr>
          <w:p>
            <w:pPr>
              <w:pStyle w:val="TableContents"/>
              <w:bidi w:val="0"/>
              <w:spacing w:before="0" w:after="283"/>
              <w:jc w:val="left"/>
              <w:rPr/>
            </w:pPr>
            <w:r>
              <w:rPr/>
              <w:t>  </w:t>
            </w:r>
          </w:p>
        </w:tc>
        <w:tc>
          <w:tcPr>
            <w:tcW w:w="8726" w:type="dxa"/>
            <w:tcBorders/>
          </w:tcPr>
          <w:p>
            <w:pPr>
              <w:pStyle w:val="TableContents"/>
              <w:bidi w:val="0"/>
              <w:spacing w:before="0" w:after="283"/>
              <w:jc w:val="left"/>
              <w:rPr/>
            </w:pPr>
            <w:r>
              <w:rPr/>
              <w:t>Form of Executive Employment Agreement of Mark Lazarus*</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10.7</w:t>
            </w:r>
          </w:p>
        </w:tc>
        <w:tc>
          <w:tcPr>
            <w:tcW w:w="593" w:type="dxa"/>
            <w:tcBorders/>
            <w:vAlign w:val="bottom"/>
          </w:tcPr>
          <w:p>
            <w:pPr>
              <w:pStyle w:val="TableContents"/>
              <w:bidi w:val="0"/>
              <w:spacing w:before="0" w:after="283"/>
              <w:jc w:val="left"/>
              <w:rPr/>
            </w:pPr>
            <w:r>
              <w:rPr/>
              <w:t>  </w:t>
            </w:r>
          </w:p>
        </w:tc>
        <w:tc>
          <w:tcPr>
            <w:tcW w:w="8726" w:type="dxa"/>
            <w:tcBorders/>
          </w:tcPr>
          <w:p>
            <w:pPr>
              <w:pStyle w:val="TableContents"/>
              <w:bidi w:val="0"/>
              <w:spacing w:before="0" w:after="283"/>
              <w:jc w:val="left"/>
              <w:rPr/>
            </w:pPr>
            <w:r>
              <w:rPr/>
              <w:t>Form of Executive Employment Agreement of Anand M. Kini*</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10.8</w:t>
            </w:r>
          </w:p>
        </w:tc>
        <w:tc>
          <w:tcPr>
            <w:tcW w:w="593" w:type="dxa"/>
            <w:tcBorders/>
            <w:vAlign w:val="bottom"/>
          </w:tcPr>
          <w:p>
            <w:pPr>
              <w:pStyle w:val="TableContents"/>
              <w:bidi w:val="0"/>
              <w:spacing w:before="0" w:after="283"/>
              <w:jc w:val="left"/>
              <w:rPr/>
            </w:pPr>
            <w:r>
              <w:rPr/>
              <w:t>  </w:t>
            </w:r>
          </w:p>
        </w:tc>
        <w:tc>
          <w:tcPr>
            <w:tcW w:w="8726" w:type="dxa"/>
            <w:tcBorders/>
          </w:tcPr>
          <w:p>
            <w:pPr>
              <w:pStyle w:val="TableContents"/>
              <w:bidi w:val="0"/>
              <w:spacing w:before="0" w:after="283"/>
              <w:jc w:val="left"/>
              <w:rPr/>
            </w:pPr>
            <w:r>
              <w:rPr/>
              <w:t>Form of Executive Employment Agreement of Jordan R. Fasbender*</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21.1</w:t>
            </w:r>
          </w:p>
        </w:tc>
        <w:tc>
          <w:tcPr>
            <w:tcW w:w="593" w:type="dxa"/>
            <w:tcBorders/>
            <w:vAlign w:val="bottom"/>
          </w:tcPr>
          <w:p>
            <w:pPr>
              <w:pStyle w:val="TableContents"/>
              <w:bidi w:val="0"/>
              <w:spacing w:before="0" w:after="283"/>
              <w:jc w:val="left"/>
              <w:rPr/>
            </w:pPr>
            <w:r>
              <w:rPr/>
              <w:t>  </w:t>
            </w:r>
          </w:p>
        </w:tc>
        <w:tc>
          <w:tcPr>
            <w:tcW w:w="8726" w:type="dxa"/>
            <w:tcBorders/>
          </w:tcPr>
          <w:p>
            <w:pPr>
              <w:pStyle w:val="TableContents"/>
              <w:bidi w:val="0"/>
              <w:spacing w:before="0" w:after="283"/>
              <w:jc w:val="left"/>
              <w:rPr/>
            </w:pPr>
            <w:r>
              <w:rPr/>
              <w:t>Subsidiaries of the Registrant*</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99.1</w:t>
            </w:r>
          </w:p>
        </w:tc>
        <w:tc>
          <w:tcPr>
            <w:tcW w:w="593" w:type="dxa"/>
            <w:tcBorders/>
            <w:vAlign w:val="bottom"/>
          </w:tcPr>
          <w:p>
            <w:pPr>
              <w:pStyle w:val="TableContents"/>
              <w:bidi w:val="0"/>
              <w:spacing w:before="0" w:after="283"/>
              <w:jc w:val="left"/>
              <w:rPr/>
            </w:pPr>
            <w:r>
              <w:rPr/>
              <w:t>  </w:t>
            </w:r>
          </w:p>
        </w:tc>
        <w:tc>
          <w:tcPr>
            <w:tcW w:w="8726" w:type="dxa"/>
            <w:tcBorders/>
          </w:tcPr>
          <w:p>
            <w:pPr>
              <w:pStyle w:val="TableContents"/>
              <w:bidi w:val="0"/>
              <w:spacing w:before="0" w:after="283"/>
              <w:jc w:val="left"/>
              <w:rPr/>
            </w:pPr>
            <w:r>
              <w:rPr/>
              <w:t>Preliminary Information Statement dated July 21, 2025</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99.2</w:t>
            </w:r>
          </w:p>
        </w:tc>
        <w:tc>
          <w:tcPr>
            <w:tcW w:w="593" w:type="dxa"/>
            <w:tcBorders/>
            <w:vAlign w:val="bottom"/>
          </w:tcPr>
          <w:p>
            <w:pPr>
              <w:pStyle w:val="TableContents"/>
              <w:bidi w:val="0"/>
              <w:spacing w:before="0" w:after="283"/>
              <w:jc w:val="left"/>
              <w:rPr/>
            </w:pPr>
            <w:r>
              <w:rPr/>
              <w:t>  </w:t>
            </w:r>
          </w:p>
        </w:tc>
        <w:tc>
          <w:tcPr>
            <w:tcW w:w="8726" w:type="dxa"/>
            <w:tcBorders/>
          </w:tcPr>
          <w:p>
            <w:pPr>
              <w:pStyle w:val="TableContents"/>
              <w:bidi w:val="0"/>
              <w:spacing w:before="0" w:after="283"/>
              <w:jc w:val="left"/>
              <w:rPr/>
            </w:pPr>
            <w:r>
              <w:rPr/>
              <w:t>Form of Notice of Internet Availability of Information Statement Materials*</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12 of the Securities Exchange Act of 1934, the registrant has duly caused this registration statement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Versant Media Group, Inc.</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left"/>
        <w:rPr/>
      </w:pPr>
      <w:r>
        <w:rPr/>
        <w:t> </w:t>
      </w:r>
    </w:p>
    <w:p>
      <w:pPr>
        <w:pStyle w:val="Heading5"/>
        <w:bidi w:val="0"/>
        <w:jc w:val="left"/>
        <w:rPr/>
      </w:pPr>
      <w:hyperlink w:anchor="toc">
        <w:bookmarkStart w:id="2" w:name="filename2.htm"/>
        <w:bookmarkStart w:id="3" w:name="ksfilename2"/>
        <w:bookmarkEnd w:id="2"/>
        <w:bookmarkEnd w:id="3"/>
        <w:r>
          <w:rPr>
            <w:rStyle w:val="InternetLink"/>
            <w:b/>
            <w:sz w:val="20"/>
          </w:rPr>
          <w:t>Table of Contents</w:t>
        </w:r>
      </w:hyperlink>
      <w:r>
        <w:br w:type="page"/>
      </w:r>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Information contained herein is subject to completion or amendment. A registration statement on Form 10 relating to these securities has been filed with the Securities and Exchange Commission under the Securities Exchange Act of 1934, as amended, but has not yet become effective.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 Information Statement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July 21, 2025)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INFORMATION STATEMENT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579245" cy="1054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79245" cy="1054100"/>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36"/>
        </w:rPr>
      </w:pPr>
      <w:r>
        <w:rPr>
          <w:rFonts w:ascii="Times New Roman" w:hAnsi="Times New Roman"/>
          <w:b/>
          <w:sz w:val="36"/>
        </w:rPr>
        <w:t xml:space="preserve">Versant Media Group, Inc. </w:t>
      </w:r>
    </w:p>
    <w:p>
      <w:pPr>
        <w:pStyle w:val="TextBody"/>
        <w:bidi w:val="0"/>
        <w:spacing w:before="120" w:after="0"/>
        <w:ind w:left="960" w:right="960" w:hanging="0"/>
        <w:jc w:val="center"/>
        <w:rPr>
          <w:rFonts w:ascii="Times New Roman" w:hAnsi="Times New Roman"/>
          <w:b/>
          <w:sz w:val="20"/>
        </w:rPr>
      </w:pPr>
      <w:r>
        <w:rPr>
          <w:rFonts w:ascii="Times New Roman" w:hAnsi="Times New Roman"/>
          <w:b/>
          <w:sz w:val="20"/>
        </w:rPr>
        <w:t xml:space="preserve">Class A common stock, par value $0.01 per share </w:t>
      </w:r>
    </w:p>
    <w:p>
      <w:pPr>
        <w:pStyle w:val="TextBody"/>
        <w:bidi w:val="0"/>
        <w:spacing w:before="0" w:after="0"/>
        <w:ind w:left="960" w:right="960" w:hanging="0"/>
        <w:jc w:val="center"/>
        <w:rPr>
          <w:rFonts w:ascii="Times New Roman" w:hAnsi="Times New Roman"/>
          <w:b/>
          <w:sz w:val="20"/>
        </w:rPr>
      </w:pPr>
      <w:r>
        <w:rPr>
          <w:rFonts w:ascii="Times New Roman" w:hAnsi="Times New Roman"/>
          <w:b/>
          <w:sz w:val="20"/>
        </w:rPr>
        <w:t xml:space="preserve">Class B common stock, par value $0.01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Comcast Corporation (Comcast) is furnishing this information statement in connection with the separation of certain cable television networks and complementary digital platforms from its remaining businesses, and the creation of an independent, publicly traded company named Versant Media Group, Inc. (Versant). Historically, this business has not been operated as a distinct business unit or division of Comcast. As a result, Comcast is undertaking a series of corporate reorganization transactions (the Transactions) in anticipation of the Distribution, which require strategic and structural realignment within Comcasts operations. Following the Transactions, Versant, directly or indirectly through its subsidiaries, will hold the assets, liabilities and legal entities comprising the Spin Business (as defined herein). Versant is currently a wholly owned subsidiary of Comcast.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All of the shares of Versant Class A common stock, par value $0.01 per share (the Versant Class A common stock), and Versant Class B common stock, par value $0.01 per share (the Versant Class B common stock and, together with the Versant Class A common stock, the Versant common stock), will be distributed, respectively, to the holders of Comcast Class A common stock, par value $0.01 per share (the Comcast Class A common stock), and holders of Comcast Class B common stock, par value $0.01 per share (the Comcast Class B common stock and, together with the Comcast Class A common stock, the Comcast common stock), of record as of the close of business on     , 2025, the record date (the Distribution and, together with the Transactions, the Separation). 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Each of Comcasts shareholders as of the record date will be entitled to receive    share(s) of Versant Class A common stock or Versant Class B common stock for every    share(s) of Comcast Class A common stock or Comcast Class B common stock, respectively, held by such shareholder on the record date.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The Distribution is expected to be completed after the close of trading on        on    , 2025. Upon the effectiveness of the Distribution, Versant will be an independent, publicly traded company. We expect that, for U.S. federal income tax purposes, no gain or loss will be recognized by you, and no amount will be included in your income in connection with the Distribution, except to the extent of any cash you receive in lieu of fractional shares of Versant common stock.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No vote or other action is required by you to receive shares of Versant common stock in the Distribution. You will not be required to pay anything for the new shares of Versant common stock or to surrender any of your shares of Comcast common stock. We are not asking you for a proxy and you should not send us a proxy.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There currently is no trading market for Versant Class A common stock. Versant intends to apply to have its shares of Class A common stock listed on        under the ticker symbol       . Assuming        authorizes Versant Class A common stock for listing, we anticipate that a limited market, commonly known as a when-issued trading market, for Versant Class A common stock will commence on     , 2025 and will continue up to and including the Distribution Date (as defined herein). We expect the regular-way trading of Versant Class A common stock will begin on the first trading day following the Distribution Date.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i/>
          <w:sz w:val="18"/>
        </w:rPr>
        <w:t>In reviewing this information statement, you should carefully consider the matters described under the caption </w:t>
      </w:r>
      <w:hyperlink w:anchor="tx894612_4">
        <w:r>
          <w:rPr>
            <w:rStyle w:val="InternetLink"/>
            <w:rFonts w:ascii="Times New Roman" w:hAnsi="Times New Roman"/>
            <w:b/>
            <w:i/>
            <w:sz w:val="18"/>
          </w:rPr>
          <w:t>Risk Factors</w:t>
        </w:r>
      </w:hyperlink>
      <w:r>
        <w:rPr>
          <w:rFonts w:ascii="Times New Roman" w:hAnsi="Times New Roman"/>
          <w:b/>
          <w:i/>
          <w:sz w:val="18"/>
        </w:rPr>
        <w:t xml:space="preserve"> beginning on page 21.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Neither the U.S. Securities and Exchange Commission (SEC) nor any state securities commission has approved or disapproved these securities or determined if this information statement is truthful or complete. Any representation to the contrary is a criminal offense.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This information statement does not constitute an offer to sell or the solicitation of an offer to buy any securities. </w:t>
      </w:r>
    </w:p>
    <w:p>
      <w:pPr>
        <w:pStyle w:val="TextBody"/>
        <w:bidi w:val="0"/>
        <w:spacing w:before="120" w:after="0"/>
        <w:ind w:left="960" w:right="960" w:hanging="0"/>
        <w:jc w:val="center"/>
        <w:rPr>
          <w:rFonts w:ascii="Times New Roman" w:hAnsi="Times New Roman"/>
          <w:sz w:val="18"/>
        </w:rPr>
      </w:pPr>
      <w:r>
        <w:rPr>
          <w:rFonts w:ascii="Times New Roman" w:hAnsi="Times New Roman"/>
          <w:sz w:val="18"/>
        </w:rPr>
        <w:t xml:space="preserve">The date of this information statement is     , 2025.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A Notice of Internet Availability of Information Statement Materials containing instructions describing how to access the information statement was first made available to Comcast shareholders on or about     , 2025. </w:t>
      </w:r>
    </w:p>
    <w:p>
      <w:pPr>
        <w:pStyle w:val="TextBody"/>
        <w:bidi w:val="0"/>
        <w:spacing w:before="0" w:after="0"/>
        <w:ind w:left="960" w:right="960" w:hanging="0"/>
        <w:jc w:val="left"/>
        <w:rPr/>
      </w:pPr>
      <w:r>
        <w:rPr/>
        <w:t>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4" w:name="toc"/>
      <w:bookmarkEnd w:id="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08"/>
        <w:gridCol w:w="249"/>
        <w:gridCol w:w="66"/>
        <w:gridCol w:w="420"/>
        <w:gridCol w:w="62"/>
      </w:tblGrid>
      <w:tr>
        <w:trPr/>
        <w:tc>
          <w:tcPr>
            <w:tcW w:w="9408"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08"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486"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1">
              <w:r>
                <w:rPr>
                  <w:rStyle w:val="InternetLink"/>
                  <w:rFonts w:ascii="Times New Roman" w:hAnsi="Times New Roman"/>
                  <w:sz w:val="20"/>
                </w:rPr>
                <w:t>Presentation of Financial and Other Information</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2">
              <w:r>
                <w:rPr>
                  <w:rStyle w:val="InternetLink"/>
                  <w:rFonts w:ascii="Times New Roman" w:hAnsi="Times New Roman"/>
                  <w:sz w:val="20"/>
                </w:rPr>
                <w:t>Special Note Regarding Forward-Looking Statements</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iv</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3">
              <w:r>
                <w:rPr>
                  <w:rStyle w:val="InternetLink"/>
                  <w:rFonts w:ascii="Times New Roman" w:hAnsi="Times New Roman"/>
                  <w:sz w:val="20"/>
                </w:rPr>
                <w:t>Summary</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4">
              <w:r>
                <w:rPr>
                  <w:rStyle w:val="InternetLink"/>
                  <w:rFonts w:ascii="Times New Roman" w:hAnsi="Times New Roman"/>
                  <w:sz w:val="20"/>
                </w:rPr>
                <w:t>Risk Factors</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5">
              <w:r>
                <w:rPr>
                  <w:rStyle w:val="InternetLink"/>
                  <w:rFonts w:ascii="Times New Roman" w:hAnsi="Times New Roman"/>
                  <w:sz w:val="20"/>
                </w:rPr>
                <w:t>The Separation</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6">
              <w:r>
                <w:rPr>
                  <w:rStyle w:val="InternetLink"/>
                  <w:rFonts w:ascii="Times New Roman" w:hAnsi="Times New Roman"/>
                  <w:sz w:val="20"/>
                </w:rPr>
                <w:t>Dividend Policy</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7">
              <w:r>
                <w:rPr>
                  <w:rStyle w:val="InternetLink"/>
                  <w:rFonts w:ascii="Times New Roman" w:hAnsi="Times New Roman"/>
                  <w:sz w:val="20"/>
                </w:rPr>
                <w:t>Capitalization</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8">
              <w:r>
                <w:rPr>
                  <w:rStyle w:val="InternetLink"/>
                  <w:rFonts w:ascii="Times New Roman" w:hAnsi="Times New Roman"/>
                  <w:sz w:val="20"/>
                </w:rPr>
                <w:t>Unaudited Pro Forma Combined Financial Statements</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9">
              <w:r>
                <w:rPr>
                  <w:rStyle w:val="InternetLink"/>
                  <w:rFonts w:ascii="Times New Roman" w:hAnsi="Times New Roman"/>
                  <w:sz w:val="20"/>
                </w:rPr>
                <w:t>Managements Discussion and Analysis of Financial Condition and Results of Operations</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10">
              <w:r>
                <w:rPr>
                  <w:rStyle w:val="InternetLink"/>
                  <w:rFonts w:ascii="Times New Roman" w:hAnsi="Times New Roman"/>
                  <w:sz w:val="20"/>
                </w:rPr>
                <w:t>Business</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76</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11">
              <w:r>
                <w:rPr>
                  <w:rStyle w:val="InternetLink"/>
                  <w:rFonts w:ascii="Times New Roman" w:hAnsi="Times New Roman"/>
                  <w:sz w:val="20"/>
                </w:rPr>
                <w:t>Management</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12">
              <w:r>
                <w:rPr>
                  <w:rStyle w:val="InternetLink"/>
                  <w:rFonts w:ascii="Times New Roman" w:hAnsi="Times New Roman"/>
                  <w:sz w:val="20"/>
                </w:rPr>
                <w:t>Compensation Discussion and Analysis</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13">
              <w:r>
                <w:rPr>
                  <w:rStyle w:val="InternetLink"/>
                  <w:rFonts w:ascii="Times New Roman" w:hAnsi="Times New Roman"/>
                  <w:sz w:val="20"/>
                </w:rPr>
                <w:t>Certain Relationships and Related Party Transactions</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100</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14">
              <w:r>
                <w:rPr>
                  <w:rStyle w:val="InternetLink"/>
                  <w:rFonts w:ascii="Times New Roman" w:hAnsi="Times New Roman"/>
                  <w:sz w:val="20"/>
                </w:rPr>
                <w:t>Ownership of Common Stock by Certain Beneficial Owners and Management</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101</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15">
              <w:r>
                <w:rPr>
                  <w:rStyle w:val="InternetLink"/>
                  <w:rFonts w:ascii="Times New Roman" w:hAnsi="Times New Roman"/>
                  <w:sz w:val="20"/>
                </w:rPr>
                <w:t>Description of Material Indebtedness</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103</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16">
              <w:r>
                <w:rPr>
                  <w:rStyle w:val="InternetLink"/>
                  <w:rFonts w:ascii="Times New Roman" w:hAnsi="Times New Roman"/>
                  <w:sz w:val="20"/>
                </w:rPr>
                <w:t>Description of Capital Stock</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104</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17">
              <w:r>
                <w:rPr>
                  <w:rStyle w:val="InternetLink"/>
                  <w:rFonts w:ascii="Times New Roman" w:hAnsi="Times New Roman"/>
                  <w:sz w:val="20"/>
                </w:rPr>
                <w:t>Where You Can Find More Information</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111</w:t>
            </w:r>
          </w:p>
        </w:tc>
        <w:tc>
          <w:tcPr>
            <w:tcW w:w="62" w:type="dxa"/>
            <w:tcBorders/>
            <w:vAlign w:val="bottom"/>
          </w:tcPr>
          <w:p>
            <w:pPr>
              <w:pStyle w:val="TableContents"/>
              <w:bidi w:val="0"/>
              <w:spacing w:before="0" w:after="283"/>
              <w:jc w:val="left"/>
              <w:rPr/>
            </w:pPr>
            <w:r>
              <w:rPr/>
              <w:t> </w:t>
            </w:r>
          </w:p>
        </w:tc>
      </w:tr>
      <w:tr>
        <w:trPr/>
        <w:tc>
          <w:tcPr>
            <w:tcW w:w="9408" w:type="dxa"/>
            <w:tcBorders/>
            <w:vAlign w:val="bottom"/>
          </w:tcPr>
          <w:p>
            <w:pPr>
              <w:pStyle w:val="TableContents"/>
              <w:bidi w:val="0"/>
              <w:spacing w:before="0" w:after="0"/>
              <w:jc w:val="left"/>
              <w:rPr/>
            </w:pPr>
            <w:hyperlink w:anchor="tx894612_18">
              <w:r>
                <w:rPr>
                  <w:rStyle w:val="InternetLink"/>
                  <w:rFonts w:ascii="Times New Roman" w:hAnsi="Times New Roman"/>
                  <w:sz w:val="20"/>
                </w:rPr>
                <w:t>Index to Audited Combined Financial Statements</w:t>
              </w:r>
            </w:hyperlink>
          </w:p>
        </w:tc>
        <w:tc>
          <w:tcPr>
            <w:tcW w:w="24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5" w:name="tx894612_1"/>
      <w:bookmarkEnd w:id="5"/>
      <w:r>
        <w:rPr>
          <w:rFonts w:ascii="Times New Roman" w:hAnsi="Times New Roman"/>
          <w:b/>
          <w:sz w:val="20"/>
        </w:rPr>
        <w:t xml:space="preserve">PRESENTATION OF FINANCIAL AND OTHER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We use the following terms to refer to the items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 our, Company, and Versant, unless the context otherwise requires, refer to Versant Media Group, Inc., the entity that, after giving effect to the Transactions, will hold, directly or indirectly through its subsidiaries, the assets and liabilities comprising the Spin Business, as defined below, and the shares of common stock of which Comcast will distribute in connection with the Separation. Where appropriate given the context, the foregoing terms also include the subsidiaries of this entity; these terms may be used to describe the Spin Business prior to completion of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 Business refers to the business, operations, products, services and activities of certain of Comcasts cable television networks, including MSNBC, CNBC, USA Network, Golf Channel, E!, SYFY and Oxygen, and complementary digital platforms, including GolfNow, Fandango, Rotten Tomatoes and SportsEngine. See Business for more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Comcast common stock means, together, Comcast Class A common stock and Comcast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Versant common stock means, together, Versant Class A common stock and Versant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where the context otherwise requires, the term Comcast refers to Comcast, the entity that owns Versant prior to the Separation and that after the Separation will remain a separately traded public company consisting of its remaining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Distribution refers to the distribution of all of the shares of Versant common stock owned by Comcast to the holders of Comcast common stock as of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Transactions refers to the series of corporate reorganization transactions which will result in the assets, liabilities and legal entities comprising the Spin Business being owned directly or indirectly by Versant.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where the context otherwise requires, the term Separation refers to the separation of the Spin Business from Comcast and the creation of an independent, publicly traded company named Versant, through the consummation of the Transactions and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Distribution Date means the date on which the Distribution occurs.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Trademarks and Trade Names </w:t>
      </w:r>
    </w:p>
    <w:p>
      <w:pPr>
        <w:pStyle w:val="TextBody"/>
        <w:bidi w:val="0"/>
        <w:spacing w:before="120" w:after="0"/>
        <w:jc w:val="left"/>
        <w:rPr>
          <w:rFonts w:ascii="Times New Roman" w:hAnsi="Times New Roman"/>
          <w:sz w:val="20"/>
        </w:rPr>
      </w:pPr>
      <w:r>
        <w:rPr>
          <w:rFonts w:ascii="Times New Roman" w:hAnsi="Times New Roman"/>
          <w:sz w:val="20"/>
        </w:rPr>
        <w:t xml:space="preserve">We own and license various trademark registrations, trademark applications and unregistered trademarks. All other trade names, trademarks and service marks of other companies appearing in this information statement are the property of their respective holders. Solely for convenience, the trademarks and trade names in this information statement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Market and Industry Data </w:t>
      </w:r>
    </w:p>
    <w:p>
      <w:pPr>
        <w:pStyle w:val="TextBody"/>
        <w:bidi w:val="0"/>
        <w:spacing w:before="120" w:after="0"/>
        <w:jc w:val="left"/>
        <w:rPr>
          <w:rFonts w:ascii="Times New Roman" w:hAnsi="Times New Roman"/>
          <w:sz w:val="20"/>
        </w:rPr>
      </w:pPr>
      <w:r>
        <w:rPr>
          <w:rFonts w:ascii="Times New Roman" w:hAnsi="Times New Roman"/>
          <w:sz w:val="20"/>
        </w:rPr>
        <w:t xml:space="preserve">This information statement includes industry and market data that we obtained from industry publications, third-party studies and surveys, such as from The Nielsen Company (US), LLC (Nielsen) and Comscore, Inc. (comScore), as well as internal analysis. Industry publications and surveys generally state that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contained therein has been obtained from sources believed to be reliable. Each publication, study and report speaks as of its original publication date (and not as of the date of this information statement). While we are not aware of any misstatements regarding the industry or market data presented herein, such data and estimates, particularly as they relate to market size, market growth and our general expectations, involve important risks, uncertainties and assumptions and are subject to change based on various factors, including those discussed under the headings Risk Factors, Special Note Regarding Forward-Looking Information, and Managements Discussion and Analysis of Financial Condition and Results of Operations in this information statement. These and other factors could cause results to differ materially from those expressed in the estimates and beliefs made by third parties and by us. </w:t>
      </w:r>
    </w:p>
    <w:p>
      <w:pPr>
        <w:pStyle w:val="TextBody"/>
        <w:bidi w:val="0"/>
        <w:spacing w:before="360" w:after="0"/>
        <w:jc w:val="left"/>
        <w:rPr>
          <w:rFonts w:ascii="Times New Roman" w:hAnsi="Times New Roman"/>
          <w:b/>
          <w:sz w:val="20"/>
        </w:rPr>
      </w:pPr>
      <w:r>
        <w:rPr>
          <w:rFonts w:ascii="Times New Roman" w:hAnsi="Times New Roman"/>
          <w:b/>
          <w:sz w:val="20"/>
        </w:rPr>
        <w:t xml:space="preserve">Historical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financial information of Versant has not been included in this information statement as, from its formation on May 1, 2025 to the date of this information statement, Versant has had no material assets, liabilities, operations, business transactions or activities other than those taken in contemplation of the Separation and those incidental to the preparation of this information statement and the registration statement on Form 10 to which this information statement is filed as an exhibit.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results provided throughout this information statement that are in accordance with generally accepted accounting principles in the United States (GAAP), we use Adjusted EBITDA, which is a non-GAAP financial measure, in this information statement. Adjusted EBITDA should not be considered in isolation, or as a substitute for our results as reported under GAAP. See Managements Discussion and Analysis of Financial Condition and Results of OperationNon-GAAP Financial Measures for a discussion on how we define and calculate Adjusted EBITDA, why we believe this measure is important and a reconciliation of the most directly comparable GAAP measure. Adjusted EBITDA should be read in conjunction with our audited combined financial statements and accompanying notes included elsewhere in this information statement, SummarySummary Combined Financial and Other Data, Managements Discussion and Analysis of Financial Condition and Results of Operations and Unaudited Pro Forma Condensed Combined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Rounding </w:t>
      </w:r>
    </w:p>
    <w:p>
      <w:pPr>
        <w:pStyle w:val="TextBody"/>
        <w:bidi w:val="0"/>
        <w:spacing w:before="120" w:after="0"/>
        <w:jc w:val="left"/>
        <w:rPr>
          <w:rFonts w:ascii="Times New Roman" w:hAnsi="Times New Roman"/>
          <w:sz w:val="20"/>
        </w:rPr>
      </w:pPr>
      <w:r>
        <w:rPr>
          <w:rFonts w:ascii="Times New Roman" w:hAnsi="Times New Roman"/>
          <w:sz w:val="20"/>
        </w:rPr>
        <w:t xml:space="preserve">Numerical information in this report is presented on a rounded basis using actual amounts. Minor differences in totals and percentage calculations may exist due to rounding.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6" w:name="tx894612_2"/>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have made statements under the captions Summary, Risk Factors, Managements Discussion and Analysis of Financial Condition and Results of Operations, Business and in other sections of this information statement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forecasts or assumptions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the numerous risks discussed under the caption entitled Risk Factors.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Except as required by law, neither Comcast is nor we are under any duty to update any of these forward-looking statements after the date of this information statement to conform our prior statements to actual results or revised expectations.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bdr w:val="single" w:sz="8" w:space="1" w:color="000000"/>
        </w:rPr>
      </w:pPr>
      <w:bookmarkStart w:id="7" w:name="tx894612_3"/>
      <w:bookmarkEnd w:id="7"/>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this information statement. This summary does not contain all of the information that you should consider. You should read this entire information statement carefully, especially the risks of owning our common stock discussed under Risk Factors and our audited combined financial statements, our unaudited pro forma combined financial statements and the respective notes to those statements appearing elsewhere in this information statement. Except as otherwise indicated or unless the context otherwise requires, the information included in this information statement assumes the completion of all the transactions referred to in this information statement in connection with the Separation.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Over the past 45 years, we have developed and operated iconic and award-winning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Managements Discussion and Analysis of Financial Condition and Results of OperationNon-GAAP Financial Measures.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Brands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strong portfolio of brands delivers compelling news, sports and entertainment content that we distribute through our networks and digital platforms: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MSNBC is a premier destination for politics, news and opinion through informed, distinct perspectives and analysis. MSNBC operates across multiple media platforms: multichannel video programming distributors (MVPDs), digital, social platforms, podcasts and live events. With highly loyal and engaged audiences representing over 14 million viewers weekly in 2024 according to Nielsen, MSNBC is home to many of the countrys most influential political news programs that shape daily public discourse.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CNBC is a global leader in business and personal finance news, with real-time financial market coverage and analysis. Business coverage through franchises such as Squawk Box, Squawk on the Street, Closing Bell and Mad Money has made CNBC a critical resource for business leaders and investors. In addition, CNBC has successfully expanded its audience through a portfolio of branded products, including direct-to-consumer streaming services, investing club, podcasts, conferences and other live events.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USA Network is a multiplatform destination for leading sports, entertainment and live event programming, including WWE Smackdown, NASCAR, the WNBA (starting with the 2026 season),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golf, including the U.S. Open, Open Championship and the Ryder Cup, the Premier League, college basketball and the Olympics. USA Network has been a top-five cable entertainment network each year for the past 30 years.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Golf Channel is a premier destination for live golf and related content, including news, instruction, documentaries and library programming. Its content is distributed on a variety of platforms to millions of viewers in more than 50 countries. Golf Channel celebrated its 30th anniversary in 2025, making it the longest-running single-sport television network.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GolfNow is one of the largest online tee time marketplaces in the world, helping golfers and golf courses better connect by offering tee time bookings at over 9,000 courses worldwide. GolfNow also offers golf course technology and related services to help streamline course operations, including solutions that facilitate on-site payments for tee times, food and beverage and merchandise.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SportsEngine is a suite of digital products and services that facilitate management of youth sport leagues, teams, participants and their families, and the processing of related payments. Through its innovative technology, SportsEngine has revolutionized how youth sports leaders operate organizations, teams and leagues. More than 8 million athletes and over 25,000 organizations rely on SportsEngines software solutions.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 is a multiplatform destination for all things pop culture serving audiences through news, unscripted originals, live events and high-profile acquired content, such as Sex and the City and a variety of primarily female-focused films. With a history of multiplatform digital and social content expertise, E! News Digital delivers audience, scale and premium content to fans across owned and third-party digital and social platforms.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SYFY is a premier science fiction genre destination serving passionate audiences with science fiction, fantasy, action, adventure, paranormal and superhero programming, along with fan-focused theatrical franchises. SYFY provides content on a multiplatform basis through SYFYs network and related digital services.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Oxygen True Crime is a multiplatform brand featuring popular true crime programming, including the flagship Snapped franchise, Cold Justice, Killer Relationship with Faith Jenkins and breakout event specials such as The Pike County Murders: A Family Massacre, Selena &amp; Yolanda: The Secrets Between Them and The Disappearance of Alissa Turney. Oxygen True Crime was the second most-viewed true crime network in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Fandango Media is the ultimate online resource for all things movies and television. Fandango Media served approximately 40 million unique visitors per month in 2024, according to comScore, with best-in-class movie and television information, movie ticketing to over 31,000 U.S. screens, trailers and original video and home entertainment.1 Fandango Media includes Rotten Tomatoes, one of the worlds most trusted sources of movie and television reviews.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How We Generate Revenue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Linear Distribution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1"/>
        <w:gridCol w:w="9994"/>
      </w:tblGrid>
      <w:tr>
        <w:trPr/>
        <w:tc>
          <w:tcPr>
            <w:tcW w:w="211" w:type="dxa"/>
            <w:tcBorders/>
          </w:tcPr>
          <w:p>
            <w:pPr>
              <w:pStyle w:val="TableContents"/>
              <w:bidi w:val="0"/>
              <w:spacing w:before="0" w:after="283"/>
              <w:jc w:val="left"/>
              <w:rPr/>
            </w:pPr>
            <w:r>
              <w:rPr/>
              <w:t>1 </w:t>
            </w:r>
          </w:p>
        </w:tc>
        <w:tc>
          <w:tcPr>
            <w:tcW w:w="9994" w:type="dxa"/>
            <w:tcBorders/>
          </w:tcPr>
          <w:p>
            <w:pPr>
              <w:pStyle w:val="TableContents"/>
              <w:bidi w:val="0"/>
              <w:spacing w:before="0" w:after="0"/>
              <w:jc w:val="left"/>
              <w:rPr>
                <w:rFonts w:ascii="Times New Roman" w:hAnsi="Times New Roman"/>
                <w:sz w:val="20"/>
              </w:rPr>
            </w:pPr>
            <w:r>
              <w:rPr>
                <w:rFonts w:ascii="Times New Roman" w:hAnsi="Times New Roman"/>
                <w:i/>
                <w:sz w:val="20"/>
              </w:rPr>
              <w:t>Source: Comscore Media Metrix Multi-Platform, July 2024  August 2024, Desktop &amp; Mobile excluding Social Incremental, Monthly Unique Visitors, Desktop 2+ and Total Mobile 18+, [C] Fandango Sites.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Advertising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generate revenue through sales of advertising on our networks and digital platforms. The price charged for each advertising unit on our networks is generally based on audience ratings, the value of our audiences to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advertisers, the quality of our programming and brand building capabilities, any viewer targeting and addressability capabilities and the number of advertising units we can place in our networks programming schedules. Advertising revenue is also generated from advertisements displayed during visits to website pages or application visits.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Platforms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generate revenue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Content Licensing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generate revenue through licensing our owned content to third parties, including television networks, streaming services and other platforms, and licensing audio feeds of our programming and audio content to digital platforms.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How We Acquire Content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produce, license and acquire the news, sports and entertainment programming and related content that we distribute across our platforms through a mix of internal production, third-party licensing and rights agreements and work-for-hire contracts.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News Programming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generally produce our own news programming through our in-house news bureaus and editorial teams, supported by our ongoing relationships with global reporting agencies. We directly hire on-air talent as well as research, technical and production staff to provide quality news programming. This model is designed to enable in-depth reporting and political analysis while streamlining production costs.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Sports Programming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sports programming and related content is typically licensed under multiyear contractual agreements with the relevant sports leagues, and is produced by a combination of in-house and third-party teams. Following the Separation, for sports programming displayed on our networks and platforms that remains covered by an agreement between NBCUniversal (including its subsidiaries) and the relevant sports league, NBCUniversal will enter into time purchase agreements with us on standard market terms pursuant to which NBCUniversal is permitted to exhibit such content on our networks and platforms. See BusinessHow We Acquire ContentSports Programming for more information.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Entertainment Programming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source the majority of our entertainment programming and related content pursuant to agreements with film and television studios, production companies and other rights holders. These agreements are of varying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respect to unscripted content, we generally engage third-party producers and studios to create programming on a work-for-hire basis, the rights to which we own upon delivery. We air such content on our networks and also license it to third parties for further distribution.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Competitive Strengths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Expansive Audience Scale Generated Through Highly Recognized Brands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brands have significant audience reach and scale across our core markets, with more than 60 million viewers having watched content on a Versant network each week in 2024. To put this audience reach and scale into perspective, our viewers watched over 10 billion hours of programming on our networks during 2024, which surpassed aggregate viewership for several prominent streaming services. Most of these hours are spent on live sports and news genres, which have demonstrated resilience of ratings. Versant has attracted these audiences through an array of iconic brands, anchoring the content we produce and distribute. We have a long-standing history of providing timely, relevant and high-quality content to our valued audiences, and they have reciprocated with strong brand loyalty and engagement.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news, sports and entertainment brands, together with their associated programming, resonate deeply with audiences and consumers and are commercially important for distributors and advertisers. As a result, Versant generates significant value across a variety of revenue streams, including linear distribution, advertising, platforms and content licensing.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Deep Relationships with Our Customers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long-standing and well-established consumer relationships in our core markets. Each of our networks is among the most watched within its competitive set. For example, MSNBC enjoys the second highest audience engagement, measured by the average weekly watch time per viewer, among cable networks. Golf Channel airs more live golf for golf fans than all other U.S. television networks combined.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Backed by deep knowledge of our audiences and the strength of our brands, we have successfully evolved content offerings to reflect changing consumer preferences and technological innovations. We have developed leading presence on digital platforms, complementing the success of our networks. MSNBC is the number one news brand on YouTube, while CNBC has had the number one business website, based on total minutes of consumption, for four consecutive years. E! News Digital is the most followed pop culture news brand on social platforms.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Furthermore, we have built upon the depth and breadth of our audience engagement through commerce, transactional and other related services, both for end-users and businesses. For example, we expanded our relationship with golf fans, originally established through the Golf Channel network, through GolfNows leading tee time reservation and golf course management technology platform.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Differentiated News, Sports and Entertainment Programming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MSNBC and CNBC provide some of the most recognizable journalism in the industry, spanning national and international news, business, politics and culture. Our news brands serve as a vital source of information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millions of viewers daily, which in turn strengthens advertiser relationships and increases appeal to distributors. We expect to build upon our existing news audience leadership with continued exceptional journalism and development of innovative consumer experiences reflecting the preeminence of our brands.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premium sports content, spearheaded by USA Network and Golf Channel, is a key competitive strength. This sports programming includes the Premier League, golf events such as PGA Tour tournaments, The Open Championship and the Ryder Cup, college basketball, the WNBA (starting with the 2026 season) and the Olympics. Our sports coverage creates meaningful connections with fans, drives strong viewer engagement and provides valuable opportunities for advertisers. With exclusive, long-term partnerships with top sports leagues, we offer unique viewership experiences unavailable elsewhere. We have rights to currently airing major sports content and properties that extend through 2029 or into the 2030s, providing long-term business visibility and assurance. Additionally, we will evaluate opportunities to supplement our sports rights portfolio, with a commitment to compelling economics and shareholder value.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high-quality entertainment offerings, including USA Network, SYFY, E! and Oxygen True Crime, we attract large, engaged multiplatform audiences passionate about specific content such as crime, true crime, science-fiction and pop culture. USA Network has been a top-five entertainment cable network each year for the past 30 years. In 2024, E! News Digital generated 11 billion video views across all digital platforms with one of the largest shares of millennial and Gen Z audiences across comparable networks.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strength of and demand for our content lead to monetization across a variety of distribution channels, including through agreements we have in place with major traditional and virtual MVPDs. We believe we are well-positioned to renew these agreements upon relevant expirations given the popularity of our programming and will seek to continue to expand the ways in which our content is distributed. Our leading content across news, sports and entertainment serves as a significant source of differentiation in a crowded media landscape.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Growing, Market Leading Digital Platforms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digital platforms are led by GolfNow, Fandango, Rotten Tomatoes and SportsEngine, which are market leaders in their respective categories with significant name recognition and prominence among consumers and businesses alike. Each is an innovative technology platform to facilitate consumer transactions and service critical stakeholders in our core markets. We also continue to expand digital product offerings and audiences with our other brands, including CNBC, MSNBC and E!. We believe our digital platforms have significant growth opportunity remaining, both from underlying market growth and continued share gains.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Strong Balance Sheet and Operating Performance Provides Us Financial and Strategic Flexibility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well-capitalized business bolstered by multiple revenue streams, significant operating cash flows and a robust balance sheet. Our cash flow profile and ample liquidity will afford us significant optionality in investing across our business, whether through organic or inorganic growth strategies. Following the Separation, we expect to have the capacity to return capital to shareholders.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Experienced Management Team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company is led by an experienced management team with a proven track record, deep industry expertise and a forward-thinking approach to the business. The depth of experience within our management team serves as a significant source of differentiation. Our managements strategic direction is focused on innovation, enhancing operational efficiency and maximizing long-term shareholder value.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Strategies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leverage our brands to maintain our leadership position and expand our business through the following strategies.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Develop Premier Content for Target Audiences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programming will focus on core audiences in political news and opinion; business news and personal finance; golf and athletics participation; and sports and genre entertainment.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year ended December 31, 2024, news and sports content accounted for approximately 60% of our audience engagement. We believe these markets will remain core to our success, benefitting from Versants platforms strength and leadership across news and sports. MSNBC has ranked as a top two cable network by hours watched for each of the past seven years, CNBC is a recognized world leader in business news, and both USA Network and Golf Channel are top destinations for marquee sports programming.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expect to continue to invest in the high-quality news programming that has allowed us to build an engaged, loyal audience, and we will evaluate opportunities to secure additional sports rights that benefit from our broad reach and promotional platforms. We believe that by continuing to provide engaging news and sports programming, we will enhance our relationships with critical stakeholders, including consumers, distributors, advertisers, subscribers and licensees.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Through our entertainment cable networks and associated digital services, we attract some of the largest audiences industry-wide for prominent genres, notably crime, true crime, science fiction and pop culture programming. In 2024, Oxygen was the second most-viewed true crime network on TV and SYFY attracted double the audience of other science-fiction focused networks. We expect to continue investing in programming within these genres for distribution on our networks and digital platforms as well as through third parties.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Leverage our Brands and Content for Complementary and Incremental Distribution, Expanding Our Audience and Revenues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we continue to believe that MVPD bundles provide high value to our consumers, we understand that audiences increasingly consume content across a variety of digital platforms. Through Versants premier programming and brands, we plan to expand our audience reach through digital platforms such as advertising-supported-video-on-demand (AVOD), subscription-video-on-demand (SVOD) and free-advertising-supported-streaming-television (FAST), as well as other distribution methods, including over-the-air (OTA) and live events. Building our presence on these platforms will further strengthen our business model.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Deepen Customer Relationships and Monetization through Complementary Transactional, Commerce and Experiential Services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digital platforms, led by GolfNow, Fandango, Rotten Tomatoes and SportsEngine, have successfully delivered new value-added, monetizable services for core audiences. We expect to continue growing and expanding these businesses, helping to fuel long-term success. These digital brands are leaders in their industries and complement our television networks. For example, GolfNow acquires customers efficiently through promotion and content integration on the Golf Channel, with its highly engaged audience of golf fans. GolfNow adds new monetization vehicles, largely transaction and technology fees, to Golf Channels distribution and advertising revenue. In addition, GolfNow usage enables additional consumer golf activity, which typically leads to increased viewership of the Golf Channel network. Fandangos leading ticketing service and the Fandango at Home media platforms complement our networks, engaging fans of entertainment content. SportsEngine enhances our sports leadership in the youth sports participation market and builds upon our relationships with sports viewers. We also see opportunities to continue to expand our product offerings leveraging other brands, as we have with CNBCs branded streaming services, investing club, podcasts, conferences and live events.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Pursue Disciplined Acquisitions and Investments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leader in our industry, we are well-positioned to pursue opportunistic and disciplined acquisitions and other investments that align with our core strategy, improve our competitive positioning in the market, enhance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portfolio with complementary brands, and most importantly, deliver attractive returns for our shareholders through synergistic improvements to our top line trajectory and cash flow profile.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Separation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November 20, 2024, Comcast announced a plan to distribute to Comcasts shareholders all of the shares of common stock of a newly formed company, Versant, that would hold the Spin Business. Versant is currently a wholly owned subsidiary of Comcast that, after giving effect to the Transactions, will hold, directly or indirectly through its subsidiaries, the assets, liabilities and legal entities comprising the Spin Business.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Separation will be achieved through the transfer of the assets and liabilities comprising the Spin Business to Versant or its subsidiaries in the Transactions. After the Transactions are consummated, all of the shares of Versant Class A common stock and Versant Class B common stock owned by Comcast will be distributed to the holders of Comcast Class A common stock and holders of Comcast Class B common stock of record, respectively, as of the close of business on the record date of     , 2025 (the Distribution and, together with the Transactions, the Separation). Each of Comcasts shareholders as of the record date will be entitled to receive    share(s) of Versant Class A common stock or Versant Class B common stock for every    share(s) of Comcast Class A common stock or Comcast Class B common stock, respectively, held by such shareholder on the record date. Immediately following the Separation, holders of Comcast common stock prior to the Distribution will own 100% of the issued and outstanding shares of Versant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after the Separation. Versant and Comcast will also enter into a Transition Services Agreement, which will set forth the terms under which Comcast will provide to Versant certain services or functions on a transitional basis that the companies historically have shared. For additional information, see The SeparationAgreements with Comcast.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Comcast Board of Directors (the Comcast Board) believes separating the Spin Business from Comcasts other businesses is in the best interests of Comcast and its shareholders and that the Separation will provide Comcast and Versant with a number of potential opportunities and benefits, including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Strategic Focus</w:t>
            </w:r>
            <w:r>
              <w:rPr>
                <w:rFonts w:ascii="Times New Roman" w:hAnsi="Times New Roman"/>
                <w:sz w:val="20"/>
              </w:rPr>
              <w:t xml:space="preserve">. The Separation will permit each company to focus its strategy on unique sectors in the changing media landscape. Versant will seek to harness its business comprised of certain networks and complementary digital platforms to provide differentiated news, sports and entertainment content and services. As a global media and technology company, Comcast will be well-positioned to continue to invest in its strategic core growth businesses, including residential broadband, wireless, business services, streaming, studios and theme parks. The Separation will allow each of the resulting companies to focus on different areas of the media industry and, as a result, we believe each company will be able to prioritize its unique areas of strength.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Resource Allocation and Capital Deployment</w:t>
            </w:r>
            <w:r>
              <w:rPr>
                <w:rFonts w:ascii="Times New Roman" w:hAnsi="Times New Roman"/>
                <w:sz w:val="20"/>
              </w:rPr>
              <w:t xml:space="preserve">. As an independent company, Versant will be better positioned to serve its audiences and drive shareholder returns. The Spin Business generated approximately $7.1 billion of revenue during the year ended December 31, 2024. Following the Separation, Versant will benefit from financial and strategic flexibility as well as the ability to use its cash flow and securities to evaluate and effect value enhancing opportunities, including acquisitions, partnerships and organic investment. Versant will also have a well-capitalized balance sheet and the capacity for an attractive capital return policy to drive shareholder value. We believe the ability to focus investment of resources to align with the specific strategic focus of each of Versant and Comcast will position both companies for success. In particular, the strategic flexibility that Versant will have 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independent company is designed to enable Versant to better navigate industry dynamics specific to the markets in which it operates, including technological advances, evolving consumer preferences, changes in how audiences are consuming content, and demand for new, complementary services. See Managements Discussion and Analysis of Financial Condition and Results of OperationKey Factors Affecting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Management and Employee Incentives</w:t>
            </w:r>
            <w:r>
              <w:rPr>
                <w:rFonts w:ascii="Times New Roman" w:hAnsi="Times New Roman"/>
                <w:sz w:val="20"/>
              </w:rPr>
              <w:t xml:space="preserve">. Versant will be led by an experienced, well-respected and dedicated management team with deep sector expertise and a dedicated board of directors (the Board). Meanwhile, each company will be able to better incentivize, attract and retain key employees by designing incentive programs that are closely tied to the performance of each companys business. The Separation allows such incentive programs to be focused on the core strategies of each company, encouraging management and employees toward executing on the key drivers of success for the specific businesses.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Investor Choice and Value Creation</w:t>
            </w:r>
            <w:r>
              <w:rPr>
                <w:rFonts w:ascii="Times New Roman" w:hAnsi="Times New Roman"/>
                <w:sz w:val="20"/>
              </w:rPr>
              <w:t xml:space="preserve">. The Separation permits investors to value each company based on their distinct business characteristics and make more targeted investment decisions based on those characteristics. Investors will be provided with a more targeted investment opportunity so that investors interested in the business of Versant and its strategies, such as capital deployment, will have the opportunity to increase their ownership thereof directly by purchasing its Class A common stock. This differentiated investment profile also will provide investors with the opportunity to assess the evolving market environment and dynamics in the media and entertainment industry, which continue to reshape the competitive landscape and create distinct investment opportunities for Versant.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a number of potential costs and risks were also considered, including, among others, risks relating to the creation of a new public company, the increased costs from operating as a separate public company, potential volatility in our stock price immediately following the Distribution due to sales by Comcasts shareholders whose investment objectives may not be met by our common stock, the time it may take for us to attract our optimal shareholder base, potential disruptions to each business, failure to retain existing customers and realize growth potential, the loss of synergies and scale,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costs and risks in connection therewith and provided the best opportunity to achieve the above benefits and enhance shareholder value.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Distribution is subject to the satisfaction or waiver of certain conditions. For more information, see Risk FactorsRisks Relating to the Separation and The SeparationConditions to the Distribution included elsewhere in this information statement.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Versant was incorporated in Pennsylvania on May 1, 2025. Versant will not conduct any operations and will have no material assets or liabilities prior to the completion of the Transactions, pursuant to which the assets related to the Spin Business will be contributed to and the liabilities related to the Spin Business will be assumed by Versant in accordance with the Separation and Distribution Agreement and other agreements entered into in connection with the Separation. Our principal executive offices are located at    and our telephone number is    . Our Internet site will be     . Our website and the information contained therein or connected thereto is not incorporated into this information statement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QUESTIONS AND ANSWERS ABOUT THE SEPARATION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Please see The Separation for a more detailed description of the matters summarized below.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Q:</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Why am I receiving this document?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this document because you are a holder of shares of Comcast common stock on the record date for the Distribution and, as such, will be entitled to receive shares of Versant common stock upon completion of the transactions described in this information statement. We are sending you this document to inform you about the Separation and to provide you with information about Versant and its business and operations upon completion of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What do I have to do to participate in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You will not be required to pay any cash or deliver any other consideration in order to receive the shares of Versant common stock that you will be entitled to receive upon completion of the Separation. In addition, no shareholder approval will be required for the Separation and therefore you are not being asked to provide a proxy with respect to any of your shares of Comcast common stock in connection with the Separation and you should not send us a proxy. The Distribution will not affect the number of outstanding shares of Comcast common stock or any rights of Comcast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Q:</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Why is Comcast separating the Spin Business from its other businesses?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Comcast Board believes separating the Spin Business from Comcasts other businesses will provide both companies with a number of potential opportunities and benefits, such as improvements in strategic focus, resource allocation and capital deployment, management and employee incentives and increased investor choice and value creation. For more information, see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Q:</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What is Versant?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Versant is a newly formed Pennsylvania corporation that will hold the Spin Business, directly or indirectly through its subsidiaries, and Versant Class A common stock will be publicly traded following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Q:</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How will Comcast accomplish the Separation of Versant?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Separation involves the consummation of (1) the Transactions, which will result in the transfer of the assets and liabilities related to the Spin Business to Versant or its subsidiaries, and (2) the Distribution, which will result in the distribution of all the shares of Versant common stock owned by Comcast to the holders of Comcast common stock as of the record date. Following the Transactions and the Distribution, Versant will be a publicly traded company independent from Comcast, and Comcast will not retain any ownership interest in Versant.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What will I receive in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Comcast common stock as of the record date will be entitled to receive share(s) of Versant Class A common stock or Versant Class B common stock for every share(s) of Comcast Class A common stock or Comcast Class B common stock, respectively, held by them on the record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How does my ownership in Comcast change as a result of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proportionate interest in Comcast will not change as a result of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What is the record date for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Distribution is    , 2025, and ownership will be determined as of the close of business on that date. When we refer to the record date in this information statement, we are referring to that time and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When will the Distribution occur?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Distribution is expected to occur on    ,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As a holder of shares of Comcast common stock as of the record date for the Distribution, how will shares of Versant common stock be distributed to 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registered shareholder that owns shares of Comcast Class A common stock directly in book-entry form through an account at Equiniti, you will receive your shares of Versant Class A common stock by way of direct registration in book-entry form. On or shortly after the Distribution Date, the distribution agent will mail to you an account statement that indicates the number of shares of Versant Class A common stock that have been registered in book-entry form in your name.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you are a beneficial shareholder and hold shares of Comcast Class A common stock through a bank or brokerage firm, your ownership would be recorded on the bank or brokerage firms books, and your bank or brokerage firm will credit your account for the shares of Versant Class A common stock that you are entitled to receive in the Distribution.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holders of Comcast Class B common stock, you will be issued a share certificate representing the shares of Versant Class B common stock that you are entitled to receive. For additional information, see The SeparationWhen and How You Will Receive the Distribution of Versant Shares.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Q:</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Why is no Comcast shareholder vote required to approve the Separation and its material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Comcast is incorporated in Pennsylvania. Pennsylvania law does not require a shareholder vote to approve the Separation because the Separation does not constitute a sale, lease, exchange or other disposition of all, or substantially all, of the property and assets of Comcast.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How will fractional shares be treated in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receive fractional shares of Versant common stock in the Distribution. The distribution agent will aggregate fractional shares of Versant Class A common stock into whole shares, sell the whole shares (or cause 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in its sole discretion, without any influence by Comcast or us, determine when, how, through which broker-dealer and at what price to sell the whole shares of Versant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Q:</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What are the U.S. federal income tax consequences to me of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condition to the Distribution is Comcasts receipt of an opinion of Davis Polk &amp; Wardwell LLP, to the effect that for U.S. federal income tax purposes, the Distribution, together with certain related transactions, will qualify as a reorganization within the meaning of Section 368(a)(1)(D) of the Internal Revenue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of 1986, as amended (the Code) and a distribution to which Section 355 of the Code applies. On the basis that the Distribution so qualifies, for U.S. federal income tax purposes, you will not recognize any gain or loss, and no amount will be included in your income in connection with the Distribution, except with respect to any cash received in lieu of fractional shares of Versant common stock. You should review the section entitled The SeparationMaterial U.S. Federal Income Tax Consequences of the Distribution for a discussion of the material U.S. federal income tax consequences of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How will I determine the tax basis I will have in my Comcast shares after the Distribution and Versant shares I receive in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for U.S. federal income tax purposes, your aggregate basis in your shares of Comcast common stock and the shares of Versant common stock you receive in the Distribution (including any fractional shares for which cash is received) will equal the aggregate basis of Comcast common stock held by you immediately before the Distribution. This aggregate basis will be allocated between your shares of Comcast common stock and the shares of Versant common stock you receive in the Distribution (including any fractional shares for which cash is received) in proportion to the relative fair market value of each immediately following the Distribution. See The SeparationMaterial U.S. Federal Income Tax Consequences of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How will Comcast Class A common stock and Versant Class A common stock trade after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currently no public market for Versant Class A common stock. We expect to have shares of Versant Class A common stock listed on     under the ticker symbol   . Comcast Class A common stock will continue to trade on Nasdaq under the ticker symbol CMCSA. The Versant Class B common stock will not be listed on any stock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If I sell my shares of Comcast Class A common stock before or on the Distribution Date, will I still be entitled to receive Versant shares in the Distribution with respect to the sold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Beginning on or about the record date and continuing up to and including the Distribution Date, we expect that there will be two markets in Comcast Class A common stock: a regular-way market and an ex-distribution market. Shares of Comcast Class A common stock that trade on the regular-way market will trade with an entitlement to receive shares of Versant Class A common stock to be distributed in the Distribution regardless of whether such trades are made before or after the record date. Shares that trade on the ex-distribution market after the record date will trade without an entitlement to receive shares of Versant Class A common stock to be distributed in the Distribution.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you own shares of Comcast Class A common stock on the record date and sell those shares on the regular-way market before the Distribution Date, you will also be selling the right to receive shares of Versant Class A common stock that would have been distributed to you in the Distribution. By contrast, if you own shares of Comcast Class A common stock on the record date and sell those shares on the ex-distribution market after the record date and on or before the Distribution Date, you will retain the right to receive shares of Versant Class A common stock in the Distribution. You are encouraged to consult with your financial advisor regarding the specific implications of selling your Comcast Class A common stock prior to or on the Distribution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Will I receive a stock certificate for Versant shares distributed as a result of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Registered holders of Comcast Class A common stock who are entitled to participate in the Distribution will receive a book-entry account statement reflecting their ownership of Versant Class A common stock. We will make book-entry credits on the books of Versant for the respective shares of Versant Class A common stock that you are entitled to receive. Registered holders of Comcast Class B common stock who are entitled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participate in the Distribution will be issued share certificates representing their ownership of Versant Class B common stock. For additional information, registered shareholders in the U.S., Canada or Puerto Rico should contact Comcasts transfer agent,    . See The SeparationWhen and How You Will Receive the Distribution of Versant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Can Comcast decide to cancel the Distribution of Versant common stock even if all the conditions have been met?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Comcast has the right to terminate, or modify the terms of, the Separation at any time prior to the Distribution, even if all of the conditions to the Distribution are satisfied.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Q:</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Do I have dissenters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Comcast shareholders do not have any dissenters rights in connection with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Will Versant incur any debt in connection with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We intend to enter into new financing arrangements in anticipation of the Separation. We expect to incur approximately $    of new debt.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Separation, our debt obligations could restrict our business and may adversely impact our financial condition, results of operations or cash flows. In addition, our separation from Comcast may increase the overall cost of debt funding and decrease the overall debt capacity and commercial credit available to us. Also, our business, financial condition, results of operations and cash flows could be harmed by a deterioration of our credit profile or by factors adversely affecting the credit markets generally. See Risk FactorsRisks Relating to the Separation and Description of Material Indebtedness.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Q:</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Does Versant intend to pay cash dividends?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Will the Separation affect the trading price of my Comcast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expect the trading price of shares of Comcast Class A common stock immediately following the Distribution to be lower than the trading price immediately prior to the Distribution because the trading price will no longer reflect the value of the Spin Business. There can be no assurance that, following the Distribution, the combined trading prices of Comcast Class A common stock and our Class A common stock will equal or exceed what the trading price of Comcast Class A common stock would have been in the absence of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What will happen to outstanding Comcast equity compensation awards?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Separation, outstanding time-based restricted stock units (RSUs) in respect of Comcast Class A common stock (Comcast RSUs) and options to purchase Comcast Class A common stock (the Comcast Options and together with the Comcast RSUs, the Comcast Equity Awards) will be equitably adjusted in a manner that is intended to preserve the aggregate intrinsic value of such awards as of immediately before and after the Distribution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For details on the equitable adjustments intended to be made to Comcast Equity Awards in connection with Separation (including the related adjustment methodologies), see Compensation Discussion and AnalysisEquity CompensationTreatment of Equity Awards Upon Separation.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What will the relationship between Comcast and Versant be following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Separation, Comcast will not own any shares of Versant common stock, and each of Comcast and Versant will be independent, publicly traded companies with their own management teams and boards of directors. However, in connection with the Separation, we will enter into a number of agreements with Comcast and certain of its subsidiaries that, among other things, govern the Separation and allocate responsibilities for obligations arising before and after the Separation, including, among others, obligations relating to transition services, employee matters, tax matters, intellectual property matters and certain commercial arrangements. See The SeparationAgreements with Comcast.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Who is the transfer agent for Versant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pPr>
            <w:r>
              <w:rPr/>
              <w:t>    </w:t>
            </w:r>
            <w:r>
              <w:rPr>
                <w:rFonts w:ascii="Times New Roman" w:hAnsi="Times New Roman"/>
                <w:sz w:val="20"/>
              </w:rPr>
              <w:t xml:space="preserve">will be the transfer agent for the Versant Class A common stock. You can contact     at     or by signing on to your account at    .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Who is the distribution agent for the Distribution of Versant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Equiniti Trust Company, or Equiniti.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Q:</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Who can I contact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questions relating to the mechanics of the Distribution, you should contact the distribution agent: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Equiniti Trust Company, LLC D/B/A EQ Shareowner Services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 Box 64854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St. Paul, Minnesota 55164-0854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Before the Separation, if you have questions relating to the transactions described herein, you should contact Comcast at: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Thomas J. Reid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Comcast Corporation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One Comcast Center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Philadelphia, PA 19013-2838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(866) 281-2100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the Separation, if you have questions relating to the transactions described herein, you should contact Versant at: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Jordan R. Fasbender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Versant Media Group,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OF THE SEPARATION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is a summary of the material terms of the Separation, including the Transactions, the Distribution and certain other related transactions.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Distributing Company </w:t>
            </w:r>
          </w:p>
        </w:tc>
        <w:tc>
          <w:tcPr>
            <w:tcW w:w="6328" w:type="dxa"/>
            <w:tcBorders/>
          </w:tcPr>
          <w:p>
            <w:pPr>
              <w:pStyle w:val="TableContents"/>
              <w:bidi w:val="0"/>
              <w:spacing w:before="0" w:after="283"/>
              <w:jc w:val="left"/>
              <w:rPr/>
            </w:pPr>
            <w:r>
              <w:rPr/>
              <w:t xml:space="preserve">Comcast Corporation (Comcast), a Pennsylvania corporation. After the Distribution, Comcast will not own any shares of Versant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Distributed Company </w:t>
            </w:r>
          </w:p>
        </w:tc>
        <w:tc>
          <w:tcPr>
            <w:tcW w:w="6327" w:type="dxa"/>
            <w:tcBorders/>
          </w:tcPr>
          <w:p>
            <w:pPr>
              <w:pStyle w:val="TableContents"/>
              <w:bidi w:val="0"/>
              <w:spacing w:before="0" w:after="283"/>
              <w:jc w:val="left"/>
              <w:rPr/>
            </w:pPr>
            <w:r>
              <w:rPr/>
              <w:t xml:space="preserve">Versant Media Group, Inc. (Versant), a Pennsylvania corporation, is a wholly owned subsidiary of Comcast that, after giving effect to the Transactions, will hold, directly or indirectly through its subsidiaries, the assets and liabilities comprising the Spin Business. After the Distribution, Versant will be an independent, publicly traded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Distributed Company Structure </w:t>
            </w:r>
          </w:p>
        </w:tc>
        <w:tc>
          <w:tcPr>
            <w:tcW w:w="6328" w:type="dxa"/>
            <w:tcBorders/>
          </w:tcPr>
          <w:p>
            <w:pPr>
              <w:pStyle w:val="TableContents"/>
              <w:bidi w:val="0"/>
              <w:spacing w:before="0" w:after="283"/>
              <w:jc w:val="left"/>
              <w:rPr/>
            </w:pPr>
            <w:r>
              <w:rPr/>
              <w:t xml:space="preserve">Versant is a holding company. At the time of the Distribution, it will own the shares of a number of subsidiaries operating the Spin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Record Date </w:t>
            </w:r>
          </w:p>
        </w:tc>
        <w:tc>
          <w:tcPr>
            <w:tcW w:w="6329" w:type="dxa"/>
            <w:tcBorders/>
          </w:tcPr>
          <w:p>
            <w:pPr>
              <w:pStyle w:val="TableContents"/>
              <w:bidi w:val="0"/>
              <w:spacing w:before="0" w:after="283"/>
              <w:jc w:val="left"/>
              <w:rPr/>
            </w:pPr>
            <w:r>
              <w:rPr/>
              <w:t xml:space="preserve">The record date for the Distribution is on the close of business on     ,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Distribution Date </w:t>
            </w:r>
          </w:p>
        </w:tc>
        <w:tc>
          <w:tcPr>
            <w:tcW w:w="6329" w:type="dxa"/>
            <w:tcBorders/>
          </w:tcPr>
          <w:p>
            <w:pPr>
              <w:pStyle w:val="TableContents"/>
              <w:bidi w:val="0"/>
              <w:spacing w:before="0" w:after="283"/>
              <w:jc w:val="left"/>
              <w:rPr/>
            </w:pPr>
            <w:r>
              <w:rPr/>
              <w:t xml:space="preserve">The Distribution Date is    ,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Distributed Securities </w:t>
            </w:r>
          </w:p>
        </w:tc>
        <w:tc>
          <w:tcPr>
            <w:tcW w:w="6328" w:type="dxa"/>
            <w:tcBorders/>
          </w:tcPr>
          <w:p>
            <w:pPr>
              <w:pStyle w:val="TableContents"/>
              <w:bidi w:val="0"/>
              <w:spacing w:before="0" w:after="283"/>
              <w:jc w:val="left"/>
              <w:rPr/>
            </w:pPr>
            <w:r>
              <w:rPr/>
              <w:t xml:space="preserve">Comcast will distribute 100% of the shares of Versant common stock outstanding immediately prior to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Based on the approximately    shares of Comcast Class A common stock and    shares of Comcast Class B common stock outstanding on     , 2025, and applying the distribution ratio of    share(s) of Versant common stock for every     share(s) of Comcast common stock, Comcast will distribute approximately    shares of Versant Class A common stock and approximately    shares of Versant Class B common stock to Comcast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Distribution Ratio </w:t>
            </w:r>
          </w:p>
        </w:tc>
        <w:tc>
          <w:tcPr>
            <w:tcW w:w="6328" w:type="dxa"/>
            <w:tcBorders/>
          </w:tcPr>
          <w:p>
            <w:pPr>
              <w:pStyle w:val="TableContents"/>
              <w:bidi w:val="0"/>
              <w:spacing w:before="0" w:after="283"/>
              <w:jc w:val="left"/>
              <w:rPr/>
            </w:pPr>
            <w:r>
              <w:rPr/>
              <w:t xml:space="preserve">Each of Comcasts shareholders as of the record date will be entitled to receive    share(s) of Versant Class A common stock or Versant Class B common stock for every    share(s) of Comcast Class A common stock or Comcast Class B common stock, respectively, held by such shareholder on the record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Fractional Shares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Comcast will not distribute any fractional shares of Versant common stock to Comcast shareholders. Instead, as soon as practicable on or after the Distribution Date, the distribution agent will aggregate fractional shares of Versant Class A common stock into whole shares, sell the whole shares (or cause 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determine when, how, through which broker-dealers and at what prices to sell the aggregated fractional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shares. Recipients of cash in lieu of fractional shares of Versant common stock will not be entitled to any minimum sale price for the fractional shares or to any interest on the amounts of payments made in lieu of fractional shares. The receipt of cash in lieu of fractional shares generally will be taxable to the recipient shareholders for U.S. federal income tax purposes as described in The SeparationMaterial U.S. Federal Income Tax Consequences of the Distribution.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Distribution Method </w:t>
            </w:r>
          </w:p>
        </w:tc>
        <w:tc>
          <w:tcPr>
            <w:tcW w:w="6327" w:type="dxa"/>
            <w:tcBorders/>
          </w:tcPr>
          <w:p>
            <w:pPr>
              <w:pStyle w:val="TableContents"/>
              <w:bidi w:val="0"/>
              <w:spacing w:before="0" w:after="283"/>
              <w:jc w:val="left"/>
              <w:rPr/>
            </w:pPr>
            <w:r>
              <w:rPr/>
              <w:t xml:space="preserve">Versant Class A common stock will be issued only by direct registration in book-entry form. Registration in book-entry form is a method of recording stock ownership when no physical paper share certificates are issued to shareholders, as is the case with respect to the Versant Class A common stock that will be distributed as part of the Distribution. Holders of Versant Class B common stock will be issued share certificates.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Conditions to the Distribution </w:t>
            </w:r>
          </w:p>
        </w:tc>
        <w:tc>
          <w:tcPr>
            <w:tcW w:w="6329" w:type="dxa"/>
            <w:tcBorders/>
          </w:tcPr>
          <w:p>
            <w:pPr>
              <w:pStyle w:val="TableContents"/>
              <w:bidi w:val="0"/>
              <w:spacing w:before="0" w:after="283"/>
              <w:jc w:val="left"/>
              <w:rPr/>
            </w:pPr>
            <w:r>
              <w:rPr/>
              <w:t xml:space="preserve">The Distribution is subject to the satisfaction or waiver by Comcast of the following conditions, as well as other conditions described in this information statement in The SeparationConditions to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 will have declared effective our registration statement on Form 10, of which this information statement is a part, no stop order suspending the effectiveness of our registration statement on Form 10 will be in effect, and no proceedings for such purpose will be pending before or threatened by the SEC, and this information statement, or a notice of Internet availability thereof, will have been made available to the holders of Comcast common stock as of the record date for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Class A common stock to be delivered in the Distribution will have been approved for listing on a national securities exchange subject to official notice of issuance;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Comcast will have received the opinion of Davis Polk &amp; Wardwell LLP to the effect that, for U.S. federal income tax purposes, the Distribution, together with certain related transactions, will qualify as a reorganization within the meaning of Section 368(a)(1)(D) of the Code and a distribution to which Section 355 of the Code applies;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governmental approvals and consents and any material permits, registrations and consents from third parties, in each case, necessary to effect the Transactions or the Distribution will have been obtained;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or development will have occurred or exist that, in the judgment of the Comcast Board, in its sole discretion, makes it inadvisable to effect the Distribution or other transactions contemplated by the Separation and Distribution Agreement or by any of the ancillary agreements contemplated by the Separation and Distribution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cannot assure you that all of the conditions will be satisfied or waived. The fulfillment of the conditions to the Distribution will not create any obligations on Comcasts part to effect the Distribution, and Comcast has reserved the right to abandon, modify or change the terms of the Separation, including by accelerating or delaying the timing of the consummation of all or part of the Distribution, at any time prior to the Distribution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Stock Exchange Listing </w:t>
            </w:r>
          </w:p>
        </w:tc>
        <w:tc>
          <w:tcPr>
            <w:tcW w:w="6329" w:type="dxa"/>
            <w:tcBorders/>
          </w:tcPr>
          <w:p>
            <w:pPr>
              <w:pStyle w:val="TableContents"/>
              <w:bidi w:val="0"/>
              <w:spacing w:before="0" w:after="283"/>
              <w:jc w:val="left"/>
              <w:rPr/>
            </w:pPr>
            <w:r>
              <w:rPr/>
              <w:t xml:space="preserve">Versant intends to apply to have its shares of Class A common stock listed on     under the ticker symbol   .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6328" w:type="dxa"/>
            <w:tcBorders/>
          </w:tcPr>
          <w:p>
            <w:pPr>
              <w:pStyle w:val="TableContents"/>
              <w:bidi w:val="0"/>
              <w:spacing w:before="0" w:after="283"/>
              <w:jc w:val="left"/>
              <w:rPr/>
            </w:pPr>
            <w:r>
              <w:rPr/>
              <w:t xml:space="preserve">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For more information,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Transfer Agent </w:t>
            </w:r>
          </w:p>
        </w:tc>
        <w:tc>
          <w:tcPr>
            <w:tcW w:w="6327" w:type="dxa"/>
            <w:tcBorders/>
          </w:tcPr>
          <w:p>
            <w:pPr>
              <w:pStyle w:val="TableContents"/>
              <w:bidi w:val="0"/>
              <w:spacing w:before="0" w:after="283"/>
              <w:jc w:val="left"/>
              <w:rPr/>
            </w:pPr>
            <w:r>
              <w:rPr/>
              <w:t>   </w:t>
            </w:r>
            <w:r>
              <w:rPr/>
              <w:t xml:space="preserve">, with respect to the shares of Versant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 Federal Income Tax Consequences </w:t>
            </w:r>
          </w:p>
        </w:tc>
        <w:tc>
          <w:tcPr>
            <w:tcW w:w="6328" w:type="dxa"/>
            <w:tcBorders/>
          </w:tcPr>
          <w:p>
            <w:pPr>
              <w:pStyle w:val="TableContents"/>
              <w:bidi w:val="0"/>
              <w:spacing w:before="0" w:after="283"/>
              <w:jc w:val="left"/>
              <w:rPr/>
            </w:pPr>
            <w:r>
              <w:rPr/>
              <w:t xml:space="preserve">A condition to the Distribution is Comcasts receipt of the opinion of Davis Polk &amp; Wardwell LLP to the effect that, for U.S. federal income tax purposes, the Distribution, together with certain related transactions, will qualify as a reorganization within the meaning of Section 368(a)(1)(D) of the Code and a distribution to which Section 355 of the Code applies. In that case, for U.S. federal income tax purposes, the Distribution will be tax-free to beneficial owners of Comcast common stock, except to the extent of any cash received in lieu of fractional shares of Versant common stock. You should review the section entitled The SeparationMaterial U.S. Federal Income Tax Consequences of the Distribution for a discussion of the material U.S. federal income tax consequences of the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RISK FACTORS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subject to a number of risks, including risks related to the Separation, including the Transactions and the Distribution, and other related transactions. The following list of risk factors is not exhaustive. Please read Risk Factors carefully for a more thorough description of these and other risks.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Relating to Our Business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intense competition, and if we are unable to compete effectively, our business, financial condition and results of operations could suffer.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consumer behavior, evolving technologies and distribution platforms continue to adversely affect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decline in advertisers expenditures or changes in advertising markets could negatively impact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 to our brands or our reputation could have a material adverse effect on our business, financial condition or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depends on the continued appeal of the content we distribute. The preferences of our viewers and distributors are difficult to forecast and subject to 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programming distribution agreements, or the renewal of these agreements on less favorable terms, could adversely affect our businesses.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growth of our digital platforms depends on our ability to attract new customers, retain existing customers and continue to grow the revenue we derive from these businesses.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businesses depend on using and protecting certain intellectual property rights and on not infringing, misappropriating or otherwise violating the intellectual property rights of others.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cyber attack, information or security breach, or technology disruption or failure, may negatively impact our ability to conduct our business or result in the misuse of confidential information, all of which could adversely affect our reputation and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Weak economic conditions may have a negative impact on our businesses.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management personnel or popular on-air and creative talent could have an adverse effect on our businesses.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disputes, whether involving employees or sports organizations, may disrupt our operations and adversely affect our businesses.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litigation or governmental investigation results could require us to pay significant amounts or lead to onerous operating procedures.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successfully make investments in, and/or acquire and integrate, other businesses, assets, products or technologies could harm our business, financial condition or operating results.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Relating to the Separation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realize the anticipated benefits from the Separation, and the Separation could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 history of operating as an independent company, and our audited combined and unaudited pro forma financial statements are not necessarily representative of the results that we would have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achieved as an independent, publicly traded company and may not be a reliable indicator of our future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incur significant costs to create the infrastructure necessary to operate as an independent public company and may experience operational disruptions in connection with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the Separation occurs, Comcast has sole discretion to change the terms of the Separation in ways that may be unfavorable to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Separation, we intend to enter into new financing arrangements that could restrict our business and adversely impact our cash flows,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Comcast shareholders do not have dissenters rights with respect to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Transactions and Distribution, together with certain related transactions, do not qualify as transactions that are tax-free for U.S. federal income tax purposes or non-U.S. tax purposes, Comcast and/or holders of Comcast common stock could be subject to significant tax liability.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Relating to Our Common Stock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there has not been any public market for our Class A common stock, the market price and trading volume of our Class A common stock may be volatile and you may not be able to resell your shares at or above the initial market price of our common stock following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large number of our shares are or will be eligible for future sale, which may cause the market price of our Class A common stock to decline.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our Class A common stock may not be included in the Standard &amp; Poors 500 Index, and it may not be included in other stock indices, significant amounts of our Class A common stock will likely need to be sold in the open market where there may not be offsetting demand.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in our articles of incorporation and bylaws and certain provisions of Pennsylvania law could delay or prevent a change in control of Versant.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percentage ownership in Versant may be diluted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is and will be subordinate to all of our future indebtedness and any preferred stock, and effectively subordinated to all indebtedness and preferred equity claims against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cannot assure you that our Board will declare dividends in the foreseeable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Class B common stock will have substantial voting rights and separate approval rights over certain potentially material transactions, and Brian L. Roberts, the Chairman and CEO of Comcast, will have considerable influence over Versant.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COMBINED FINANCIAL AND OTHER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combined financial data of the Company should be read in conjunction with, and are qualified by reference to, the information under Managements Discussion and Analysis of Financial Condition and Results of Operations and the audited combined financial statements and notes thereto included elsewhere in this information statement. The combined statement of income data for the years ended December 31, 2024, 2023 and 2022, and the combined balance sheet data as of December 31, 2024 and 2023 are derived from, and qualified by reference to, the audited combined financial statements of the Company included elsewhere in this information statement, and should be read in conjunction with those combined financial statements and notes thereto.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financial data in this section are not intended to replace our audited combined financial statements and related notes appearing at the end of this information statement.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summarize our results of operations for the periods presented: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5007"/>
        <w:gridCol w:w="319"/>
        <w:gridCol w:w="140"/>
        <w:gridCol w:w="562"/>
        <w:gridCol w:w="165"/>
        <w:gridCol w:w="319"/>
        <w:gridCol w:w="140"/>
        <w:gridCol w:w="562"/>
        <w:gridCol w:w="165"/>
        <w:gridCol w:w="319"/>
        <w:gridCol w:w="140"/>
        <w:gridCol w:w="562"/>
        <w:gridCol w:w="172"/>
      </w:tblGrid>
      <w:tr>
        <w:trPr/>
        <w:tc>
          <w:tcPr>
            <w:tcW w:w="5007"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00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307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72" w:type="dxa"/>
            <w:tcBorders/>
            <w:vAlign w:val="bottom"/>
          </w:tcPr>
          <w:p>
            <w:pPr>
              <w:pStyle w:val="TableContents"/>
              <w:bidi w:val="0"/>
              <w:spacing w:before="0" w:after="283"/>
              <w:jc w:val="left"/>
              <w:rPr/>
            </w:pPr>
            <w:r>
              <w:rPr/>
              <w:t> </w:t>
            </w:r>
          </w:p>
        </w:tc>
      </w:tr>
      <w:tr>
        <w:trPr/>
        <w:tc>
          <w:tcPr>
            <w:tcW w:w="500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72" w:type="dxa"/>
            <w:tcBorders/>
            <w:vAlign w:val="bottom"/>
          </w:tcPr>
          <w:p>
            <w:pPr>
              <w:pStyle w:val="TableContents"/>
              <w:bidi w:val="0"/>
              <w:spacing w:before="0" w:after="283"/>
              <w:jc w:val="left"/>
              <w:rPr/>
            </w:pPr>
            <w:r>
              <w:rPr/>
              <w:t> </w:t>
            </w:r>
          </w:p>
        </w:tc>
      </w:tr>
      <w:tr>
        <w:trPr/>
        <w:tc>
          <w:tcPr>
            <w:tcW w:w="5007"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3074" w:type="dxa"/>
            <w:gridSpan w:val="10"/>
            <w:tcBorders/>
            <w:vAlign w:val="bottom"/>
          </w:tcPr>
          <w:p>
            <w:pPr>
              <w:pStyle w:val="TableContents"/>
              <w:bidi w:val="0"/>
              <w:spacing w:before="0" w:after="283"/>
              <w:jc w:val="center"/>
              <w:rPr>
                <w:b/>
              </w:rPr>
            </w:pPr>
            <w:r>
              <w:rPr>
                <w:b/>
              </w:rPr>
              <w:t>(in millions)</w:t>
            </w:r>
          </w:p>
        </w:tc>
        <w:tc>
          <w:tcPr>
            <w:tcW w:w="172" w:type="dxa"/>
            <w:tcBorders/>
            <w:vAlign w:val="bottom"/>
          </w:tcPr>
          <w:p>
            <w:pPr>
              <w:pStyle w:val="TableContents"/>
              <w:bidi w:val="0"/>
              <w:spacing w:before="0" w:after="283"/>
              <w:jc w:val="left"/>
              <w:rPr/>
            </w:pPr>
            <w:r>
              <w:rPr/>
              <w:t> </w:t>
            </w:r>
          </w:p>
        </w:tc>
      </w:tr>
      <w:tr>
        <w:trPr/>
        <w:tc>
          <w:tcPr>
            <w:tcW w:w="500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2" w:type="dxa"/>
            <w:tcBorders/>
            <w:shd w:fill="CCEEFF" w:val="clear"/>
            <w:vAlign w:val="bottom"/>
          </w:tcPr>
          <w:p>
            <w:pPr>
              <w:pStyle w:val="TableContents"/>
              <w:bidi w:val="0"/>
              <w:spacing w:before="0" w:after="283"/>
              <w:jc w:val="right"/>
              <w:rPr>
                <w:b/>
              </w:rPr>
            </w:pPr>
            <w:r>
              <w:rPr>
                <w:b/>
              </w:rPr>
              <w:t>7,062</w:t>
            </w:r>
          </w:p>
        </w:tc>
        <w:tc>
          <w:tcPr>
            <w:tcW w:w="16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2" w:type="dxa"/>
            <w:tcBorders/>
            <w:shd w:fill="CCEEFF" w:val="clear"/>
            <w:vAlign w:val="bottom"/>
          </w:tcPr>
          <w:p>
            <w:pPr>
              <w:pStyle w:val="TableContents"/>
              <w:bidi w:val="0"/>
              <w:spacing w:before="0" w:after="283"/>
              <w:jc w:val="right"/>
              <w:rPr>
                <w:b/>
              </w:rPr>
            </w:pPr>
            <w:r>
              <w:rPr>
                <w:b/>
              </w:rPr>
              <w:t>7,445</w:t>
            </w:r>
          </w:p>
        </w:tc>
        <w:tc>
          <w:tcPr>
            <w:tcW w:w="16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2" w:type="dxa"/>
            <w:tcBorders/>
            <w:shd w:fill="CCEEFF" w:val="clear"/>
            <w:vAlign w:val="bottom"/>
          </w:tcPr>
          <w:p>
            <w:pPr>
              <w:pStyle w:val="TableContents"/>
              <w:bidi w:val="0"/>
              <w:spacing w:before="0" w:after="283"/>
              <w:jc w:val="right"/>
              <w:rPr>
                <w:b/>
              </w:rPr>
            </w:pPr>
            <w:r>
              <w:rPr>
                <w:b/>
              </w:rPr>
              <w:t>7,834</w:t>
            </w:r>
          </w:p>
        </w:tc>
        <w:tc>
          <w:tcPr>
            <w:tcW w:w="172"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r>
      <w:tr>
        <w:trPr/>
        <w:tc>
          <w:tcPr>
            <w:tcW w:w="5007"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Costs of revenue (exclusive of depreciation and amortization)</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3,064</w:t>
            </w:r>
          </w:p>
        </w:tc>
        <w:tc>
          <w:tcPr>
            <w:tcW w:w="16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3,154</w:t>
            </w:r>
          </w:p>
        </w:tc>
        <w:tc>
          <w:tcPr>
            <w:tcW w:w="16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3,161</w:t>
            </w:r>
          </w:p>
        </w:tc>
        <w:tc>
          <w:tcPr>
            <w:tcW w:w="172"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1,167</w:t>
            </w:r>
          </w:p>
        </w:tc>
        <w:tc>
          <w:tcPr>
            <w:tcW w:w="16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1,231</w:t>
            </w:r>
          </w:p>
        </w:tc>
        <w:tc>
          <w:tcPr>
            <w:tcW w:w="16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1,271</w:t>
            </w:r>
          </w:p>
        </w:tc>
        <w:tc>
          <w:tcPr>
            <w:tcW w:w="172"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989</w:t>
            </w:r>
          </w:p>
        </w:tc>
        <w:tc>
          <w:tcPr>
            <w:tcW w:w="16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991</w:t>
            </w:r>
          </w:p>
        </w:tc>
        <w:tc>
          <w:tcPr>
            <w:tcW w:w="16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992</w:t>
            </w:r>
          </w:p>
        </w:tc>
        <w:tc>
          <w:tcPr>
            <w:tcW w:w="172" w:type="dxa"/>
            <w:tcBorders/>
            <w:shd w:fill="CCEEFF" w:val="clear"/>
            <w:vAlign w:val="bottom"/>
          </w:tcPr>
          <w:p>
            <w:pPr>
              <w:pStyle w:val="TableContents"/>
              <w:bidi w:val="0"/>
              <w:spacing w:before="0" w:after="283"/>
              <w:jc w:val="left"/>
              <w:rPr/>
            </w:pPr>
            <w:r>
              <w:rPr/>
              <w:t> </w:t>
            </w:r>
          </w:p>
        </w:tc>
      </w:tr>
      <w:tr>
        <w:trPr/>
        <w:tc>
          <w:tcPr>
            <w:tcW w:w="5007"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5,220</w:t>
            </w:r>
          </w:p>
        </w:tc>
        <w:tc>
          <w:tcPr>
            <w:tcW w:w="16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5,375</w:t>
            </w:r>
          </w:p>
        </w:tc>
        <w:tc>
          <w:tcPr>
            <w:tcW w:w="16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5,424</w:t>
            </w:r>
          </w:p>
        </w:tc>
        <w:tc>
          <w:tcPr>
            <w:tcW w:w="172" w:type="dxa"/>
            <w:tcBorders/>
            <w:vAlign w:val="bottom"/>
          </w:tcPr>
          <w:p>
            <w:pPr>
              <w:pStyle w:val="TableContents"/>
              <w:bidi w:val="0"/>
              <w:spacing w:before="0" w:after="283"/>
              <w:jc w:val="left"/>
              <w:rPr/>
            </w:pPr>
            <w:r>
              <w:rPr/>
              <w:t> </w:t>
            </w:r>
          </w:p>
        </w:tc>
      </w:tr>
      <w:tr>
        <w:trPr/>
        <w:tc>
          <w:tcPr>
            <w:tcW w:w="5007"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500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b/>
              </w:rPr>
            </w:pPr>
            <w:r>
              <w:rPr>
                <w:b/>
              </w:rPr>
              <w:t>1,841</w:t>
            </w:r>
          </w:p>
        </w:tc>
        <w:tc>
          <w:tcPr>
            <w:tcW w:w="16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b/>
              </w:rPr>
            </w:pPr>
            <w:r>
              <w:rPr>
                <w:b/>
              </w:rPr>
              <w:t>2,069</w:t>
            </w:r>
          </w:p>
        </w:tc>
        <w:tc>
          <w:tcPr>
            <w:tcW w:w="16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b/>
              </w:rPr>
            </w:pPr>
            <w:r>
              <w:rPr>
                <w:b/>
              </w:rPr>
              <w:t>2,410</w:t>
            </w:r>
          </w:p>
        </w:tc>
        <w:tc>
          <w:tcPr>
            <w:tcW w:w="172"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Investment and other income (loss), net</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w:t>
            </w:r>
          </w:p>
        </w:tc>
        <w:tc>
          <w:tcPr>
            <w:tcW w:w="16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(61</w:t>
            </w:r>
          </w:p>
        </w:tc>
        <w:tc>
          <w:tcPr>
            <w:tcW w:w="172"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1,843</w:t>
            </w:r>
          </w:p>
        </w:tc>
        <w:tc>
          <w:tcPr>
            <w:tcW w:w="16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2,069</w:t>
            </w:r>
          </w:p>
        </w:tc>
        <w:tc>
          <w:tcPr>
            <w:tcW w:w="16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2,349</w:t>
            </w:r>
          </w:p>
        </w:tc>
        <w:tc>
          <w:tcPr>
            <w:tcW w:w="172" w:type="dxa"/>
            <w:tcBorders/>
            <w:shd w:fill="CCEEFF" w:val="clear"/>
            <w:vAlign w:val="bottom"/>
          </w:tcPr>
          <w:p>
            <w:pPr>
              <w:pStyle w:val="TableContents"/>
              <w:bidi w:val="0"/>
              <w:spacing w:before="0" w:after="283"/>
              <w:jc w:val="left"/>
              <w:rPr/>
            </w:pPr>
            <w:r>
              <w:rPr/>
              <w:t> </w:t>
            </w:r>
          </w:p>
        </w:tc>
      </w:tr>
      <w:tr>
        <w:trPr/>
        <w:tc>
          <w:tcPr>
            <w:tcW w:w="5007"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(478</w:t>
            </w:r>
          </w:p>
        </w:tc>
        <w:tc>
          <w:tcPr>
            <w:tcW w:w="16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(530</w:t>
            </w:r>
          </w:p>
        </w:tc>
        <w:tc>
          <w:tcPr>
            <w:tcW w:w="16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(591</w:t>
            </w:r>
          </w:p>
        </w:tc>
        <w:tc>
          <w:tcPr>
            <w:tcW w:w="172"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1,365</w:t>
            </w:r>
          </w:p>
        </w:tc>
        <w:tc>
          <w:tcPr>
            <w:tcW w:w="16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1,540</w:t>
            </w:r>
          </w:p>
        </w:tc>
        <w:tc>
          <w:tcPr>
            <w:tcW w:w="16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1,758</w:t>
            </w:r>
          </w:p>
        </w:tc>
        <w:tc>
          <w:tcPr>
            <w:tcW w:w="172" w:type="dxa"/>
            <w:tcBorders/>
            <w:shd w:fill="CCEEFF" w:val="clear"/>
            <w:vAlign w:val="bottom"/>
          </w:tcPr>
          <w:p>
            <w:pPr>
              <w:pStyle w:val="TableContents"/>
              <w:bidi w:val="0"/>
              <w:spacing w:before="0" w:after="283"/>
              <w:jc w:val="left"/>
              <w:rPr/>
            </w:pPr>
            <w:r>
              <w:rPr/>
              <w:t> </w:t>
            </w:r>
          </w:p>
        </w:tc>
      </w:tr>
      <w:tr>
        <w:trPr/>
        <w:tc>
          <w:tcPr>
            <w:tcW w:w="5007"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Less: Net income (loss) attributable to noncontrolling interests</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w:t>
            </w:r>
          </w:p>
        </w:tc>
        <w:tc>
          <w:tcPr>
            <w:tcW w:w="16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(6</w:t>
            </w:r>
          </w:p>
        </w:tc>
        <w:tc>
          <w:tcPr>
            <w:tcW w:w="172" w:type="dxa"/>
            <w:tcBorders/>
            <w:vAlign w:val="bottom"/>
          </w:tcPr>
          <w:p>
            <w:pPr>
              <w:pStyle w:val="TableContents"/>
              <w:bidi w:val="0"/>
              <w:spacing w:before="0" w:after="283"/>
              <w:jc w:val="left"/>
              <w:rPr/>
            </w:pPr>
            <w:r>
              <w:rPr/>
              <w:t>) </w:t>
            </w:r>
          </w:p>
        </w:tc>
      </w:tr>
      <w:tr>
        <w:trPr/>
        <w:tc>
          <w:tcPr>
            <w:tcW w:w="5007"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Versant</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1,363</w:t>
            </w:r>
          </w:p>
        </w:tc>
        <w:tc>
          <w:tcPr>
            <w:tcW w:w="16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1,539</w:t>
            </w:r>
          </w:p>
        </w:tc>
        <w:tc>
          <w:tcPr>
            <w:tcW w:w="16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1,764</w:t>
            </w:r>
          </w:p>
        </w:tc>
        <w:tc>
          <w:tcPr>
            <w:tcW w:w="172" w:type="dxa"/>
            <w:tcBorders/>
            <w:shd w:fill="CCEEFF" w:val="clear"/>
            <w:vAlign w:val="bottom"/>
          </w:tcPr>
          <w:p>
            <w:pPr>
              <w:pStyle w:val="TableContents"/>
              <w:bidi w:val="0"/>
              <w:spacing w:before="0" w:after="283"/>
              <w:jc w:val="left"/>
              <w:rPr/>
            </w:pPr>
            <w:r>
              <w:rPr/>
              <w:t> </w:t>
            </w:r>
          </w:p>
        </w:tc>
      </w:tr>
      <w:tr>
        <w:trPr/>
        <w:tc>
          <w:tcPr>
            <w:tcW w:w="5007"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4735"/>
        <w:gridCol w:w="327"/>
        <w:gridCol w:w="149"/>
        <w:gridCol w:w="643"/>
        <w:gridCol w:w="158"/>
        <w:gridCol w:w="327"/>
        <w:gridCol w:w="149"/>
        <w:gridCol w:w="643"/>
        <w:gridCol w:w="158"/>
        <w:gridCol w:w="326"/>
        <w:gridCol w:w="149"/>
        <w:gridCol w:w="643"/>
        <w:gridCol w:w="165"/>
      </w:tblGrid>
      <w:tr>
        <w:trPr/>
        <w:tc>
          <w:tcPr>
            <w:tcW w:w="4735"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735"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334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5" w:type="dxa"/>
            <w:tcBorders/>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7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7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5" w:type="dxa"/>
            <w:tcBorders/>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3345" w:type="dxa"/>
            <w:gridSpan w:val="10"/>
            <w:tcBorders/>
            <w:vAlign w:val="bottom"/>
          </w:tcPr>
          <w:p>
            <w:pPr>
              <w:pStyle w:val="TableContents"/>
              <w:bidi w:val="0"/>
              <w:spacing w:before="0" w:after="283"/>
              <w:jc w:val="center"/>
              <w:rPr>
                <w:b/>
              </w:rPr>
            </w:pPr>
            <w:r>
              <w:rPr>
                <w:b/>
              </w:rPr>
              <w:t>(in millions)</w:t>
            </w:r>
          </w:p>
        </w:tc>
        <w:tc>
          <w:tcPr>
            <w:tcW w:w="165"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32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2,211</w:t>
            </w:r>
          </w:p>
        </w:tc>
        <w:tc>
          <w:tcPr>
            <w:tcW w:w="15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2,428</w:t>
            </w:r>
          </w:p>
        </w:tc>
        <w:tc>
          <w:tcPr>
            <w:tcW w:w="158"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2,509</w:t>
            </w:r>
          </w:p>
        </w:tc>
        <w:tc>
          <w:tcPr>
            <w:tcW w:w="165" w:type="dxa"/>
            <w:tcBorders/>
            <w:shd w:fill="CCEEFF" w:val="clear"/>
            <w:vAlign w:val="bottom"/>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32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643" w:type="dxa"/>
            <w:tcBorders/>
            <w:vAlign w:val="bottom"/>
          </w:tcPr>
          <w:p>
            <w:pPr>
              <w:pStyle w:val="TableContents"/>
              <w:bidi w:val="0"/>
              <w:spacing w:before="0" w:after="283"/>
              <w:jc w:val="right"/>
              <w:rPr/>
            </w:pPr>
            <w:r>
              <w:rPr/>
              <w:t>(71</w:t>
            </w:r>
          </w:p>
        </w:tc>
        <w:tc>
          <w:tcPr>
            <w:tcW w:w="15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643" w:type="dxa"/>
            <w:tcBorders/>
            <w:vAlign w:val="bottom"/>
          </w:tcPr>
          <w:p>
            <w:pPr>
              <w:pStyle w:val="TableContents"/>
              <w:bidi w:val="0"/>
              <w:spacing w:before="0" w:after="283"/>
              <w:jc w:val="right"/>
              <w:rPr/>
            </w:pPr>
            <w:r>
              <w:rPr/>
              <w:t>(60</w:t>
            </w:r>
          </w:p>
        </w:tc>
        <w:tc>
          <w:tcPr>
            <w:tcW w:w="158"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643" w:type="dxa"/>
            <w:tcBorders/>
            <w:vAlign w:val="bottom"/>
          </w:tcPr>
          <w:p>
            <w:pPr>
              <w:pStyle w:val="TableContents"/>
              <w:bidi w:val="0"/>
              <w:spacing w:before="0" w:after="283"/>
              <w:jc w:val="right"/>
              <w:rPr/>
            </w:pPr>
            <w:r>
              <w:rPr/>
              <w:t>(39</w:t>
            </w:r>
          </w:p>
        </w:tc>
        <w:tc>
          <w:tcPr>
            <w:tcW w:w="165"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32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(2,155</w:t>
            </w:r>
          </w:p>
        </w:tc>
        <w:tc>
          <w:tcPr>
            <w:tcW w:w="15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(2,355</w:t>
            </w:r>
          </w:p>
        </w:tc>
        <w:tc>
          <w:tcPr>
            <w:tcW w:w="158"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(2,486</w:t>
            </w:r>
          </w:p>
        </w:tc>
        <w:tc>
          <w:tcPr>
            <w:tcW w:w="1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6091"/>
        <w:gridCol w:w="346"/>
        <w:gridCol w:w="140"/>
        <w:gridCol w:w="692"/>
        <w:gridCol w:w="60"/>
        <w:gridCol w:w="346"/>
        <w:gridCol w:w="140"/>
        <w:gridCol w:w="692"/>
        <w:gridCol w:w="65"/>
      </w:tblGrid>
      <w:tr>
        <w:trPr/>
        <w:tc>
          <w:tcPr>
            <w:tcW w:w="6091"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0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609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609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070" w:type="dxa"/>
            <w:gridSpan w:val="6"/>
            <w:tcBorders/>
            <w:vAlign w:val="bottom"/>
          </w:tcPr>
          <w:p>
            <w:pPr>
              <w:pStyle w:val="TableContents"/>
              <w:bidi w:val="0"/>
              <w:spacing w:before="0" w:after="283"/>
              <w:jc w:val="center"/>
              <w:rPr>
                <w:b/>
              </w:rPr>
            </w:pPr>
            <w:r>
              <w:rPr>
                <w:b/>
              </w:rPr>
              <w:t>(in millions)</w:t>
            </w:r>
          </w:p>
        </w:tc>
        <w:tc>
          <w:tcPr>
            <w:tcW w:w="65" w:type="dxa"/>
            <w:tcBorders/>
            <w:vAlign w:val="bottom"/>
          </w:tcPr>
          <w:p>
            <w:pPr>
              <w:pStyle w:val="TableContents"/>
              <w:bidi w:val="0"/>
              <w:spacing w:before="0" w:after="283"/>
              <w:jc w:val="left"/>
              <w:rPr/>
            </w:pPr>
            <w:r>
              <w:rPr/>
              <w:t> </w:t>
            </w:r>
          </w:p>
        </w:tc>
      </w:tr>
      <w:tr>
        <w:trPr/>
        <w:tc>
          <w:tcPr>
            <w:tcW w:w="60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09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60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b/>
              </w:rPr>
            </w:pPr>
            <w:r>
              <w:rPr>
                <w:b/>
              </w:rPr>
              <w:t>12,049</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b/>
              </w:rPr>
            </w:pPr>
            <w:r>
              <w:rPr>
                <w:b/>
              </w:rPr>
              <w:t>13,099</w:t>
            </w:r>
          </w:p>
        </w:tc>
        <w:tc>
          <w:tcPr>
            <w:tcW w:w="65" w:type="dxa"/>
            <w:tcBorders/>
            <w:shd w:fill="CCEEFF" w:val="clear"/>
            <w:vAlign w:val="bottom"/>
          </w:tcPr>
          <w:p>
            <w:pPr>
              <w:pStyle w:val="TableContents"/>
              <w:bidi w:val="0"/>
              <w:spacing w:before="0" w:after="283"/>
              <w:jc w:val="left"/>
              <w:rPr/>
            </w:pPr>
            <w:r>
              <w:rPr/>
              <w:t> </w:t>
            </w:r>
          </w:p>
        </w:tc>
      </w:tr>
      <w:tr>
        <w:trPr/>
        <w:tc>
          <w:tcPr>
            <w:tcW w:w="609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09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b/>
              </w:rPr>
            </w:pPr>
            <w:r>
              <w:rPr>
                <w:b/>
              </w:rPr>
              <w:t>1,133</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b/>
              </w:rPr>
            </w:pPr>
            <w:r>
              <w:rPr>
                <w:b/>
              </w:rPr>
              <w:t>1,422</w:t>
            </w:r>
          </w:p>
        </w:tc>
        <w:tc>
          <w:tcPr>
            <w:tcW w:w="65" w:type="dxa"/>
            <w:tcBorders/>
            <w:vAlign w:val="bottom"/>
          </w:tcPr>
          <w:p>
            <w:pPr>
              <w:pStyle w:val="TableContents"/>
              <w:bidi w:val="0"/>
              <w:spacing w:before="0" w:after="283"/>
              <w:jc w:val="left"/>
              <w:rPr/>
            </w:pPr>
            <w:r>
              <w:rPr/>
              <w:t> </w:t>
            </w:r>
          </w:p>
        </w:tc>
      </w:tr>
      <w:tr>
        <w:trPr/>
        <w:tc>
          <w:tcPr>
            <w:tcW w:w="609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0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92" w:type="dxa"/>
            <w:tcBorders/>
            <w:shd w:fill="CCEEFF" w:val="clear"/>
            <w:vAlign w:val="bottom"/>
          </w:tcPr>
          <w:p>
            <w:pPr>
              <w:pStyle w:val="TableContents"/>
              <w:bidi w:val="0"/>
              <w:spacing w:before="0" w:after="283"/>
              <w:jc w:val="right"/>
              <w:rPr>
                <w:b/>
              </w:rPr>
            </w:pPr>
            <w:r>
              <w:rPr>
                <w:b/>
              </w:rPr>
              <w:t>10,915</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92" w:type="dxa"/>
            <w:tcBorders/>
            <w:shd w:fill="CCEEFF" w:val="clear"/>
            <w:vAlign w:val="bottom"/>
          </w:tcPr>
          <w:p>
            <w:pPr>
              <w:pStyle w:val="TableContents"/>
              <w:bidi w:val="0"/>
              <w:spacing w:before="0" w:after="283"/>
              <w:jc w:val="right"/>
              <w:rPr>
                <w:b/>
              </w:rPr>
            </w:pPr>
            <w:r>
              <w:rPr>
                <w:b/>
              </w:rPr>
              <w:t>11,677</w:t>
            </w:r>
          </w:p>
        </w:tc>
        <w:tc>
          <w:tcPr>
            <w:tcW w:w="65" w:type="dxa"/>
            <w:tcBorders/>
            <w:shd w:fill="CCEEFF" w:val="clear"/>
            <w:vAlign w:val="bottom"/>
          </w:tcPr>
          <w:p>
            <w:pPr>
              <w:pStyle w:val="TableContents"/>
              <w:bidi w:val="0"/>
              <w:spacing w:before="0" w:after="283"/>
              <w:jc w:val="left"/>
              <w:rPr/>
            </w:pPr>
            <w:r>
              <w:rPr/>
              <w:t> </w:t>
            </w:r>
          </w:p>
        </w:tc>
      </w:tr>
      <w:tr>
        <w:trPr/>
        <w:tc>
          <w:tcPr>
            <w:tcW w:w="609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Non-GAAP Financial Measure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4463"/>
        <w:gridCol w:w="431"/>
        <w:gridCol w:w="367"/>
        <w:gridCol w:w="339"/>
        <w:gridCol w:w="140"/>
        <w:gridCol w:w="563"/>
        <w:gridCol w:w="60"/>
        <w:gridCol w:w="339"/>
        <w:gridCol w:w="140"/>
        <w:gridCol w:w="563"/>
        <w:gridCol w:w="60"/>
        <w:gridCol w:w="339"/>
        <w:gridCol w:w="140"/>
        <w:gridCol w:w="563"/>
        <w:gridCol w:w="65"/>
      </w:tblGrid>
      <w:tr>
        <w:trPr/>
        <w:tc>
          <w:tcPr>
            <w:tcW w:w="4463"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90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5261" w:type="dxa"/>
            <w:gridSpan w:val="3"/>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5261" w:type="dxa"/>
            <w:gridSpan w:val="3"/>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907" w:type="dxa"/>
            <w:gridSpan w:val="10"/>
            <w:tcBorders/>
            <w:vAlign w:val="bottom"/>
          </w:tcPr>
          <w:p>
            <w:pPr>
              <w:pStyle w:val="TableContents"/>
              <w:bidi w:val="0"/>
              <w:spacing w:before="0" w:after="283"/>
              <w:jc w:val="center"/>
              <w:rPr>
                <w:b/>
              </w:rPr>
            </w:pPr>
            <w:r>
              <w:rPr>
                <w:b/>
              </w:rPr>
              <w:t>(in millions)</w:t>
            </w:r>
          </w:p>
        </w:tc>
        <w:tc>
          <w:tcPr>
            <w:tcW w:w="65" w:type="dxa"/>
            <w:tcBorders/>
            <w:vAlign w:val="bottom"/>
          </w:tcPr>
          <w:p>
            <w:pPr>
              <w:pStyle w:val="TableContents"/>
              <w:bidi w:val="0"/>
              <w:spacing w:before="0" w:after="283"/>
              <w:jc w:val="left"/>
              <w:rPr/>
            </w:pPr>
            <w:r>
              <w:rPr/>
              <w:t> </w:t>
            </w:r>
          </w:p>
        </w:tc>
      </w:tr>
      <w:tr>
        <w:trPr/>
        <w:tc>
          <w:tcPr>
            <w:tcW w:w="5261" w:type="dxa"/>
            <w:gridSpan w:val="3"/>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Adjusted EBITDA(1)</w:t>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2,837</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3,060</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3,402</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See Presentation of Financial and Other InformationNon-GAAP Financial Measures and Managements Discussion and Analysis of Financial Condition and Results of OperationNon-GAAP Financial Measures for discussion on how we define and calculate Adjusted EBITDA, why we believe this measure is important and a reconciliation of Adjusted EBITDA to its most directly comparable financial measure calculated in accordance with GAAP, net income attributable to Versant.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8" w:name="tx894612_4"/>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each of the following risks and all of the other information contained in this information statement. Some of these risks relate principally to the Separation, while others relate principally to our business and the industry in which we operate or to the securities markets generally and ownership of our common stock. Our business, prospects, results of operations, financial condition or cash flows could be materially and adversely affected by any of these risks, and, as a result, the trading price of our Class A common stock could decline. </w:t>
      </w:r>
    </w:p>
    <w:p>
      <w:pPr>
        <w:pStyle w:val="TextBody"/>
        <w:bidi w:val="0"/>
        <w:spacing w:before="480" w:after="0"/>
        <w:jc w:val="center"/>
        <w:rPr>
          <w:rFonts w:ascii="Times New Roman" w:hAnsi="Times New Roman"/>
          <w:b/>
          <w:sz w:val="20"/>
        </w:rPr>
      </w:pPr>
      <w:r>
        <w:rPr>
          <w:rFonts w:ascii="Times New Roman" w:hAnsi="Times New Roman"/>
          <w:b/>
          <w:sz w:val="20"/>
        </w:rPr>
        <w:t xml:space="preserve">Business Risk Factors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are subject to intense competition, and if we are unable to compete effectively, our business, financial condition and results of operations could suffer. </w:t>
      </w:r>
    </w:p>
    <w:p>
      <w:pPr>
        <w:pStyle w:val="TextBody"/>
        <w:bidi w:val="0"/>
        <w:spacing w:before="120" w:after="0"/>
        <w:jc w:val="left"/>
        <w:rPr>
          <w:rFonts w:ascii="Times New Roman" w:hAnsi="Times New Roman"/>
          <w:sz w:val="20"/>
        </w:rPr>
      </w:pPr>
      <w:r>
        <w:rPr>
          <w:rFonts w:ascii="Times New Roman" w:hAnsi="Times New Roman"/>
          <w:sz w:val="20"/>
        </w:rPr>
        <w:t xml:space="preserve">Our businesses operate in highly competitive industries. Our networks compete with other networks to secure favorable distribution agreements with MVPDs and ultimately for viewership. We also compete with companies that license programming and related content to secure desired programming, as well as companies that sell advertising time and space, including other networks distributed by MVPDs, streaming services, social media platforms, other online and mobile offerings, radio and newspapers. For more information regarding the competition facing our businesses, see BusinessOur IndustryCompetition. </w:t>
      </w:r>
    </w:p>
    <w:p>
      <w:pPr>
        <w:pStyle w:val="TextBody"/>
        <w:bidi w:val="0"/>
        <w:spacing w:before="240" w:after="0"/>
        <w:jc w:val="left"/>
        <w:rPr>
          <w:rFonts w:ascii="Times New Roman" w:hAnsi="Times New Roman"/>
          <w:sz w:val="20"/>
        </w:rPr>
      </w:pPr>
      <w:r>
        <w:rPr>
          <w:rFonts w:ascii="Times New Roman" w:hAnsi="Times New Roman"/>
          <w:sz w:val="20"/>
        </w:rPr>
        <w:t xml:space="preserve">We compete to distribute our networks on MVPDs, including for the right to be carried on any particular tier of service and ultimately for viewership. Competition has intensified as MVPDs have explored alternative distribution methods and new types of MVPD bundles to satisfy evolving consumer preferences. Although we intend to reach new audiences by expanding and extending our content offerings into new outlets, the market landscape is highly competitive and requires significant investment, and there can be no assurance that we will be able to compete effectively.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compete against companies that license programming and related content, including other networks and digital platforms. The market for programming is very competitive. Sports programming, in particular, has become significantly more competitive and expensive in recent years. As a result, there can be no assurance that we will be able to renew our existing sports programming agreements at attractive rates, or at all. In addition, content owners may choose not to license popular content to us, and as more content owners offer their content direct-to-consumer, they may reduce the quantity and quality of the content available to us. If we are unable to enter into or renew some or all of these contracts on acceptable terms, the audience appeal of our programming and related content may suffer, which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compete with companies that sell advertising time and space, such as other networks distributed by MVPDs, streaming services (including an increasing number of ad-supported streaming services), social media platforms, other online and mobile offerings, radio and newspapers. Our competition with digital media companies has intensified as advertisers have shifted, and may continue to shift, a larger portion of their total expenditures to digital media. The willingness of advertisers to purchase advertising from us may be adversely affected by lower audience ratings at our networks or less engagement on our digital platforms. Additionally, we face competition from other platforms with more tailored customer targeting capabilities that sell advertising at competitive prices. </w:t>
      </w:r>
    </w:p>
    <w:p>
      <w:pPr>
        <w:pStyle w:val="TextBody"/>
        <w:bidi w:val="0"/>
        <w:spacing w:before="240" w:after="0"/>
        <w:jc w:val="left"/>
        <w:rPr>
          <w:rFonts w:ascii="Times New Roman" w:hAnsi="Times New Roman"/>
          <w:sz w:val="20"/>
        </w:rPr>
      </w:pPr>
      <w:r>
        <w:rPr>
          <w:rFonts w:ascii="Times New Roman" w:hAnsi="Times New Roman"/>
          <w:sz w:val="20"/>
        </w:rPr>
        <w:t xml:space="preserve">We also compete through our digital businesses with other similar businesses. New or existing competitors may be able to develop competing services that have greater appeal or are more competitively priced, or may be able to respond more quickly and effectively than we can to new or changing opportunities, technologies, regulations or user requirements. </w:t>
      </w:r>
    </w:p>
    <w:p>
      <w:pPr>
        <w:pStyle w:val="TextBody"/>
        <w:bidi w:val="0"/>
        <w:spacing w:before="240" w:after="0"/>
        <w:jc w:val="left"/>
        <w:rPr>
          <w:rFonts w:ascii="Times New Roman" w:hAnsi="Times New Roman"/>
          <w:sz w:val="20"/>
        </w:rPr>
      </w:pPr>
      <w:r>
        <w:rPr>
          <w:rFonts w:ascii="Times New Roman" w:hAnsi="Times New Roman"/>
          <w:sz w:val="20"/>
        </w:rPr>
        <w:t xml:space="preserve">Competitors with significant resources, greater efficiencies of scale and fewer regulatory burdens continue to increasingly compete with our businesses. Some of these competitors could also have preferential access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customer data or other competitive information. Further, consolidation of, or cooperation between, our competitors may intensify competition. For example, cooperation between competitors may allow them to offer a range of products and services, including aggregating certain content into a stand-alone offering, offering free or lower cost streaming services, potentially on an exclusive basis, or bundling streaming services with other digital platforms. There can be no assurance that we will be able to compete successfully in the future against existing or new competitors, or that competition will not have an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compete effectively depends on our perceived image and reputation among our various constituencies, including consumers, advertisers and other business partners, employees, investors and government authorities. For example, some of these constituencies may have their own, and some have conflicting, environmental, social and governance priorities, which may present risks to our reputation and brands if these constituencies perceive misalignment.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consumer behavior, evolving technologies and distribution platforms continue to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Technological advances and evolving consumer preferences have changed how audiences consume video content, reducing the number of subscribers to MVPDs and, in turn, adversely affecting businesses like ours that derive distribution revenue from MVPDs. </w:t>
      </w:r>
    </w:p>
    <w:p>
      <w:pPr>
        <w:pStyle w:val="TextBody"/>
        <w:bidi w:val="0"/>
        <w:spacing w:before="240" w:after="0"/>
        <w:jc w:val="left"/>
        <w:rPr>
          <w:rFonts w:ascii="Times New Roman" w:hAnsi="Times New Roman"/>
          <w:sz w:val="20"/>
        </w:rPr>
      </w:pPr>
      <w:r>
        <w:rPr>
          <w:rFonts w:ascii="Times New Roman" w:hAnsi="Times New Roman"/>
          <w:sz w:val="20"/>
        </w:rPr>
        <w:t xml:space="preserve">As subscribers depart the MVPD ecosystem, MVPDs could deprioritize their cable television network consumer offering or exit the cable television network business altogether, further reducing our distribution revenue and causing the advertising on our networks to become less attractive. Because we derive significant revenue through advertising on networks distributed by MVPDs, these changes have affected, and will continue to affect, our business and results of operations. Consumer demand for traditional U.S. cable television remains subject to many factors outside of our control and, while we expect subscribers to continue to depart the MVPD ecosystem, we cannot be certain how consumer demand will evolve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As we respond to the decline in consumer demand for cable television, our future success is and will be dependent on our ability to acquire, develop, adopt and leverage new and existing technologies, and our competitors use of certain types of technology, including artificial intelligence (AI), may provide them with a competitive advantage if we are unable to keep pace. New technologies can materially impact our businesses in a number of ways, including affecting the demand for our content and services, how we distribute our content and provide our other services and increasing competition for our digital platforms, all of which may adversely affect our business. For example, advances in technology have significantly increased the number of content distribution platforms, increasing the number of entertainment choices available to consumers, intensifying audience fragmentation and disaggregating the manner in which content is distributed and consumed. These new platforms include streaming services and aggregators, social networking and user-generated content platforms, gaming and other mobile applications. Many content owners also deliver programming or related content direct-to-consumer, which has further disrupted traditional content distribution models. As consumers turn to direct-to-consumer offerings or streaming services in lieu of cable television networks, the revenue we earn from distributing our networks to MVPDs may decrease. Additionally, the rising popularity of many of these content distribution platforms, including the rapid proliferation of streaming services and short-form video content on social networking platforms, have changed, and may continue to change, consumers expectations of video content, their willingness to pay for such content, their perception of quality entertainment and their tolerance for commercial interruptions. Such changes have reduced traditional U.S. cable television viewership and contributed to audience ratings declines for our networks.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anticipate or effectively respond to changes in technology, consumer behavior or distribution models, or if we are unable to execute effectively on our strategic and technology initiatives, our businesses and results of operations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A decline in advertisers expenditures or changes in advertising markets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derive significant revenue from selling advertising, and declines in expenditures by advertisers have in the past negatively impacted, and may in the future, negatively impact our business, financial condition and results of operations. We have experienced, and may continue to experience, declines in advertising revenue caused by the economic prospects of specific advertisers or industries, increased competition for the leisure time of viewers, increased audience fragmentation, increased viewing of content through streaming services or other digital platforms and increased use of time-shifting and advertising-blocking technologies, regulatory intervention regarding where, what and when advertising may be placed, regulatory changes regarding the content of certain advertising and economic conditions generally. Additionally, expenditures by advertisers can be cyclical. For example, major sports events and election cycles may cause our advertising revenue to vary substantially from period to period. Political advertising expenditures are impacted by the ability and willingness of candidates and political action campaigns to spend funds on advertising and the competitive nature of the elections in markets featuring our programming. A decline in the economic prospects of advertisers or the economy in general could also alter current or prospective advertisers spending priorities. The threat of regulatory action or increased scrutiny that deters certain advertisers from advertising or reaching their intended audiences could also adversely affect advertising revenue. In addition, shifting consumer preferences towards other content distribution platforms has changed the landscape of traditional U.S. cable television advertising spending, prompting advertisers to modify their strategies, and ultimately advertising spend, and this trend may continue or accelerate. </w:t>
      </w:r>
    </w:p>
    <w:p>
      <w:pPr>
        <w:pStyle w:val="TextBody"/>
        <w:bidi w:val="0"/>
        <w:spacing w:before="240" w:after="0"/>
        <w:jc w:val="left"/>
        <w:rPr>
          <w:rFonts w:ascii="Times New Roman" w:hAnsi="Times New Roman"/>
          <w:sz w:val="20"/>
        </w:rPr>
      </w:pPr>
      <w:r>
        <w:rPr>
          <w:rFonts w:ascii="Times New Roman" w:hAnsi="Times New Roman"/>
          <w:sz w:val="20"/>
        </w:rPr>
        <w:t xml:space="preserve">Demand for advertising is also a factor in determining advertising rates. Lower audience ratings and reduced viewership, which our networks have experienced, and likely will continue to experience, affect advertisers willingness to purchase advertising from us. Advertising sales also depend on the methodology used for audience measurement and could be negatively affected if methodologies do not accurately reflect actual viewership or engagement levels. Reduced use of our online businesses and mobile applications may also adversely impact our advertising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Damage to our brands or our reputation could have a material adverse effect on our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brands are among our most valuable assets. We believe that our brand image, awareness and reputation strengthen our relationship with our audiences and contribute significantly to the success of our business. Maintaining, enhancing and extending our brands may require us to make significant investments in marketing, content or new products, services or events, and these investments may not be successful. We may introduce new content that is not popular with our consumers and advertisers, which may negatively affect our brands. To the extent our news, sports and entertainment content is not compelling to consumers, our ability to maintain a positive reputation may be adversely impacted. Our brands, credibility and reputation have been impacted from time to time, and could be damaged in the future, by incidents that erode consumer, advertiser or business partner trust or a perception that our offerings, including our journalism, programming and related content, are low quality, unreliable or fail to attract and retain audiences. The manipulation of content by bad actors, including the creation of deep fakes (videos created with AI to realistically impersonate persons such as journalists or political candidates), could erode audience trust by making it difficult to determine what content is real. Additionally, litigation, governmental scrutiny and fines and significant negative claims or publicity regarding us or our operations, content, products, management, employees, practices, advertisers, business partners and culture, including individuals associated with content we create or license, impact our reputation and may damage our reputation and brands, even if meritless or untrue. </w:t>
      </w:r>
    </w:p>
    <w:p>
      <w:pPr>
        <w:pStyle w:val="TextBody"/>
        <w:bidi w:val="0"/>
        <w:spacing w:before="240" w:after="0"/>
        <w:jc w:val="left"/>
        <w:rPr>
          <w:rFonts w:ascii="Times New Roman" w:hAnsi="Times New Roman"/>
          <w:sz w:val="20"/>
        </w:rPr>
      </w:pPr>
      <w:r>
        <w:rPr>
          <w:rFonts w:ascii="Times New Roman" w:hAnsi="Times New Roman"/>
          <w:sz w:val="20"/>
        </w:rPr>
        <w:t xml:space="preserve">Additionally, geopolitical tensions, including as a result of geopolitical conflicts, political developments and social unease, could negatively impact the reputation of our brands. Furthermore, to the extent our marketing, cybersecurity, customer service and public relations efforts are not effective or result in negative consumer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reaction, our ability to maintain a positive reputation may likewise be adversely impacted. If we are not successful in maintaining or enhancing the image or awareness of our brands, or if our reputation is harmed for any reason, it could have a material adverse effect on our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depends on the continued appeal of the content we distribute. The preferences of our viewers and distributors are difficult to forecast and subject to change.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business depends on viewer preferences and audience acceptance of the content we distribute. The factors that drive viewer engagement are often unpredictable and volatile and subject to influences that are beyond our control, such as changing consumer tastes, the quality, accessibility and appeal of competing programming, general economic conditions and competition from other entertainment activities. We may not be able to anticipate and react effectively to shifts in viewer preferences in our markets. Changes in viewer preferences and demographics have caused, and may continue to cause, the audiences for certain of our programming and related content to decline. To the extent that MVPDs and other digital platforms package channels by genre or increase customer choice as to which networks are included in their subscription packages, ratings for our networks may decline and our business, financial condition and results of operations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 failure to anticipate or respond to viewer preferences could be especially detrimental to our business, particularly for certain portions of our business that depend on a relatively small number of programs and sporting events. For example, the success of our sports programming depends on the popularity and success of the sports franchises, leagues and teams for which we have acquired programming rights. Any decline in popularity of a sports league or failure to generate fan enthusiasm may adversely impact viewership, advertising sales and distribution fees received from MVPDs when our existing carriage deals expire. If the content we distribute does not gain the level of audience acceptance we expect, or if we are unable to maintain the popularity of such content, our bargaining position may be adversely impacted when seeking to renew our distribution agreements with MVPDs, and we may experience a decrease in the number of subscribers for our networks, causing our advertising revenue to suffer. </w:t>
      </w:r>
    </w:p>
    <w:p>
      <w:pPr>
        <w:pStyle w:val="TextBody"/>
        <w:bidi w:val="0"/>
        <w:spacing w:before="240" w:after="0"/>
        <w:jc w:val="left"/>
        <w:rPr>
          <w:rFonts w:ascii="Times New Roman" w:hAnsi="Times New Roman"/>
          <w:sz w:val="20"/>
        </w:rPr>
      </w:pPr>
      <w:r>
        <w:rPr>
          <w:rFonts w:ascii="Times New Roman" w:hAnsi="Times New Roman"/>
          <w:sz w:val="20"/>
        </w:rPr>
        <w:t xml:space="preserve">The commercial success of the content we distribute also depends upon the quality and acceptance of competing content available in the marketplace. Other factors, including the availability of alternative forms of entertainment and leisure time activities, piracy and our ability to develop strong brand awareness may also affect the audience demand for our content. Consequently, reduced public acceptance of our news, sports and entertainment content or negative publicity regarding individuals or operations associated with our content or brands may decrease our audience share and viewer reach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loss of programming distribution agreements, or the renewal of these agreements on less favorable terms, could adversely affect our businesses. </w:t>
      </w:r>
    </w:p>
    <w:p>
      <w:pPr>
        <w:pStyle w:val="TextBody"/>
        <w:bidi w:val="0"/>
        <w:spacing w:before="120" w:after="0"/>
        <w:jc w:val="left"/>
        <w:rPr>
          <w:rFonts w:ascii="Times New Roman" w:hAnsi="Times New Roman"/>
          <w:sz w:val="20"/>
        </w:rPr>
      </w:pPr>
      <w:r>
        <w:rPr>
          <w:rFonts w:ascii="Times New Roman" w:hAnsi="Times New Roman"/>
          <w:sz w:val="20"/>
        </w:rPr>
        <w:t xml:space="preserve">Our networks depend on our ability to secure and maintain favorable distribution agreements with MVPDs. If our networks do not attract sufficient viewers, both new and existing MVPDs may be reluctant to distribute our networks or may decide to distribute our networks with significantly less favorable terms.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number of subscribers to our networks has decreased over time, and may continue to decrease, as a result of MVPDs offering smaller packages of channels as part of their MVPD bundles and by overall reduced viewing of cable television. Similarly, MVPDs may elect not to enter into agreements to distribute some or all of our networks as a result of changing market dynamics. Our ability to renew agreements on acceptable terms may be affected by evolving market dynamics and industry consolidation. There can be no assurance that any of these agreements will be entered into or renewed in the future on similar terms. Our inability to enter into or renew some or all of our distribution agreements could reduce our revenue and the reach of our programming, which could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Additionally, some policymakers maintain that MVPDs should be required to offer a la carte programming to subscribers on a network by network basis or family friendly programming tiers. Unbundling packages of program services may increase both competition for carriage on distribution platforms and marketing expenses,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growth of our digital platforms depends on our ability to attract new customers, retain existing customers and continue to grow the revenue we derive from these businesses. </w:t>
      </w:r>
    </w:p>
    <w:p>
      <w:pPr>
        <w:pStyle w:val="TextBody"/>
        <w:bidi w:val="0"/>
        <w:spacing w:before="120" w:after="0"/>
        <w:jc w:val="left"/>
        <w:rPr>
          <w:rFonts w:ascii="Times New Roman" w:hAnsi="Times New Roman"/>
          <w:sz w:val="20"/>
        </w:rPr>
      </w:pPr>
      <w:r>
        <w:rPr>
          <w:rFonts w:ascii="Times New Roman" w:hAnsi="Times New Roman"/>
          <w:sz w:val="20"/>
        </w:rPr>
        <w:t xml:space="preserve">Our digital platforms generate revenue from providing services directly to consumers, selling cloud-based technology and related services and selling advertisements. </w:t>
      </w:r>
    </w:p>
    <w:p>
      <w:pPr>
        <w:pStyle w:val="TextBody"/>
        <w:bidi w:val="0"/>
        <w:spacing w:before="240" w:after="0"/>
        <w:jc w:val="left"/>
        <w:rPr>
          <w:rFonts w:ascii="Times New Roman" w:hAnsi="Times New Roman"/>
          <w:sz w:val="20"/>
        </w:rPr>
      </w:pPr>
      <w:r>
        <w:rPr>
          <w:rFonts w:ascii="Times New Roman" w:hAnsi="Times New Roman"/>
          <w:sz w:val="20"/>
        </w:rPr>
        <w:t xml:space="preserve">We may fail to attract new customers, retain our existing customers or increase sales to both new and existing customers due to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reductions in our current or potential customers spending levels;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decrease in user spending, including due to a deteriorating macroeconomic environment;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decline in our customers level of satisfaction with our websites and mobile applications or our pricing;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relationships with third parties, including app developers, payments processors and other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brand recognition;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concerns relating to actual or perceived privacy or security breaches.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businesses depend on using and protecting certain intellectual property rights and on not infringing, misappropriating or otherwise violating the intellectual property rights of others. </w:t>
      </w:r>
    </w:p>
    <w:p>
      <w:pPr>
        <w:pStyle w:val="TextBody"/>
        <w:bidi w:val="0"/>
        <w:spacing w:before="120" w:after="0"/>
        <w:jc w:val="left"/>
        <w:rPr>
          <w:rFonts w:ascii="Times New Roman" w:hAnsi="Times New Roman"/>
          <w:sz w:val="20"/>
        </w:rPr>
      </w:pPr>
      <w:r>
        <w:rPr>
          <w:rFonts w:ascii="Times New Roman" w:hAnsi="Times New Roman"/>
          <w:sz w:val="20"/>
        </w:rPr>
        <w:t xml:space="preserve">We rely on our intellectual property, such as patents, copyrights, trademarks and trade secrets, as well as licenses and other agreements with our vendors and other third parties, to use various technologies, conduct our business operations and sell our products and services. Legal challenges to our intellectual property rights and claims of intellectual property infringement, misappropriation or other violation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 as currently conducted. We may need to change our business practices if any of these events occur, which may limit our ability to compete effectively and could have an adverse effect on our business, financial condition and results of operations. Even if we believe any such challenges or claims are without merit, they can be time-consuming, costly to defend and may divert managements attention and resources away from our businesses. Moreover, if we are unable to obtain, or continue to obtain, licenses from our vendors and other third parties on reasonable terms, or at all, our business, financial condition and results of operations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intellectual property constitutes a significant part of the value of our businesses, and our success is highly dependent on protecting the intellectual property rights of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The legal landscape for new technologies, including AI, remains uncertain, and legal developments could impact our ability to protect against unauthorized third-party use, misappropriation, reproduction or infringement or impact our ability to deploy new technologies. Our use or adoption of new and emerging technologies may also increase our exposure to intellectual property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related content through unauthorized digital platforms continues to present challenges for our businesses. For example, certain entities may stream our content illegally online without our consent and without paying us any compensation, and sporting events on our networks may be illegally transmitted.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 cyber attack, information or security breach, or technology disruption or failure, may negatively impact our ability to conduct our business or result in the misuse of confidential information, all of which could adversely affect our reputation and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Network and information systems and other technologies, including those that are related to programming delivery, network management and digital platforms, and are otherwise embedded in our products and services, are critical to our business activities. In the ordinary course of our business, there are constant attempts by unauthorized parties to cause systems-related events and security incidents and to identify and exploit vulnerabilities in security architecture and system design. These incidents include computer hacking, cyber attacks, computer viruses, worms or other destructive or disruptive software, denial of service attacks, phishing attacks, malware, ransomware, malicious social engineering, theft, misconduct, fraud and other malicious activities. Incidents can be caused inadvertently by us or our third-party vendors, such as process breakdowns, human error, software or hardware failures or vulnerabilities in security architecture or system design. </w:t>
      </w:r>
    </w:p>
    <w:p>
      <w:pPr>
        <w:pStyle w:val="TextBody"/>
        <w:bidi w:val="0"/>
        <w:spacing w:before="240" w:after="0"/>
        <w:jc w:val="left"/>
        <w:rPr>
          <w:rFonts w:ascii="Times New Roman" w:hAnsi="Times New Roman"/>
          <w:sz w:val="20"/>
        </w:rPr>
      </w:pPr>
      <w:r>
        <w:rPr>
          <w:rFonts w:ascii="Times New Roman" w:hAnsi="Times New Roman"/>
          <w:sz w:val="20"/>
        </w:rPr>
        <w:t xml:space="preserve">Cyber threats and attacks are constantly evolving and are growing in sophistication and frequency, which increases the difficulty of detecting and successfully defending against them. For example, we expect threat actors will continue to gain sophistication by using tools and techniques, such as AI, that are specifically designed to circumvent security controls. Some cyber attacks have had, and in the future can have, cascading impacts that unfold with increasing speed across networks, information systems and other technologies across the world and create latent vulnerabilities in our and third-party vendors systems and other technologies. We also obtain certain confidential, proprietary and personal information about our customers, personnel and vendors, that in many cases is provided or made available to third-party vendors who agree to protect it, which has in the past, and may in the future, become compromised through a cyber attack or data breach, misappropriation, misuse, leakage, falsification or accidental release or loss of information by us or a third party. Due to the nature of our businesses, we may be at a disproportionately heightened risk of these types of incidents occurring because we maintain certain information necessary to conduct our business in digital form and operate our digital businesses. We also incorporate third-party software (including extensive open-source software), applications and data hosting and cloud-based services into many aspects of our products, services and operations, as well as rely on service providers to help us perform our business operations, all of which expose us to cyber attacks with respect to such third-party suppliers and service providers and their products and services. Due to applicable laws, regulations and contractual obligations, we may be held responsible for cybersecurity breaches or incidents experienced by such third parties in relation to the information we share with them. Due to complexity and interconnectedness of our systems and those of our third-party vendors, the process of enhancing our protective measures can itself create a risk of systems disruptions and security issues. </w:t>
      </w:r>
    </w:p>
    <w:p>
      <w:pPr>
        <w:pStyle w:val="TextBody"/>
        <w:bidi w:val="0"/>
        <w:spacing w:before="240" w:after="0"/>
        <w:jc w:val="left"/>
        <w:rPr>
          <w:rFonts w:ascii="Times New Roman" w:hAnsi="Times New Roman"/>
          <w:sz w:val="20"/>
        </w:rPr>
      </w:pPr>
      <w:r>
        <w:rPr>
          <w:rFonts w:ascii="Times New Roman" w:hAnsi="Times New Roman"/>
          <w:sz w:val="20"/>
        </w:rPr>
        <w:t xml:space="preserve">While we develop and maintain systems and operate programs that seek to prevent security incidents from occurring, these efforts are costly and must be constantly monitored and updated in the face of sophisticated and rapidly evolving attempts to overcome our security measures and protections. The occurrence of both intentional and unintentional incidents has caused, and may from time to time in the future cause, a variety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impacts. These include degradation or disruption of our products and services, theft or misuse of our intellectual property or other assets, disruption of the security of our internal systems, products, services or satellite transmission signals, power outages, the compromise or exfiltration of sensitive, personal, proprietary, confidential or technical business information and customer or vendor data and reputational impacts. In addition, despite efforts to detect unlawful intrusions, attacks can persist for an extended period of time before being detected, and following detection, it may take considerable time to understand the nature, scope, impact and timing of the incident. Moreover, the amount and scope of insurance we maintain against losses resulting from any of the foregoing events likely would not be sufficient to fully cover our losses or otherwise adequately compensate us for disruptions to our business that may result. Repercussions of these incidents have in the past included and may in the future include legal proceedings or significant regulatory fines, oversight and other remedial measures, including with respect to relevant consumer privacy rules, or otherwise have an adverse effect on our company. Despite our efforts, we expect that we will continue to experience such incidents in the future, and there can be no assurance that any such incident will not have an adverse effect on our reputation or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complex and evolving laws and regulations related to privacy and data protection. </w:t>
      </w:r>
    </w:p>
    <w:p>
      <w:pPr>
        <w:pStyle w:val="TextBody"/>
        <w:bidi w:val="0"/>
        <w:spacing w:before="120" w:after="0"/>
        <w:jc w:val="left"/>
        <w:rPr>
          <w:rFonts w:ascii="Times New Roman" w:hAnsi="Times New Roman"/>
          <w:sz w:val="20"/>
        </w:rPr>
      </w:pPr>
      <w:r>
        <w:rPr>
          <w:rFonts w:ascii="Times New Roman" w:hAnsi="Times New Roman"/>
          <w:sz w:val="20"/>
        </w:rPr>
        <w:t xml:space="preserve">Our businesses are subject to laws and regulations that impose various restrictions and obligations related to privacy and the processing of individuals personal information. In the United States, federal privacy laws and regulations, such as those found within the Communications Act of 1934 (the Communications Act) or the Video Privacy Protection Act, restrict companies collection, use, disclosure and retention of personal information, and the laws at the state level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 For more regarding the privacy and data protection regulation of our business, see BusinessRegulation. </w:t>
      </w:r>
    </w:p>
    <w:p>
      <w:pPr>
        <w:pStyle w:val="TextBody"/>
        <w:bidi w:val="0"/>
        <w:spacing w:before="240" w:after="0"/>
        <w:jc w:val="left"/>
        <w:rPr>
          <w:rFonts w:ascii="Times New Roman" w:hAnsi="Times New Roman"/>
          <w:sz w:val="20"/>
        </w:rPr>
      </w:pPr>
      <w:r>
        <w:rPr>
          <w:rFonts w:ascii="Times New Roman" w:hAnsi="Times New Roman"/>
          <w:sz w:val="20"/>
        </w:rPr>
        <w:t xml:space="preserve">The number and complexity of these laws and regulations continues to increase. New privacy and data protection laws and regulations continue to be introduced and interpretations of existing privacy and data protection laws and regulations, some of which may be inconsistent with one another, continue to evolve. As a result, significant uncertainty exists as to the application and scope of these laws and regulations. Compliance with these laws and regulations is costly, and such costs may increase as new laws or regulations are introduced. In addition, we may become subject to legal claims or regulatory actions, which could have an adverse effect on our reputation or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Weak economic conditions may have a negative impact on our businesses. </w:t>
      </w:r>
    </w:p>
    <w:p>
      <w:pPr>
        <w:pStyle w:val="TextBody"/>
        <w:bidi w:val="0"/>
        <w:spacing w:before="120" w:after="0"/>
        <w:jc w:val="left"/>
        <w:rPr>
          <w:rFonts w:ascii="Times New Roman" w:hAnsi="Times New Roman"/>
          <w:sz w:val="20"/>
        </w:rPr>
      </w:pPr>
      <w:r>
        <w:rPr>
          <w:rFonts w:ascii="Times New Roman" w:hAnsi="Times New Roman"/>
          <w:sz w:val="20"/>
        </w:rPr>
        <w:t xml:space="preserve">A substantial portion of our revenue comes from customers whose spending patterns may be affected by prevailing economic conditions. Downturns in global economic conditions have in the past, and may in the future, negatively affect the spending patterns of our current and potential customers, particularly advertisers whose expenditures are sensitive to general economic conditions, vendors and others with whom we do business and their ability to satisfy their obligations to us. Uncertain economic conditions, including as a result of geopolitical dynamics, changes in trade policies and foreign exchange rates, could adversely affect demand for any of our products or services and have a negative impact on our results of operations. In addition, inflationary conditions or a general increase in price levels may increase our costs of licensing and acquiring programming and related content, as well as increase our other costs of doing business, which could negatively affect our profitability. This risk may be increased by the expanded availability of free or lower cost competitive services on other content distribution platforms which could lead to pressure on our advertising revenue by reducing the number of viewers of our content.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We may from time to time record impairment charges for goodwill and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We have a significant amount of goodwill and intangible assets on our combined balance sheets. In accordance with GAAP, management periodically assesses these assets for impairment (see Note 7 to the audited combined financial statements included elsewhere in this information statement). The occurrence of certain events and circumstances has resulted in, and these or other new developments could result in, a downward revision in the estimated fair value of our business and intangible assets. For example, continued negative industry or economic trends, including the decline of traditional U.S. cable television viewership and related advertising revenues, changes in advertising markets and other disruptions to our business, could negatively affect our estimates of the fair value of our intangible assets. We also continually evaluate whether current factors or indicators, such as prevailing economic conditions, require the performance of an interim impairment assessment. Future changes in events or circumstances, such as downturns in global economic conditions, continued decline in consumer demand for cable television and the occurrence of other events and circumstances described elsewhere in this information statement, could result in decreases in the fair value of our business and intangible assets and require us to record impairment losses that could materially adversely affect our results of operations in the periods recognized.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loss of key management personnel or popular on-air and creative talent could have an adverse effect on our businesses. </w:t>
      </w:r>
    </w:p>
    <w:p>
      <w:pPr>
        <w:pStyle w:val="TextBody"/>
        <w:bidi w:val="0"/>
        <w:spacing w:before="120" w:after="0"/>
        <w:jc w:val="left"/>
        <w:rPr>
          <w:rFonts w:ascii="Times New Roman" w:hAnsi="Times New Roman"/>
          <w:sz w:val="20"/>
        </w:rPr>
      </w:pPr>
      <w:r>
        <w:rPr>
          <w:rFonts w:ascii="Times New Roman" w:hAnsi="Times New Roman"/>
          <w:sz w:val="20"/>
        </w:rPr>
        <w:t xml:space="preserve">We rely on certain key management personnel in the operation of our businesses and the loss of one or more of our key management personnel could have a negative impact on our businesses.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depend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 In addition, many of our talent may have loyal audiences. These individuals are important to audience endorsement of our programs and other content. There can be no assurance that these individuals will remain with us or retain their current audiences.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Labor disputes, whether involving employees or sports organizations, may disrupt our operations and adversely affect our businesses. </w:t>
      </w:r>
    </w:p>
    <w:p>
      <w:pPr>
        <w:pStyle w:val="TextBody"/>
        <w:bidi w:val="0"/>
        <w:spacing w:before="120" w:after="0"/>
        <w:jc w:val="left"/>
        <w:rPr>
          <w:rFonts w:ascii="Times New Roman" w:hAnsi="Times New Roman"/>
          <w:sz w:val="20"/>
        </w:rPr>
      </w:pPr>
      <w:r>
        <w:rPr>
          <w:rFonts w:ascii="Times New Roman" w:hAnsi="Times New Roman"/>
          <w:sz w:val="20"/>
        </w:rPr>
        <w:t xml:space="preserve">We and some of our suppliers and business partners currently retain, and may in the future retain, the services of writers, directors, on-air talent or other performers, technicians, trade employees and others involved in the development and production of our content who are covered by collective bargaining agreements. If negotiations to renew expiring collective bargaining agreements are not successful or become unproductive, the affected unions could take, and have taken, actions such as strikes, work slowdowns or work stoppages. Strikes, work slowdowns, work stoppages, or the possibility of such actions, could result in delays in the production of, or the release of, the content aired by our networks and may in turn affect our ability to acquire content at a reasonable price or at all. If we or the producers of the content we air on our networks are unable to reach agreement with a labor union before the expiration of a collective bargaining agreement, the employees who were covered by that agreement, including our on-air talent, may decide to exercise their right to strike or take other actions that could adversely affect us, which could disrupt our operations and reduce our revenue, and the resolution of any disputes may increase our costs. In addition, labor disputes in sports organizations with which we have programming rights agreements could have an adverse effect on our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regulation by federal, state and local authorities, which impose additional costs and restrictions on our businesses. </w:t>
      </w:r>
    </w:p>
    <w:p>
      <w:pPr>
        <w:pStyle w:val="TextBody"/>
        <w:bidi w:val="0"/>
        <w:spacing w:before="120" w:after="0"/>
        <w:jc w:val="left"/>
        <w:rPr>
          <w:rFonts w:ascii="Times New Roman" w:hAnsi="Times New Roman"/>
          <w:sz w:val="20"/>
        </w:rPr>
      </w:pPr>
      <w:r>
        <w:rPr>
          <w:rFonts w:ascii="Times New Roman" w:hAnsi="Times New Roman"/>
          <w:sz w:val="20"/>
        </w:rPr>
        <w:t xml:space="preserve">Our businesses are subject to various federal, state and local laws and regulations. For example, the Communications Act and the Federal Communications Commission (FCC) regulations affect certain aspects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business. Furthermore, laws and regulations that hinder or stimulate the growth of linear or digital video programming distribution could also affect our business. Our digital platforms are also subject to a variety of laws and regulations, including those relating to issues such as content regulation, privacy and data protection and consumer protection. </w:t>
      </w:r>
    </w:p>
    <w:p>
      <w:pPr>
        <w:pStyle w:val="TextBody"/>
        <w:bidi w:val="0"/>
        <w:spacing w:before="240" w:after="0"/>
        <w:jc w:val="left"/>
        <w:rPr>
          <w:rFonts w:ascii="Times New Roman" w:hAnsi="Times New Roman"/>
          <w:sz w:val="20"/>
        </w:rPr>
      </w:pPr>
      <w:r>
        <w:rPr>
          <w:rFonts w:ascii="Times New Roman" w:hAnsi="Times New Roman"/>
          <w:sz w:val="20"/>
        </w:rPr>
        <w:t xml:space="preserve">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Applying existing laws in novel ways to new technologies, including AI, may also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 laws and regulations applicable to our businesses could result in administrative enforcement actions, fines and civil and criminal liability, and have a negative impact on our business, results of operations and financial condition. For more regarding the regulation of our business, see BusinessRegulation.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Unfavorable litigation or governmental investigation results could require us to pay significant amounts or lead to onerous operating procedures.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from time to time to a number of lawsuits, including claims relating to intellectual property rights (including copyrights, trademarks and patents), employment and labor matters, personal injury and property damage, negligence, customer privacy, regulatory requirements, advertising, marketing and selling practices and competition. In addition, in the ordinary course of business, we have in the past, and may in the future, face a wide variety of claims relating to defamation, disparagement, libel, free speech, the nature and substance of our content or statements made by personnel or talent. We also expend substantial resources complying with various regulatory and government standards, including any related investigations and litigation. Greater constraints on the use of arbitration to resolve certain of these disputes also could adversely affect our business. Adverse outcomes in any lawsuits or investigations could result in significant monetary damages or injunctive relief that could adversely affect our business, results of operations or financial condition. In addition, regardless of the ultimate merit or outcome of such lawsuits, investigations or claims, these proceedings may have an adverse impact on our business as a result of legal costs, diversion of the attention of management and other personnel, harm to our reputation and other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inability to successfully make investments in, or acquire and integrate, other businesses, assets, products or technologies could harm our business, financial condition or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Our success may depend on opportunities to buy other businesses or technologies that could complement, enhance or expand our current business or products or that might otherwise offer us growth opportunities. We may pursue strategic transactions from time to time, including, but not limited to, acquisitions, joint ventures, partnerships and strategic investments. Such transactions may result in dilutive issuances of our equity securities, use of our cash resources and incurrence of debt and amortization expenses related to intangible assets. Any strategic transaction that we are able to identify and complete may be accompanied by a number of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difficulty of assimilating the operations and personnel of acquired companies into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disruption of our ongoing business and distraction of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incurrence of additional operating losses and operating expenses of the businesses we acquired or in which we invested;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difficulty of integrating acquired technology and rights into our services and unanticipated expenses related to such integration;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successfully further develop an acquired business or technology and any resulting impairment of amounts currently capitalized as intangible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strategic investments to perform as expected or to meet financial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patent and trademark infringement and data privacy and security claims against the acquired companies, or companies in which we have invested;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or other claims in connection with acquisitions, acquired companies, or companies in which we have invested;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impairment or loss of relationships with customers and partners of the companies we acquired or in which we invested or with our customers and partners as a result of the integration of acquired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impairment of relationships with, or failure to retain, employees of acquired companies or our existing employees as a result of integration of new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difficulty of integrating operations, systems and controls as a result of cultural, regulatory, systems and operational differences;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management of companies in which we invest but do not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foreign acquisitions and investments, the impact of particular economic, tax, currency, political, legal and regulatory risks associated with specific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known potential liabilities or liabilities that may be unknown, including as a result of inadequate internal controls, associated with the companies we acquired or in which we invested.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 </w:t>
      </w:r>
    </w:p>
    <w:p>
      <w:pPr>
        <w:pStyle w:val="TextBody"/>
        <w:bidi w:val="0"/>
        <w:spacing w:before="480" w:after="0"/>
        <w:jc w:val="center"/>
        <w:rPr>
          <w:rFonts w:ascii="Times New Roman" w:hAnsi="Times New Roman"/>
          <w:b/>
          <w:sz w:val="20"/>
        </w:rPr>
      </w:pPr>
      <w:r>
        <w:rPr>
          <w:rFonts w:ascii="Times New Roman" w:hAnsi="Times New Roman"/>
          <w:b/>
          <w:sz w:val="20"/>
        </w:rPr>
        <w:t xml:space="preserve">Spin-Related Risk Factors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realize the anticipated benefits from the Separation, and the Separation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may not be able to achieve the full strategic and financial benefits expected to result from the Separation, or such benefits may be delayed or not occur at all. The Separation is expected to provide both companies with potential opportunities and benefits, such as clear strategic direction, resource and capital allocation, enhanced operating focus, management and employee incentives and investor choice and value creation. We may not achieve these and other anticipated benefits for a variety of reasons,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Separation will require significant amounts of managements time and effort, which may divert managements attention from operating and growing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Separation, we may be more susceptible to economic downturns and other adverse events than if we were still a part of Comcast;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Separation, our business will be less diversified than Comcasts business prior to the Separation and will also experience a loss of scale and access to certain financial, managerial and professional resources from which we have benefited in the past;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actions required to separate the respective businesses could disrupt our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If we fail to achieve some or all of the benefits expected to result from the Separation, or if such benefits are delayed, our business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 history of operating as an independent company, and our audited combined and unaudited pro forma financial statements are not necessarily representative of the results that we would have achieved as an independent, publicly traded company and may not be a reliable indicator of our future results. </w:t>
      </w:r>
    </w:p>
    <w:p>
      <w:pPr>
        <w:pStyle w:val="TextBody"/>
        <w:bidi w:val="0"/>
        <w:spacing w:before="120" w:after="0"/>
        <w:jc w:val="left"/>
        <w:rPr>
          <w:rFonts w:ascii="Times New Roman" w:hAnsi="Times New Roman"/>
          <w:sz w:val="20"/>
        </w:rPr>
      </w:pPr>
      <w:r>
        <w:rPr>
          <w:rFonts w:ascii="Times New Roman" w:hAnsi="Times New Roman"/>
          <w:sz w:val="20"/>
        </w:rPr>
        <w:t xml:space="preserve">Our audited combined and unaudited pro forma combined financial statements included in this information statement have been derived from Comcasts consolidated financial statements and accounting records and are not necessarily indicative of our future results of operations, financial condition or cash flows, nor do they reflect what our results of operations, financial condition or cash flows would have been as an independent public company during the periods presented. In particular, the audited combined financial statements included in this information statement is not necessarily indicative of our future results of operations, financial condition or cash flows primarily because of the following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Separation, our business has been operated by Comcast on a combined basis as part of its broader corporate organization, rather than as an independent company or distinct business unit or division. Comcast or its affiliates provided support for various corporate functions for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audited combined financial results reflect the direct, indirect and allocated costs for such services historically provided by Comcast, and these costs may significantly differ from the comparable expenses we would have incurred as an independent, publicly traded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Separation, our business has been integrated with that of Comcast and we benefit from Comcasts arrangements in terms of costs, employees and commercial relationships. Thus, costs we will incur as an independent company may exceed comparable costs we would have incurred as part of Comcast and some of our commercial relationships may be weakened or lost;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historically operated within Comcasts corporate-wide cash management and centralized funding programs, and as an independent company our borrowing costs may significantly differ from Comcasts borrowing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audited combined financial statements may not fully reflect the costs associated with the Separation, including the costs related to being an independent public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audited combined financial statements do not reflect our obligations under the various transitional and other agreements we will enter into with Comcast in connection with the Separation, though costs under such agreements may be more than what was charged to the Spin Business in the past.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based the pro forma adjustments included in this information statement on available information and assumptions that we believe are reasonable and factually supportable; actual results, however, may vary. In addition, our unaudited pro forma combined financial statements included in this information statement may not give effect to various ongoing additional costs we may incur in connection with being an independent public company. Accordingly, our unaudited pro forma combined financial statements do not reflect what our results of operations, financial condition or cash flows would have been as an independent public company and are not necessarily indicative of our future financial condition or future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See Unaudited Pro Forma Combined Financial Statements, Managements Discussion and Analysis of Financial Condition and Results of Operations and our audited combined financial statements and the notes to those statements included elsewhere in this information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historically operated within Comcast, and there are risks associated with the Separation. </w:t>
      </w:r>
    </w:p>
    <w:p>
      <w:pPr>
        <w:pStyle w:val="TextBody"/>
        <w:bidi w:val="0"/>
        <w:spacing w:before="120" w:after="0"/>
        <w:jc w:val="left"/>
        <w:rPr>
          <w:rFonts w:ascii="Times New Roman" w:hAnsi="Times New Roman"/>
          <w:sz w:val="20"/>
        </w:rPr>
      </w:pPr>
      <w:r>
        <w:rPr>
          <w:rFonts w:ascii="Times New Roman" w:hAnsi="Times New Roman"/>
          <w:sz w:val="20"/>
        </w:rPr>
        <w:t xml:space="preserve">We have historically operated within Comcast, and our current relationship with Comcast, including NBCUniversal Media, LLC (NBCUniversal), will change as a result of the Separation. These and other changes could have an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Before the Distribution, we will enter into a Separation and Distribution Agreement that provides a framework for our relationship with Comcast after the Separation. However, there can be no assurance that the provisions in the Separation and Distribution Agreement will continue to be beneficial for Versant. For example, Comcast and NBCUniversal currently provide guarantees for our benefit to third parties with respect to certain of our contractual obligations. Following the Separation, we may not be able to obtain similar terms for new contracts, or renew existing contracts on favorable terms or at all. In addition, pursuant to the Separation and Distribution Agreement, we are required to indemnify and reimburse Comcast and its subsidiaries for any payments made by Comcast or its subsidiaries and for any liabilities of Comcast or its subsidiaries arising out of their obligations under guarantees provided by them for our benefit to third parties with respect to certain of our contractual obligations, if such guarantees are not removed or replaced by the time of the Separation. Such payments are not subject to any cap. </w:t>
      </w:r>
    </w:p>
    <w:p>
      <w:pPr>
        <w:pStyle w:val="TextBody"/>
        <w:bidi w:val="0"/>
        <w:spacing w:before="240" w:after="0"/>
        <w:jc w:val="left"/>
        <w:rPr>
          <w:rFonts w:ascii="Times New Roman" w:hAnsi="Times New Roman"/>
          <w:sz w:val="20"/>
        </w:rPr>
      </w:pPr>
      <w:r>
        <w:rPr>
          <w:rFonts w:ascii="Times New Roman" w:hAnsi="Times New Roman"/>
          <w:sz w:val="20"/>
        </w:rPr>
        <w:t xml:space="preserve">Furthermore, when we renegotiate our carriage agreements with distributors, we will no longer have the ability to do so with the benefit of negotiating as part of NBCUniversal, which may result in less advantageous terms for Versant. Separately, we may lose the advantage of volume discounts with certain vendors that are enjoyed by large organizations like Comcast or NBCUniversal.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Separation, we are entering into certain commercial arrangements with Comcast. See The SeparationAgreements with ComcastCertain Commercial Arrangements. Although these agreements are generally based on market terms that could be obtained from other providers and relate to ordinary course business functions, they are important to our ability to provide certain content to our viewers, provide certain services to our customers and generate portions of our revenue, and we may be required to expend significant resources to renew these commercial arrangements with Comcast, find alternative business partners to provide similar services in the future and/or develop capabilities so that we can perform certain of these functions internally. There can be no assurance that we will be able to do so on attractive terms or at all, which could adversely impact our business, financial condition and results of operations. Moreover, following the Separation, we will be subject to certain restrictions on our businesses that will prevent us from using certain trademarks to compete with certain Comcast businesses in certain international territories for a period after the expiration of the license.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the Separation, Comcast will provide certain services to us on a transitional basis that were previously provided by Comcast to us when we were part of Comcast. Comcast may not successfully execute its obligations to us under these arrangements, and any interruption in the functions or services that will be provided to us by Comcast following the Separation could have an adverse effect on our business, financial condition and results of operations. Comcast may also allege that we have failed to perform our obligations to Comcast under these arrangements, which may subject us to claims and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incur significant costs to create the infrastructure necessary to operate as an independent public company and may experience operational disruptions in connection with the Separation. </w:t>
      </w:r>
    </w:p>
    <w:p>
      <w:pPr>
        <w:pStyle w:val="TextBody"/>
        <w:bidi w:val="0"/>
        <w:spacing w:before="120" w:after="0"/>
        <w:jc w:val="left"/>
        <w:rPr>
          <w:rFonts w:ascii="Times New Roman" w:hAnsi="Times New Roman"/>
          <w:sz w:val="20"/>
        </w:rPr>
      </w:pPr>
      <w:r>
        <w:rPr>
          <w:rFonts w:ascii="Times New Roman" w:hAnsi="Times New Roman"/>
          <w:sz w:val="20"/>
        </w:rPr>
        <w:t xml:space="preserve">Comcast currently performs all or part of certain corporate functions for us, including information technology, shared services, insurance, logistics, human resources, public company reporting, finance and internal audit functions. Following the Separation, pursuant to the Transition Services Agreement, Comcast will continue to provide some of these services to us on a transitional basis, generally for a period of up to two years. See The SeparationAgreements with ComcastTransition Services Agreement. Comcast may not successfully execute all of these functions during the transition period or we may have to expend significant efforts or incur costs materially in excess of those estimated to be paid to Comcast under the Transition Services Agreement in the event of any such failure. Any interruption in these services could have an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the end of this transition period, we will need to perform these functions ourselves or hire third parties to perform these functions on our behalf. The costs associated with performing or outsourcing these functions may exceed the amounts reflected in our audited combined financial statements that were incurred as a business segment of Comcast. We expect to incur costs beginning in the second quarter of 2025 to establish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necessary infrastructure and create the systems and services to replace many of the systems and services that Comcast currently provides to us. However, we may not be successful in implementing these systems and services in a timely manner or at all, and we may incur additional costs in connection with, or following, the implementation of these systems and services. A significant increase in the costs of performing or outsourcing these functions could materially and adversely affect our business,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Moreover, we may be required to make substantial capital investments to establish independent physical infrastructure following the Separation. For example, we will likely need to make significant investments to develop our own offices and production sites. These efforts to build the infrastructure necessary to operate independently could be costly and complex. There can be no assurance that we will be successful in implementing our own systems or in securing new facilities and services without experiencing delays or unexpected cost overruns. If we are unable to operate our business as efficiently or cost-effectively as we did as a part of Comcasts infrastructure, our profitability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will have to obtain our own insurance policies after the Separation is complete. Although we expect to have insurance policies in place as of the Separation that cover certain, but not all, hazards that could arise from our operations, we can provide no assurance that we will be able to obtain such coverage, that the cost of such coverage will be similar to those incurred by Comcast or that such coverage will be adequate to protect us from costs incurred with certain events. The occurrence of an event that is not insured or not fully insured could have a material adverse effect on our results of operations, financial condition and cash flows in the future. There can be no assurance that we will be able to obtain insurance coverage following the Separation on terms that justify its purchase, and any such insurance may not be adequate to offset costs associated with certain events.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may experience certain operational disruptions in connection with the Separation as we transition to operating as an independent public company, including information technology disruptions as certain data, software, information technology hardware and other information technology assets and systems are transitioned or re-allocated between us and Comcast pursuant to the Separation and Distribution Agreement and the Transition Services Agreement. Additionally, we may experience operational disruptions as we implement new systems or upgrades in connection with the Separation and also with such transition upon the expiration of the transition period under the Transition Services Agreement. In addition, the efforts related to the separation of the information technology environment will require significant resources that could impact our ability to keep pace with ongoing advancement of information technology needs of the business. Our ability to effectively manage and operate our business depends significantly on information technology systems, and any failure, disruption, interruption, malfunction or other issue with respect to such systems could have an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obligations associated with being a public company will require significant resources and management attention. </w:t>
      </w:r>
    </w:p>
    <w:p>
      <w:pPr>
        <w:pStyle w:val="TextBody"/>
        <w:bidi w:val="0"/>
        <w:spacing w:before="120" w:after="0"/>
        <w:jc w:val="left"/>
        <w:rPr>
          <w:rFonts w:ascii="Times New Roman" w:hAnsi="Times New Roman"/>
          <w:sz w:val="20"/>
        </w:rPr>
      </w:pPr>
      <w:r>
        <w:rPr>
          <w:rFonts w:ascii="Times New Roman" w:hAnsi="Times New Roman"/>
          <w:sz w:val="20"/>
        </w:rPr>
        <w:t xml:space="preserve">Following the effectiveness of the registration statement of which this information statement forms a part, we will be directly subject to reporting and other obligations under the Exchange Act and the rules of    . As an independent public company, we will be required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prepare and distribute periodic reports, proxy statements and other shareholder communications in compliance with the federal securities laws and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our own Board of Directors and committees thereof, which comply with federal securities laws and rules and stock exchange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institute our own financial reporting and disclosure compliance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investor relations and treasury functions;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internal policies, including those relating to trading in our securities and disclosure controls and procedures;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rules and regulations implemented by the SEC, the Sarbanes-Oxley Act, the Dodd-Frank Act, the Public Company Accounting Oversight Board and     .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reporting and other obligations will place significant demands on our management and our administrative and operational resources, including accounting resources, and we expect to face increased legal, accounting, administrative and other costs and expenses relating to these demands that we had not incurred as a segment of Comcast. Our accounting and other management systems and resources may not be adequately prepared to meet the financial reporting and other requirements to which we will be subject following the Separation. To comply with these requirements, we anticipate that we will need to duplicate information technology infrastructure, implement additional financial and management controls, reporting systems and procedures and hire additional accounting, finance, tax, treasury and information technology staff. Our investment in compliance with existing and evolving regulatory requirements will result in increased administrative expenses and a diversion of managements time and attention from revenue-generating activities to compliance activities. If we are unable to do this in a timely and effective fashion, our ability to comply with our financial reporting requirements and other rules that apply to reporting companies could be impaired, which could have a material adverse effect on our business, results of operations, financial condition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maintain effective internal controls, we may not be able to report our financial results accurately or timely or prevent or detect fraud, which could have a material adverse effect on our business or the market price of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Section 404 of the Sarbanes-Oxley Act, our management will be required to conduct an annual assessment of the effectiveness of our internal control over financial reporting and include a report on these internal controls in the annual reports we will file with the SEC on Form 10-K. Our independent registered public accounting firm may not be required to formally attest to the effectiveness of our internal controls until the year following the first annual report required to be filed with the SEC. When required, this process will require significant documentation of policies, procedures and systems, review of that documentation by our internal auditing and accounting staff and our outside independent registered public accounting firm, and testing of our internal controls over financial reporting by our internal auditing and accounting staff and our outside independent registered public accounting firm. This process will involve considerable time and attention, may strain our internal resources, and will increase our operating costs. We may experience higher than anticipated operating expenses and outside auditor fees during the implementation of these changes and thereafter. If management or our independent registered public accounting firm determines that our internal control over financial reporting is not effective,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combined financial statements, a decline in our stock price, or suspension or delisting of our Class A common stock, and could have a material adverse effect on our business, financial condition, prospects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Until the Separation occurs, Comcast has sole discretion to change the terms of the Separation in ways that may be unfavorable to us. </w:t>
      </w:r>
    </w:p>
    <w:p>
      <w:pPr>
        <w:pStyle w:val="TextBody"/>
        <w:bidi w:val="0"/>
        <w:spacing w:before="120" w:after="0"/>
        <w:jc w:val="left"/>
        <w:rPr>
          <w:rFonts w:ascii="Times New Roman" w:hAnsi="Times New Roman"/>
          <w:sz w:val="20"/>
        </w:rPr>
      </w:pPr>
      <w:r>
        <w:rPr>
          <w:rFonts w:ascii="Times New Roman" w:hAnsi="Times New Roman"/>
          <w:sz w:val="20"/>
        </w:rPr>
        <w:t xml:space="preserve">Completion of the Separation remains subject to the satisfaction or waiver of certain conditions, some of which are in the sole and absolute discretion of Comcast, including final approval by Comcasts Board. Additionally, Comcast has the sole and absolute discretion to change certain terms of the Separation, including the amount of any payment we make to Comcast, the amount of our indebtedness and the allocation of contingent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liabilities, which changes could be unfavorable to us. In addition, Comcast may decide at any time prior to the completion of the Separation not to proceed with the Separation.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connection with the Separation, Comcast will indemnify us for certain liabilities, and we will indemnify Comcast for certain liabilities. If we are required to act under these indemnities to Comcast, we may need to divert cash to meet those obligations, which could adversely affect our financial results. Moreover, the Comcast indemnity may not be sufficient to insure us against the full amount of liabilities for which we will be allocated responsibility.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Separation and Distribution Agreement and other agreements with Comcast, Comcast will agree to indemnify us for certain liabilities, and we will agree to indemnify Comcast for certain liabilities, as discussed further in The SeparationAgreements with Comcast. Payments that we may be required to provide under indemnities and reimbursements to Comcast are not subject to any cap, may be significant and could negatively affect our business, particularly under indemnities relating to our actions that could affect the tax-free nature of the Separation. Third parties could also seek to hold us responsible for the liabilities that Comcast has agreed to retain, and under certain circumstances, we may be subject to continuing contingent liabilities of Comcast following the Separation that arise relating to the operations of the Spin Business during the time that it was a business segment of Comcast prior to the Separation, such as certain tax liabilities which relate to periods during which taxes of the Spin Business were reported as a part of Comcast; certain liabilities retained by Comcast which relate to contracts or other obligations entered into jointly by the Spin Business and Comcasts retained business; certain environmental liabilities related to sites at which both Comcast and the Spin Business operated; and certain liabilities arising from third-party claims in respect of contracts in which both Comcast and the Spin Business supply goods or provide services. </w:t>
      </w:r>
    </w:p>
    <w:p>
      <w:pPr>
        <w:pStyle w:val="TextBody"/>
        <w:bidi w:val="0"/>
        <w:spacing w:before="240" w:after="0"/>
        <w:jc w:val="left"/>
        <w:rPr>
          <w:rFonts w:ascii="Times New Roman" w:hAnsi="Times New Roman"/>
          <w:sz w:val="20"/>
        </w:rPr>
      </w:pPr>
      <w:r>
        <w:rPr>
          <w:rFonts w:ascii="Times New Roman" w:hAnsi="Times New Roman"/>
          <w:sz w:val="20"/>
        </w:rPr>
        <w:t xml:space="preserve">Comcast has agreed to indemnify us for such contingent liabilities. While we have no reason to expect that Comcast will not be able to support its indemnification obligations to us, we can provide no assurance that Comcast will be able to fully satisfy its indemnification obligations or that such indemnity obligations will be sufficient to cover our liabilities for matters which Comcast has agreed to retain, including such contingent liabilities. Moreover, even if we ultimately succeed in recovering from Comcast any amounts for which we are indemnified, we may be temporarily required to bear these losses ourselves. Each of these risks could have a material adverse effect on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connection with the Separation, we intend to enter into new financing arrangements that could restrict our business and adversely impact our cash flows,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intend to enter into new financing arrangements in anticipation of the Separation. We expect to incur approximately $    of new debt. See The SeparationIncurrence of Debt and Description of Material Indebtedness. This level of debt could have significant consequences on our future operations,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resulting in an event of default if we fail to comply with the financial and other restrictive covenants contained in such debt agreements, which could result in all of our debt becoming immediately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availability of our cash flow to fund working capital, capital expenditures, acquisitions and other general corporate purposes and limiting our ability to obtain additional financing for these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and increasing our vulnerability to, changes in our business, the industry in which we operate and the general economy;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competitive disadvantage compared to any of our competitors that have less debt or are less leveraged.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above-listed factors could have an adverse effect on our business, financial condition and results of operations. We may also incur substantial additional indebtedness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we may be unable to service or refinance our debt or maintain compliance with restrictive covenants in our debt instruments. Our cash flow from operations will provide the primary source of funds for our debt service payments. If our cash flow from operations declines, we may be unable to service or refinance our current debt. If we fail to comply with any covenant in the future, including any financial covenant, it could result in an event of default and make the entire debt incurred thereunder immediately due and payable or we may be forced to sell assets, restructure our indebtedness or seek additional equity capital, which would dilute our shareholders interests.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future indenture or credit agreements that we may enter into may include restrictive covenants that, subject to certain exceptions and qualifications, restrict or limit our ability and the ability of our subsidiaries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 The Separation may increase the overall cost of debt funding and decrease the overall debt capacity and commercial credit available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or assignment to us of some contracts and other assets will require the consent of a third party. If such consent is not given, we may not be entitled to the benefit of such contracts, investments and other assets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Transfer or assignment of some of the contracts and other assets in connection with the Separation will require the consent of a third party to the transfer or assignment. Similarly, in some circumstances, we are joint beneficiaries of contracts, and we will need to enter into a new agreement with the third party to replicate the existing contract or assign the portion of the existing contract related to our business. While we anticipate that most of these contract assignments and new agreements will be obtained prior to the Separation, we may not be able to obtain all required consents or enter into all such new agreements, as applicable, until after the Distribution Date. Some parties may use the requirement of a consent to seek more favorable contractual terms from us, which could include our having to obtain letters of credit or other forms of credit support. If we are unable to obtain such consents or such credit support on commercially reasonable and satisfactory terms, we may be unable to obtain some of the benefits, assets and contractual commitments that are intended to be allocated to us as part of the Separation. In addition, where we do not intend to obtain consent from third-party counterparties based on our belief that no consent is required, the third-party counterparties may challenge the transaction on the basis that the terms of the applicable commercial arrangements require their consent. We may incur substantial litigation and other costs in connection with any such claims and, if we do not prevail, our ability to use these assets could be adversely impacted. </w:t>
      </w:r>
    </w:p>
    <w:p>
      <w:pPr>
        <w:pStyle w:val="TextBody"/>
        <w:bidi w:val="0"/>
        <w:spacing w:before="240" w:after="0"/>
        <w:jc w:val="left"/>
        <w:rPr>
          <w:rFonts w:ascii="Times New Roman" w:hAnsi="Times New Roman"/>
          <w:sz w:val="20"/>
        </w:rPr>
      </w:pPr>
      <w:r>
        <w:rPr>
          <w:rFonts w:ascii="Times New Roman" w:hAnsi="Times New Roman"/>
          <w:sz w:val="20"/>
        </w:rPr>
        <w:t xml:space="preserve">We cannot provide assurance that all such required third-party consents and new agreements will be procured or put in place, as applicable, prior to the Distribution. Consequently, we may not realize certain of the benefits that are intended to be allocated to us as part of the Separation.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the Separation, some of our directors and officers may have actual or potential conflicts of interest because of their equity ownership in Comcast. </w:t>
      </w:r>
    </w:p>
    <w:p>
      <w:pPr>
        <w:pStyle w:val="TextBody"/>
        <w:bidi w:val="0"/>
        <w:spacing w:before="120" w:after="0"/>
        <w:jc w:val="left"/>
        <w:rPr>
          <w:rFonts w:ascii="Times New Roman" w:hAnsi="Times New Roman"/>
          <w:sz w:val="20"/>
        </w:rPr>
      </w:pPr>
      <w:r>
        <w:rPr>
          <w:rFonts w:ascii="Times New Roman" w:hAnsi="Times New Roman"/>
          <w:sz w:val="20"/>
        </w:rPr>
        <w:t xml:space="preserve">Because of their current or former positions with Comcast, following the Separation, some of our directors and executive officers may continue to own shares of Comcast Class A common stock, and the individual holdings may be significant for some of these individuals compared to their total assets. This ownership may create, or may create the appearance of, conflicts of interest when these directors and officers are faced with decisions that could have different implications for Comcast or us. For example, potential conflicts of interest could arise in connection with the resolution of any dispute that may arise between Comcast and us regarding the terms of the agreements governing the Separation and the relationship thereafter between the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post-Distribution value of Comcast and Versant shares may not equal or exceed the pre-Distribution value of Comcast shares. </w:t>
      </w:r>
    </w:p>
    <w:p>
      <w:pPr>
        <w:pStyle w:val="TextBody"/>
        <w:bidi w:val="0"/>
        <w:spacing w:before="120" w:after="0"/>
        <w:jc w:val="left"/>
        <w:rPr>
          <w:rFonts w:ascii="Times New Roman" w:hAnsi="Times New Roman"/>
          <w:sz w:val="20"/>
        </w:rPr>
      </w:pPr>
      <w:r>
        <w:rPr>
          <w:rFonts w:ascii="Times New Roman" w:hAnsi="Times New Roman"/>
          <w:sz w:val="20"/>
        </w:rPr>
        <w:t xml:space="preserve">After the Separation, we expect that Comcast Class A common stock will continue to be traded on Nasdaq. We intend to apply to list the shares of Versant Class A common stock on     . We cannot assure you that the combined trading prices of Comcast Class A common stock and Versant Class A common stock after the Separation, as adjusted for any changes in the combined capitalization of both companies, will be equal to or greater than the trading price of Comcast Class A common stock prior to the Separation. Until the market has fully evaluated the business of Comcast without the Spin Business and potentially thereafter, the price at which Comcast Class A common stock trades may fluctuate significantly. Similarly, until the market has fully evaluated our business and potentially thereafter, the price at which our common stock trades may fluctuate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potentially could have received better terms from unaffiliated third parties than the terms we will receive in our agreements with Comcast. </w:t>
      </w:r>
    </w:p>
    <w:p>
      <w:pPr>
        <w:pStyle w:val="TextBody"/>
        <w:bidi w:val="0"/>
        <w:spacing w:before="120" w:after="0"/>
        <w:jc w:val="left"/>
        <w:rPr>
          <w:rFonts w:ascii="Times New Roman" w:hAnsi="Times New Roman"/>
          <w:sz w:val="20"/>
        </w:rPr>
      </w:pPr>
      <w:r>
        <w:rPr>
          <w:rFonts w:ascii="Times New Roman" w:hAnsi="Times New Roman"/>
          <w:sz w:val="20"/>
        </w:rPr>
        <w:t xml:space="preserve">The agreements we will enter into with Comcast in connection with the Separation will be negotiated while we are still part of Comcasts business. See The SeparationAgreements with Comcast. Accordingly, during the period in which the terms of those agreements will have been negotiated, we did not have an independent Board of Directors or a management team independent of Comcast. The terms of the agreements negotiated in the context of the Separation relate to, among other things, the allocation of assets, intellectual property, liabilities, rights and other obligations between Comcast and us, and arms-length negotiations between Comcast and an unaffiliated third-party in another form of transaction, such as a buyer in a sale of a business transaction, may have resulted in more favorable terms to the unaffiliated third-party.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Comcast shareholders do not have dissenters rights with respect to the Separation. </w:t>
      </w:r>
    </w:p>
    <w:p>
      <w:pPr>
        <w:pStyle w:val="TextBody"/>
        <w:bidi w:val="0"/>
        <w:spacing w:before="120" w:after="0"/>
        <w:jc w:val="left"/>
        <w:rPr>
          <w:rFonts w:ascii="Times New Roman" w:hAnsi="Times New Roman"/>
          <w:sz w:val="20"/>
        </w:rPr>
      </w:pPr>
      <w:r>
        <w:rPr>
          <w:rFonts w:ascii="Times New Roman" w:hAnsi="Times New Roman"/>
          <w:sz w:val="20"/>
        </w:rPr>
        <w:t xml:space="preserve">Comcast shareholders do not have any dissenters rights in connection with the Separation. Therefore, any Comcast shareholders who disagree with the Separation will be left without recourse other than selling their Versant shares. Such shareholders may be unable to subsequently sell their shares at the prices they desire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Transactions and Distribution, together with certain related transactions, do not qualify as transactions that are tax-free for U.S. federal income tax purposes or non-U.S. tax purposes, Comcast and/or holders of Comcast common stock could be subject to significant tax liability. </w:t>
      </w:r>
    </w:p>
    <w:p>
      <w:pPr>
        <w:pStyle w:val="TextBody"/>
        <w:bidi w:val="0"/>
        <w:spacing w:before="120" w:after="0"/>
        <w:jc w:val="left"/>
        <w:rPr>
          <w:rFonts w:ascii="Times New Roman" w:hAnsi="Times New Roman"/>
          <w:sz w:val="20"/>
        </w:rPr>
      </w:pPr>
      <w:r>
        <w:rPr>
          <w:rFonts w:ascii="Times New Roman" w:hAnsi="Times New Roman"/>
          <w:sz w:val="20"/>
        </w:rPr>
        <w:t xml:space="preserve">It is intended that the Distribution, together with certain related transactions, will qualify as a reorganization within the meaning of Section 368(a)(1)(D) of the Code and a distribution to which Section 355 of the Code applies. The Distribution is conditioned upon the receipt of the opinion of Davis Polk &amp; Wardwell LLP to the effect that such transactions will qualify for this intended tax treatment. In addition, it is intended that the Transactions generally will qualify as transactions that are tax-free for U.S. federal income tax and applicable non-U.S. tax purposes. The opinion will rely on certain representations, assumptions and undertakings, including those relating to the past and future conduct of our business, and the opinion would not be valid if such representations, assumptions and undertakings were incorrect. Notwithstanding the opinion, the IRS could determine that the Distribution should be treated as a taxable transaction for U.S. federal income tax purposes if it determines that any of the representations, assumptions or undertakings that were relied on for the opinion are false or have been violated, if it disagrees with the conclusions in the opinion, or for other reasons, including as a result of significant changes in the stock ownership of Comcast or us after the Distribution. For more information regarding the opinions see The SeparationMaterial U.S. Federal Income Tax Consequences of the DistributionTax Opinion. </w:t>
      </w:r>
    </w:p>
    <w:p>
      <w:pPr>
        <w:pStyle w:val="TextBody"/>
        <w:bidi w:val="0"/>
        <w:spacing w:before="240" w:after="0"/>
        <w:jc w:val="left"/>
        <w:rPr>
          <w:rFonts w:ascii="Times New Roman" w:hAnsi="Times New Roman"/>
          <w:sz w:val="20"/>
        </w:rPr>
      </w:pPr>
      <w:r>
        <w:rPr>
          <w:rFonts w:ascii="Times New Roman" w:hAnsi="Times New Roman"/>
          <w:sz w:val="20"/>
        </w:rPr>
        <w:t xml:space="preserve">If the Transactions and Distribution fail to qualify for the intended tax treatment, for any reason, Comcast and/or holders of Comcast common stock could be subject to substantial U.S. and/or applicable non-U.S. taxes as a result of the Separation, and we could incur significant liabilities under applicable law or as a result of the Tax Matters Agreement. See The SeparationMaterial U.S. Federal Income Tax Consequences of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If the Separation is taxable to Comcast as a result of a breach by us of any covenant or representation made by us in the Tax Matters Agreement (as defined below), we generally will be required to indemnify Comcast; the obligation to make payments on this indemnification obligation could have a material adverse effect on us.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it is intended that the Distribution, together with certain related transactions, will qualify as tax-free transactions to Comcast and to holders of Comcast common stock, except with respect to any cash received in lieu of fractional shares of common stock, and that the Transactions generally will qualify as tax-free transactions. If the Distribution and/or any of the Transactions are not so treated or are taxable to Comcast (see The SeparationMaterial U.S. Federal Income Tax Consequences of the Distribution) due to a breach by us (or any of our subsidiaries) of any covenant or representation made by us in the Tax Matters Agreement, we generally will be required to indemnify Comcast for all tax-related losses suffered by Comcast. In addition, we will not control the resolution of any tax contest relating to taxes suffered by Comcast in connection with the Separation, and we may not control the resolution of tax contests relating to any other taxes for which we may ultimately have an indemnity obligation under the Tax Matters Agreement. In the event that Comcast suffers tax-related losses in connection with the Separation that must be indemnified by us under the Tax Matters Agreement, the indemnification liability could have a material adverse effect on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be subject to significant restrictions on our actions following the Separation in order to avoid triggering significant tax-related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Tax Matters Agreement generally will prohibit us from taking certain actions that could cause the Distribution and certain related transactions to fail to qualify as tax-free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two-year period following the Distribution Date (or otherwise pursuant to a plan within the meaning of Section 355(e) of the Code), we may not cause or permit certain business combinations or transactions to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two-year period following the Distribution Date, we may not discontinue the active conduct of our business (within the meaning of Section 355(b)(2)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two-year period following the Distribution Date, we may not sell or otherwise issue our common stock, other than pursuant to issuances that satisfy certain regulatory safe harbors set forth in Treasury regulations related to stock issued to employees and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two-year period following the Distribution Date, we may not redeem or otherwise acquire any of our common stock, other than pursuant to open-market repurchases of less than 20% of our common stock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two-year period following the Distribution Date, we may not amend our certificate of incorporation (or other organizational documents) or take any other action, whether through a shareholder vote or otherwise, affecting the voting rights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generally, we may not take any action that could reasonably be expected to cause certain steps of the Separation to fail to qualify as tax-free transactions for U.S. federal income tax purposes or for non-U.S.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Tax Matters Agreement, we may take an action described above if, prior to taking such action, we obtain an IRS letter ruling or an acceptable opinion of tax counsel, upon which Comcast may rely, to the effect that taking such action will not affect the intended tax-free treatment of the Distribution and certain related transactions. Even if we obtain such a ruling or opinion, and if we take any of the actions above and such actions result in tax-related losses to Comcast, we generally will be required to indemnify Comcast for such tax-related losses under the Tax Matters Agreement. See The SeparationAgreements with ComcastTax Matters Agreement. Due to these restrictions and indemnification obligations under the Tax Matters Agreement, we may be limited in our ability to pursue strategic transactions, equity or convertible debt financings or other transactions that may otherwise be in our best interests. Also, our potential indemnity obligation to Comcast might discourage, delay or prevent a change of control that our shareholders may consider favorable.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Risks Relating to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Because there has not been any public market for our Class A common stock, the market price and trading volume of our Class A common stock may be volatile and you may not be able to resell your shares at or above the initial market price of our common stock following the Separation.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Separation, there will have been no trading market for shares of our Class A common stock. An active trading market may not develop or be sustained for our Class A common stock after the Separation, and we cannot predict the prices at which our Class A common stock will trade after the Separation. The market price of our Class A common stock could fluctuate significantly due to a number of factors, many of which are beyond our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our quarterly or annual earnings results or those of other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failures of our operating results to meet the estimates of securities analysts or the expectations of our shareholders, or changes by securities analysts in their estimates of our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customers, suppliers or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valuations or earnings of other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which adversely affect our industry 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stock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significant sales of our Class A common stock by our shareholders or the perception in the market of such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issuances of our Class A common stock by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these Risk Factors and elsewhere in this information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 In addition, in the past, when the market price of a stock has been volatile, holders of that stock have in some cases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trading market for our Class A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A large number of our shares are or will be eligible for future sale, which may cause the market price of our Class A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Separation, we estimate that we will have outstanding an aggregate of approximately     shares of our Class A common stock (based on    shares of Comcast Class A common stock outstanding on    , 2025). </w:t>
      </w:r>
    </w:p>
    <w:p>
      <w:pPr>
        <w:pStyle w:val="TextBody"/>
        <w:bidi w:val="0"/>
        <w:spacing w:before="240" w:after="0"/>
        <w:jc w:val="left"/>
        <w:rPr>
          <w:rFonts w:ascii="Times New Roman" w:hAnsi="Times New Roman"/>
          <w:sz w:val="20"/>
        </w:rPr>
      </w:pPr>
      <w:r>
        <w:rPr>
          <w:rFonts w:ascii="Times New Roman" w:hAnsi="Times New Roman"/>
          <w:sz w:val="20"/>
        </w:rPr>
        <w:t xml:space="preserve">All of those shares (other than those held by our affiliates) will be freely tradable without restriction or registration under the Securities Act of 1933, as amended (the Securities Act). Shares of Class A common stock held by our affiliates, which include our directors and executive officers, can be sold subject to volume,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manner of sale and notice provisions of Rule 144 under the Securities Act. We estimate that our directors and executive officers, who may be considered affiliates for purposes of Rule 144, will beneficially own approximately    shares of our Class A common stock immediately following the Separation. We are unable to predict whether large amounts of our Class A common stock will be sold in the open market following the Separation. We are also unable to predict whether a sufficient number of buyers will be in the market at that time. As discussed in the immediately following risk factor, certain index funds will likely be required to sell shares of our Class A common stock that they receive in the Separation. In addition, other Comcast shareholders may sell the shares of our Class A common stock they receive in the Separation for various reasons. For example, such shareholders may not believe our business profile or level of market capitalization as an independent company fits their investment objectives.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our Class A common stock may not be included in the Standard &amp; Poors 500 Index, and it may not be included in other stock indices, significant amounts of our Class A common stock will likely need to be sold in the open market where there may not be offsetting demand. </w:t>
      </w:r>
    </w:p>
    <w:p>
      <w:pPr>
        <w:pStyle w:val="TextBody"/>
        <w:bidi w:val="0"/>
        <w:spacing w:before="120" w:after="0"/>
        <w:jc w:val="left"/>
        <w:rPr>
          <w:rFonts w:ascii="Times New Roman" w:hAnsi="Times New Roman"/>
          <w:sz w:val="20"/>
        </w:rPr>
      </w:pPr>
      <w:r>
        <w:rPr>
          <w:rFonts w:ascii="Times New Roman" w:hAnsi="Times New Roman"/>
          <w:sz w:val="20"/>
        </w:rPr>
        <w:t xml:space="preserve">A portion of Comcasts outstanding Class A common stock is held by index funds tied to the Standard &amp; Poors 500 Index and other stock indices. Based on a review of publicly available information as of     , 2025, we believe approximately     % of outstanding Comcast Class A common stock is held by index funds. Because our Class A common stock may not be included in the Standard &amp; Poors 500 Index, and it may not be included in other stock indices at the time of the Separation, index funds currently holding shares of Comcast Class A common stock will likely be required to sell the shares of our Class A common stock they receive in the Separation. There may not be sufficient buying interest to offset sales by those index funds. Accordingly, our Class A common stock could experience a high level of volatility immediately following the Separation and, as a result, the price of our Class A common stock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our articles of incorporation and bylaws and certain provisions of Pennsylvania law could delay or prevent a change in control of Versant. </w:t>
      </w:r>
    </w:p>
    <w:p>
      <w:pPr>
        <w:pStyle w:val="TextBody"/>
        <w:bidi w:val="0"/>
        <w:spacing w:before="120" w:after="0"/>
        <w:jc w:val="left"/>
        <w:rPr>
          <w:rFonts w:ascii="Times New Roman" w:hAnsi="Times New Roman"/>
          <w:sz w:val="20"/>
        </w:rPr>
      </w:pPr>
      <w:r>
        <w:rPr>
          <w:rFonts w:ascii="Times New Roman" w:hAnsi="Times New Roman"/>
          <w:sz w:val="20"/>
        </w:rPr>
        <w:t xml:space="preserve">The existence of certain provisions of our articles of incorporation and bylaws and Pennsylvania law could discourage, delay or prevent a change in control of Versant that a shareholder may consider favorable. These include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the right to our Board of Directors to issue one or more classes or series of preferred stock without shareholder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authorizing a large number of shares of stock that are not yet issued, which would allow our Board of Directors to issue shares to persons friendly to current management, thereby protecting the continuity of our management, or which could be used to dilute the stock ownership of persons seeking to obtain control of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for a dual class common stock structure in which holders of shares of our Class B common stock will have substantial voting rights and separate approval rights over several potentially significant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prohibiting shareholders from taking action by written consent;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advance notice and other requirements for nominations of candidates for election to our Board of Directors or for proposing matters that can be acted on by shareholders at the annual shareholder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these provisions will protect our shareholders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apply even if a takeover offer may be considered beneficial by some shareholders and could delay or prevent an acquisition that our Board of Directors determines is not in our and our shareholders best interests. See Description of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Your percentage ownership in Versant may be diluted in the future. </w:t>
      </w:r>
    </w:p>
    <w:p>
      <w:pPr>
        <w:pStyle w:val="TextBody"/>
        <w:bidi w:val="0"/>
        <w:spacing w:before="120" w:after="0"/>
        <w:jc w:val="left"/>
        <w:rPr>
          <w:rFonts w:ascii="Times New Roman" w:hAnsi="Times New Roman"/>
          <w:sz w:val="20"/>
        </w:rPr>
      </w:pPr>
      <w:r>
        <w:rPr>
          <w:rFonts w:ascii="Times New Roman" w:hAnsi="Times New Roman"/>
          <w:sz w:val="20"/>
        </w:rPr>
        <w:t xml:space="preserve">In the future, your percentage ownership in Versant may be diluted because of equity issuances for acquisitions, strategic investments, capital market transactions or otherwise, including equity awards that we may grant to our directors, officers, employees and other service providers. Our Compensation Committee is expected to grant additional equity awards to our employees after the Separation. These awards would have a dilutive effect on our earnings per share, which could adversely affect the market price of our Class A common stock. From time to time, we may issue additional equity awards to our employees or independent contractors under our employee compensation and benefit plans.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articles of incorporation authorize us to issue, without the approval of our shareholders, one or more classes or series of preferred stock having such designations, powers, preferences and relative, participating, optional and other rights, and such qualifications, limitations or restrictions as our Board of Directors generally may determine. The terms of one or more classes or series of preferred stock could dilute the voting power or reduce the value of our Class A common stock. For example, we could grant holders of preferred stock the right to elect some number of our directors in all events or on the happening of specified events or the right to veto specified transactions. Similarly, the repurchase or redemption rights or dividend, distribution or liquidation preferences we could assign to holders of preferred stock could affect the residual value of the Class A common stock. See Description of Capital StockPreferred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common stock is and will be subordinate to all of our future indebtedness and any preferred stock, and effectively subordinated to all indebtedness and preferred equity claims against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Shares of our common stock are common equity interests in us and, as such, will rank junior to all of our future indebtedness and other liabilities. Additionally, holders of our common stock may become subject to the prior dividend and liquidation rights of holders of any class or series of preferred stock that our Board of Directors may designate and issue without any action on the part of the holders of our common stock. Furthermore, our right to participate in a distribution of assets upon any of our subsidiaries liquidation or reorganization is subject to the prior claims of that subsidiarys creditors and preferred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cannot assure you that our Board will declare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may incur expenses or liabilities or be subject to other circumstances in the future that reduce or eliminate the amount of cash that we have available for distribution as dividends, including as a result of the risks described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Class B common stock will have substantial voting rights and separate approval rights over certain potentially material transactions, and Brian L. Roberts, the Chairman and CEO of Comcast, will have considerable influence over Versant. </w:t>
      </w:r>
    </w:p>
    <w:p>
      <w:pPr>
        <w:pStyle w:val="TextBody"/>
        <w:bidi w:val="0"/>
        <w:spacing w:before="120" w:after="0"/>
        <w:jc w:val="left"/>
        <w:rPr>
          <w:rFonts w:ascii="Times New Roman" w:hAnsi="Times New Roman"/>
          <w:sz w:val="20"/>
        </w:rPr>
      </w:pPr>
      <w:r>
        <w:rPr>
          <w:rFonts w:ascii="Times New Roman" w:hAnsi="Times New Roman"/>
          <w:sz w:val="20"/>
        </w:rPr>
        <w:t xml:space="preserve">Our Class B common stock will have a non-dilutable 33 1/3% of the combined voting power of our Class A and Class B common stock. This non-dilutable voting power will be subject to proportional decrease to the extent the number of shares of Class B common stock is reduced below 9,444,375 (which was the number of shares of Comcast Class B common stock outstanding on the date of Comcasts 2002 acquisition of AT&amp;T Corp.s cable business) multiplied by the Distribution Ratio, subject to adjustment in specified situations. Stock dividends payable on the Class B common stock in the form of Class B or Class A common stock do not decrease the non-dilutable voting power of the Class B common stock. The Class B common stock also will have separate approval rights over several potentially material transactions, even if they are approved by our Board of Directors or by our other shareholders and even if they might be in the best interests of our other shareholders.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potentially material transactions include mergers or consolidations,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Following the Separation, Brian L. Roberts, the Chairman and CEO of Comcast, will beneficially own all of the outstanding shares of our Class B common stock and, accordingly, have considerable influence over Versant and the potential ability to transfer effective control by selling the Class B common stock, which could be at a premium. Mr. Roberts also owns all of the outstanding shares of Comcast Class B common stock and has considerable influence over Comcast. As a result, his interests could in certain cases conflict with ours and those of our other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9" w:name="tx894612_5"/>
      <w:bookmarkEnd w:id="9"/>
      <w:r>
        <w:rPr>
          <w:rFonts w:ascii="Times New Roman" w:hAnsi="Times New Roman"/>
          <w:b/>
          <w:sz w:val="20"/>
        </w:rPr>
        <w:t xml:space="preserve">THE SEPARATION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On November 20, 2024, Comcast announced a plan to distribute to Comcasts shareholders all of the shares of common stock of a newly formed company, Versant, that would hold the Spin Business. Versant is currently a wholly owned subsidiary of Comcast that, after giving effect to the Transactions, will hold, directly or indirectly through its subsidiaries, the assets, liabilities and legal entities comprising the Spin Business. </w:t>
      </w:r>
    </w:p>
    <w:p>
      <w:pPr>
        <w:pStyle w:val="TextBody"/>
        <w:bidi w:val="0"/>
        <w:spacing w:before="240" w:after="0"/>
        <w:jc w:val="left"/>
        <w:rPr>
          <w:rFonts w:ascii="Times New Roman" w:hAnsi="Times New Roman"/>
          <w:sz w:val="20"/>
        </w:rPr>
      </w:pPr>
      <w:r>
        <w:rPr>
          <w:rFonts w:ascii="Times New Roman" w:hAnsi="Times New Roman"/>
          <w:sz w:val="20"/>
        </w:rPr>
        <w:t xml:space="preserve">The Separation will be achieved through the transfer of the assets and liabilities comprising the Spin Business to Versant or its subsidiaries in the Transactions. After the Transactions are consummated, all of the shares of Versant Class A common stock and Versant Class B common stock owned by Comcast will be distributed to the holders of Comcast Class A common stock and holders of Comcast Class B common stock of record, respectively, as of the close of business on the record date of     , 2025. Each of Comcasts shareholders as of the record date will be entitled to receive    share(s) of Versant Class A common stock or Versant Class B common stock for every    share(s) of Comcast Class A common stock or Comcast Class B common stock, respectively, held by such shareholder on the record date. Immediately following the Separation, holders of Comcast common stock prior to the Distribution will own 100% of the issued and outstanding shares of Versant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after the Separation. In addition to the Separation and Distribution Agreement, the other principal agreements to be entered into with Comcast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Transition Services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Matters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commercial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Separation as described in this information statement is subject to the satisfaction or waiver of certain conditions. For a more detailed description of these conditions, see Conditions to the Distribution below. We cannot provide any assurances that Comcast will complete the Separation.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Separation </w:t>
      </w:r>
    </w:p>
    <w:p>
      <w:pPr>
        <w:pStyle w:val="TextBody"/>
        <w:bidi w:val="0"/>
        <w:spacing w:before="120" w:after="0"/>
        <w:jc w:val="left"/>
        <w:rPr>
          <w:rFonts w:ascii="Times New Roman" w:hAnsi="Times New Roman"/>
          <w:sz w:val="20"/>
        </w:rPr>
      </w:pPr>
      <w:r>
        <w:rPr>
          <w:rFonts w:ascii="Times New Roman" w:hAnsi="Times New Roman"/>
          <w:sz w:val="20"/>
        </w:rPr>
        <w:t xml:space="preserve">The Comcast Board believes separating the Spin Business from Comcasts other businesses is in the best interests of Comcast and its shareholders and that the Separation will provide Comcast and Versant with a number of potential opportunities and benefits,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Strategic Focus</w:t>
            </w:r>
            <w:r>
              <w:rPr>
                <w:rFonts w:ascii="Times New Roman" w:hAnsi="Times New Roman"/>
                <w:sz w:val="20"/>
              </w:rPr>
              <w:t xml:space="preserve">. The Separation will permit each company to focus its strategy on unique sectors in the changing media landscape. Versant will seek to harness its business comprised of certain networks and complementary digital platforms to provide differentiated news, sports and entertainment content and services. As a global media and technology company, Comcast will be well-positioned to continue to invest in its strategic core growth businesses, including residential broadband, wireless, business services, streaming, studios and theme parks. The Separation will allow each of the resulting companies to focus on different areas of the media industry and, as a result, we believe each company will be able to prioritize its unique areas of strength.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Resource Allocation and Capital Deployment</w:t>
            </w:r>
            <w:r>
              <w:rPr>
                <w:rFonts w:ascii="Times New Roman" w:hAnsi="Times New Roman"/>
                <w:sz w:val="20"/>
              </w:rPr>
              <w:t xml:space="preserve">. As an independent company, Versant will be better positioned to serve its audiences and drive shareholder returns. The Spin Business generated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$7.1 billion of revenue during the year ended December 31, 2024. Following the Separation, Versant will benefit from financial and strategic flexibility as well as the ability to use its cash flow and securities to evaluate and effect value enhancing opportunities, including acquisitions, partnerships and organic investment. Versant will also have a well-capitalized balance sheet and the capacity for an attractive capital return policy to drive shareholder value. We believe the ability to focus investment of resources to align with the specific strategic focus of each of Versant and Comcast will position both companies for success. In particular, the strategic flexibility that Versant will have as an independent company is designed to enable Versant to better navigate industry dynamics specific to the markets in which it operates, including technological advances, evolving consumer preferences, changes in how audiences are consuming content, and demand for new, complementary services. See Managements Discussion and Analysis of Financial Condition and Results of OperationKey Factors Affecting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Management and Employee Incentives</w:t>
            </w:r>
            <w:r>
              <w:rPr>
                <w:rFonts w:ascii="Times New Roman" w:hAnsi="Times New Roman"/>
                <w:sz w:val="20"/>
              </w:rPr>
              <w:t xml:space="preserve">. Versant will be led by an experienced, well-respected and dedicated management team with deep sector expertise and a dedicated Board. Meanwhile, each company will be able to better incentivize, attract and retain key employees by designing incentive programs that are closely tied to the performance of each companys business. The Separation allows such incentive programs to be focused on the core strategies of each company, encouraging management and employees toward executing on the key drivers of success for the specific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Investor Choice and Value Creation</w:t>
            </w:r>
            <w:r>
              <w:rPr>
                <w:rFonts w:ascii="Times New Roman" w:hAnsi="Times New Roman"/>
                <w:sz w:val="20"/>
              </w:rPr>
              <w:t xml:space="preserve">. The Separation permits investors to value each company based on their distinct business characteristics and make more targeted investment decisions based on those characteristics. Investors will be provided with a more targeted investment opportunity so that investors interested in the business of Versant and its strategies, such as capital deployment, will have the opportunity to increase their ownership thereof directly by purchasing its Class A common stock. This differentiated investment profile will also provide investors with the opportunity to assess the evolving market environment and dynamics in the media and entertainment industry, which continue to reshape the competitive landscape and create distinct investment opportunities for Versant.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a number of potential costs and risks were also considered, including, among others, risks relating to the creation of a new public company, the increased costs from operating as a separate public company, potential volatility in our stock price immediately following the Distribution due to sales by Comcasts shareholders whose investment objectives may not be met by our common stock, the time it may take for us to attract our optimal shareholder base, potential disruptions to each business, failure to retain existing customers and realize growth potential, the loss of synergies and scale,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costs and risks in connection therewith and provided the best opportunity to achieve the above benefits and enhance shareholder value. </w:t>
      </w:r>
    </w:p>
    <w:p>
      <w:pPr>
        <w:pStyle w:val="TextBody"/>
        <w:bidi w:val="0"/>
        <w:spacing w:before="240" w:after="0"/>
        <w:jc w:val="left"/>
        <w:rPr>
          <w:rFonts w:ascii="Times New Roman" w:hAnsi="Times New Roman"/>
          <w:sz w:val="20"/>
        </w:rPr>
      </w:pPr>
      <w:r>
        <w:rPr>
          <w:rFonts w:ascii="Times New Roman" w:hAnsi="Times New Roman"/>
          <w:sz w:val="20"/>
        </w:rPr>
        <w:t xml:space="preserve">The financial terms of the Separation, including the new indebtedness expected to be incurred by Versant or entities that are, or will become, prior to the completion of the Separation, subsidiaries of Versant, has been, or will be, determined by the Comcast Board based on a variety of factors, including establishing an appropriate pro forma capitalization for Versant as a stand-alone company considering the historical earnings of the Spin Business and the level of indebtedness relative to earnings of various comparable companies. All or a portion of the proceeds from the Versant indebtedness may be distributed to Comcast in exchange for the contribution of Versant assets, and may be used by Comcast to, among other things, repay existing Comcast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The distribution agent will not distribute any fractional shares of our common stock to Comcast shareholders. Instead, as soon as practicable on or after the Distribution Date, the distribution agent will aggregate fractional shares of Versant Class A common stock into whole shares, sell the whole shares (or cause the whole shares to be sold) in the open market at prevailing prices and distribute the net cash proceeds,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deducting any applicable taxes, brokerage charges and commissions, on a pro-rata basis to each holder who would otherwise have been entitled to receive a fractional share in the Distribution. The distribution agent will, in its sole discretion, without any influence by Comcast or us, determine when, how, through which broker-dealers and at what price to sell the whole shares. </w:t>
      </w:r>
    </w:p>
    <w:p>
      <w:pPr>
        <w:pStyle w:val="TextBody"/>
        <w:bidi w:val="0"/>
        <w:spacing w:before="240" w:after="0"/>
        <w:jc w:val="left"/>
        <w:rPr>
          <w:rFonts w:ascii="Times New Roman" w:hAnsi="Times New Roman"/>
          <w:sz w:val="20"/>
        </w:rPr>
      </w:pPr>
      <w:r>
        <w:rPr>
          <w:rFonts w:ascii="Times New Roman" w:hAnsi="Times New Roman"/>
          <w:sz w:val="20"/>
        </w:rPr>
        <w:t xml:space="preserve">Each registered holder of Comcast common stock entitled to a fractional share will receive a check in the cash amount deliverable in lieu of that holders fractional share as soon as practicable following the Distribution Date. We expect the distribution agent to take approximately two weeks after the Distribution Date to complete the distribution of cash in lieu of fractional shares to holders of Comcast Class A common stock. If a holder holds shares through a bank, broker, or other nominee, the bank, broker, or nominee will receive, on the holders behalf, a pro rata share of the aggregate net cash proceeds of the sales. Recipients of cash in lieu of fractional shares of Versant common stock will not be entitled to any minimum sale price for the fractional shares or to any interest on the amounts of payments made in lieu of fractional shares. The receipt of cash in lieu of fractional shares generally will be taxable to the recipient shareholders for U.S. federal income tax purposes as described below in The SeparationMaterial U.S. Federal Income Tax Consequences of the DistributionThe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When and How You Will Receive the Distribution of Versant Shares </w:t>
      </w:r>
    </w:p>
    <w:p>
      <w:pPr>
        <w:pStyle w:val="TextBody"/>
        <w:bidi w:val="0"/>
        <w:spacing w:before="120" w:after="0"/>
        <w:jc w:val="left"/>
        <w:rPr>
          <w:rFonts w:ascii="Times New Roman" w:hAnsi="Times New Roman"/>
          <w:sz w:val="20"/>
        </w:rPr>
      </w:pPr>
      <w:r>
        <w:rPr>
          <w:rFonts w:ascii="Times New Roman" w:hAnsi="Times New Roman"/>
          <w:sz w:val="20"/>
        </w:rPr>
        <w:t xml:space="preserve">Comcast will distribute the shares of our common stock on    , 2025 to holders of record as of the close of business on the record date for the Distribution. The Distribution is expected to be completed following the market closing on the Distribution Date. Comcasts transfer agent and registrar,    , will serve as transfer agent and registrar for the Versant Class A common stock and as distribution agent in connection with the Distribution with respect to the Versant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you own Comcast Class A common stock or Comcast Class B common stock as of the close of business on the record date for the Distribution, the shares of Versant Class A common stock or Versant Class B common stock that you are entitled to receive in the Distribution, respectively, will be issued, as of the Distribution Date,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Registered Shareholders</w:t>
            </w:r>
            <w:r>
              <w:rPr>
                <w:rFonts w:ascii="Times New Roman" w:hAnsi="Times New Roman"/>
                <w:sz w:val="20"/>
              </w:rPr>
              <w:t xml:space="preserve">. If you own your shares of Comcast Class A common stock directly in book-entry form through an account at Equiniti, you will receive your shares of Versant Class A common stock by way of direct registration in book-entry form. Registration in book-entry form is a method of recording stock ownership when no physical paper share certificates are issued to shareholders, as is the case with respect to the Versant Class A common stock that will be distributed as part of the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or shortly after the Distribution Date, the distribution agent will mail to you an account statement that indicates the number of shares of Versant Class A common stock that have been registered in book-entry form in your name. </w:t>
      </w:r>
    </w:p>
    <w:p>
      <w:pPr>
        <w:pStyle w:val="TextBody"/>
        <w:bidi w:val="0"/>
        <w:spacing w:before="120" w:after="0"/>
        <w:jc w:val="left"/>
        <w:rPr>
          <w:rFonts w:ascii="Times New Roman" w:hAnsi="Times New Roman"/>
          <w:sz w:val="20"/>
        </w:rPr>
      </w:pPr>
      <w:r>
        <w:rPr>
          <w:rFonts w:ascii="Times New Roman" w:hAnsi="Times New Roman"/>
          <w:sz w:val="20"/>
        </w:rPr>
        <w:t xml:space="preserve">Registered holders of Comcast Class A common stock having any questions concerning the mechanics of having shares of our common stock registered in book-entry form may contact Equiniti at the address set forth in SummaryQuestions and Answers About the Separation in this information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Registered holders of Comcast Class B common stock will be issued share certificates representing shares of Versant Class B common stock that such holders are entitled to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Beneficial Shareholders</w:t>
            </w:r>
            <w:r>
              <w:rPr>
                <w:rFonts w:ascii="Times New Roman" w:hAnsi="Times New Roman"/>
                <w:sz w:val="20"/>
              </w:rPr>
              <w:t xml:space="preserve">. Many Comcast shareholders hold their shares of Comcast Class A common stock beneficially through a bank or brokerage firm. In such cases, the bank or brokerage firm would be said to hold the stock in street name and ownership would be recorded on the bank or brokerage firms books. If you hold your Comcast Class A common stock through a bank or brokerage firm, your bank or brokerage firm will credit your account for the shares of Versant Class A common stock that you are entitled to receive in the Distribution. If you have any questions concerning the mechanics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having shares of Versant Class A common stock held in street name, we encourage you to contact your bank or brokerage firm.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Treatment of Outstanding Equity Compensation Awards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Separation, outstanding Comcast Equity Awards will generally be equitably adjusted in a manner that is intended to preserve the aggregate intrinsic value of such awards as of immediately before and after the Distribution Date. For details on the equitable adjustments intended to be made to Comcast Equity Awards in connection with Separation (including the related adjustment methodologies), see Compensation Discussion and AnalysisEquity CompensationTreatment of Equity Awards Upon Separation.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the Separation </w:t>
      </w:r>
    </w:p>
    <w:p>
      <w:pPr>
        <w:pStyle w:val="TextBody"/>
        <w:bidi w:val="0"/>
        <w:spacing w:before="120" w:after="0"/>
        <w:jc w:val="left"/>
        <w:rPr>
          <w:rFonts w:ascii="Times New Roman" w:hAnsi="Times New Roman"/>
          <w:sz w:val="20"/>
        </w:rPr>
      </w:pPr>
      <w:r>
        <w:rPr>
          <w:rFonts w:ascii="Times New Roman" w:hAnsi="Times New Roman"/>
          <w:sz w:val="20"/>
        </w:rPr>
        <w:t xml:space="preserve">After the Separation, we will be an independent, publicly traded company that directly or indirectly holds the assets and liabilities comprising the Spin Business. Upon completion of the Separation, we estimate that we will have outstanding an aggregate of approximately    shares of our Class A common stock and    shares of our Class B common stock (based on    shares of Comcast Class A common stock and    shares of Comcast Class B common stock outstanding on    , 2025). Additionally, we expect to have approximately    Class A shareholders of record and    Class B shareholders of record, based on the number of registered shareholders of Comcast Class A common stock and Comcast Class B common stock outstanding, respectively, on    , 2025. The actual number of shares to be distributed will be determined on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Before the completion of the Separation, we will enter into a Separation and Distribution Agreement and several other agreements with Comcast to effect the Separation and provide a framework for our relationship with Comcast after the Separation. These agreements will provide for the allocation of assets, liabilities and obligations subsequent to the Separation between Versant and Comcast (including with respect to transition services, employee matters, tax matters, intellectual property matters and certain commercial arrangements). For a more detailed description of these agreements, see  Agreements with Comcast below. The Separation will not affect the number of outstanding shares of Comcast common stock or any rights of Comcast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Incurrence of Debt </w:t>
      </w:r>
    </w:p>
    <w:p>
      <w:pPr>
        <w:pStyle w:val="TextBody"/>
        <w:bidi w:val="0"/>
        <w:spacing w:before="120" w:after="0"/>
        <w:jc w:val="left"/>
        <w:rPr>
          <w:rFonts w:ascii="Times New Roman" w:hAnsi="Times New Roman"/>
          <w:sz w:val="20"/>
        </w:rPr>
      </w:pPr>
      <w:r>
        <w:rPr>
          <w:rFonts w:ascii="Times New Roman" w:hAnsi="Times New Roman"/>
          <w:sz w:val="20"/>
        </w:rPr>
        <w:t xml:space="preserve">We intend to enter into new financing arrangements in anticipation of the Separation. We expect to incur approximately $    of new debt. See Description of Material Indebtedness.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Separation, our debt obligations could restrict our business and may adversely impact our financial condition, results of operations or cash flows. In addition, the Separation may increase the overall cost of debt funding and decrease the overall debt capacity and commercial credit available to us. Also, our business, financial condition, results of operations and cash flows could be harmed by a deterioration of our credit profile or by factors adversely affecting the credit markets generally. See Risk FactorsRisks Relating to the Separation In anticipation of the Separation, we intend to enter into new financing arrangements that could restrict our business and adversely impact our results of operations, financial condition or cash flows.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Consequences of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discussion of the material U.S. federal income tax consequences of the Distribution to U.S. Holders (as defined below) of Comcast common stock. This discussion is based on the Code, applicable Treasury regulations, administrative interpretations and court decisions as in effect as of the date of this information statement, all of which may change, possibly with retroactive effect. For purposes of this discussion, a U.S. Holder is a beneficial owner of Comcast common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U.S., any state therein or the District of Columbia;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or trust the income of which is subject to U.S. federal income taxation regardless of its source.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discussion addresses only the consequences of the Distribution to U.S. Holders that hold Comcast common stock as a capital asset. It does not address all aspects of U.S. federal income taxation that may be important to a U.S. Holder in light of that shareholders particular circumstances or to a U.S. Holder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financial institution, regulated investment company or insurance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dealer or broker in securities, commodities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shareholder that holds Comcast common stock as part of a hedge, appreciated financial position, straddle, conversion,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shareholder that holds Comcast common stock in a tax-deferred account, such as an individual retirement account;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shareholder that acquired Comcast common stock pursuant to the exercise of options or similar derivative securities or otherwise as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any entity treated as a partnership for U.S. federal income tax purposes, holds Comcast common stock, the tax treatment of a partner in such partnership generally will depend on the status of the partners and the activities of the partnership. A partner in a partnership holding Comcast common stock should consult its tax adviser. </w:t>
      </w:r>
    </w:p>
    <w:p>
      <w:pPr>
        <w:pStyle w:val="TextBody"/>
        <w:bidi w:val="0"/>
        <w:spacing w:before="240" w:after="0"/>
        <w:jc w:val="left"/>
        <w:rPr>
          <w:rFonts w:ascii="Times New Roman" w:hAnsi="Times New Roman"/>
          <w:sz w:val="20"/>
        </w:rPr>
      </w:pPr>
      <w:r>
        <w:rPr>
          <w:rFonts w:ascii="Times New Roman" w:hAnsi="Times New Roman"/>
          <w:sz w:val="20"/>
        </w:rPr>
        <w:t xml:space="preserve">A U.S. Holder who acquired different blocks of Comcast common stock at different times and at different prices generally must apply the rules described in the following sections separately to each identifiable block of shares of Comcast common stock. A U.S. Holder who holds Comcast common stock with differing bases or holding periods should consult its tax adviser.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of material U.S. federal income tax consequences is not a complete analysis or description of all potential U.S. federal income tax consequences of the Distribution. This discussion does not address tax consequences that may vary with, or are contingent on, individual circumstances. In addition, it does not address any U.S. federal, estate, gift or other non-income tax or any non-U.S., state or local tax consequences of the Distribution. Accordingly, each holder of Comcast common stock should consult his, her or its tax adviser to determine the particular U.S. federal, state or local or non-U.S. income or other tax consequences of the Distribution to such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Opinion </w:t>
      </w:r>
    </w:p>
    <w:p>
      <w:pPr>
        <w:pStyle w:val="TextBody"/>
        <w:bidi w:val="0"/>
        <w:spacing w:before="120" w:after="0"/>
        <w:jc w:val="left"/>
        <w:rPr>
          <w:rFonts w:ascii="Times New Roman" w:hAnsi="Times New Roman"/>
          <w:sz w:val="20"/>
        </w:rPr>
      </w:pPr>
      <w:r>
        <w:rPr>
          <w:rFonts w:ascii="Times New Roman" w:hAnsi="Times New Roman"/>
          <w:sz w:val="20"/>
        </w:rPr>
        <w:t xml:space="preserve">The Distribution is conditioned upon the receipt of the opinion of Davis Polk &amp; Wardwell LLP substantially to the effect that the Distribution, together with certain related transactions, will qualify as a reorganization within the meaning of Section 368(a)(1)(D) of the Code and a distribution to which Section 355 of the Code applies, which we refer to as the Tax Opinion. In rendering the Tax Opinion to be given as of the closing of the Separation, which we refer to as the Closing Tax Opinion, Davis Polk &amp; Wardwell LLP will rely on (i) customary representations and covenants made by us and Comcast, including those contained in certificates of officers of us and Comcast, and (ii) specified assumptions, including an assumption regarding the completion of the Separation and certain related transactions in the manner contemplated by the transaction agreements. In addition, Davis Polk &amp; Wardwell LLPs ability to provide the Closing Tax Opinion will depend on the absence of changes in existing facts or law between the date of this information statement and the closing date of the Distribution. If any of the representations, covenants or assumptions on which Davis Polk &amp; Wardwell LLP will rely is inaccurate, Davis Polk &amp; Wardwell LLP may not be able to provide the Closing Tax Opinion or the tax consequences of the Distribution could differ from those described below. The opinions of Davis Polk &amp; Wardwell LLP do not preclude the Internal Revenue Service (the IRS) or the courts from adopting a contrary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Assuming that the Distribution, together with certain related transactions, will qualify as a reorganization within the meaning of Section 368(a)(1)(D) of the Code and a distribution to which Section 355 of the Code applies, and that the Transactions will qualify as transactions that are tax-free for U.S. federal income tax purposes, in general,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limited exceptions, the Distribution will not result in the recognition of income, gain or loss to Comcast 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gain or loss will be recognized by, and no amount will be included in the income of, U.S. Holders of Comcast common stock upon the receipt of our common stock in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tax basis of the shares of our common stock distributed in the Distribution to a U.S. Holder of Comcast common stock will be determined by allocating the aggregate tax basis such U.S. Holder has in the shares of Comcast common stock immediately before such Distribution between such Comcast common stock and our common stock in proportion to the relative fair market value of each immediately following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holding period of any shares of our common stock received by a U.S. Holder of Comcast common stock in the Distribution will include the holding period of the shares of Comcast common stock held by a U.S. Holder prior to the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of Comcast common stock that receives cash in lieu of a fractional share of our common stock will recognize capital gain or loss, measured by the difference between the cash received for such fractional share and the U.S. Holders tax basis in that fractional share, determined as described above, and such gain or loss will be long-term capital gain or loss if the U.S. Holders holding period in the Comcast common stock is more than one year as of the closing date of the Distribution.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if the Distribution, together with certain related transactions, does not qualify as a reorganization within the meaning of Section 368(a)(1)(D) of the Code and a distribution to which Section 355 of the Code applies, the Distribution will be treated as a taxable dividend to holders of Comcast common stock in an amount equal to the fair market value of our common stock received, to the extent of such holders ratable share of Comcasts earnings and profits. In addition, if the Separation does not qualify as a distribution to which Section 355 of the Code applies, Comcast will recognize significant taxable gain, which could result in significant tax to Comcast. </w:t>
      </w:r>
    </w:p>
    <w:p>
      <w:pPr>
        <w:pStyle w:val="TextBody"/>
        <w:bidi w:val="0"/>
        <w:spacing w:before="240" w:after="0"/>
        <w:jc w:val="left"/>
        <w:rPr>
          <w:rFonts w:ascii="Times New Roman" w:hAnsi="Times New Roman"/>
          <w:sz w:val="20"/>
        </w:rPr>
      </w:pPr>
      <w:r>
        <w:rPr>
          <w:rFonts w:ascii="Times New Roman" w:hAnsi="Times New Roman"/>
          <w:sz w:val="20"/>
        </w:rPr>
        <w:t xml:space="preserve">Even if the Distribution were otherwise to qualify as a distribution to which Section 355 of the Code applies, the Distribution will be taxable to Comcast under Section 355(e) of the Code if 50% or more of either the total voting power or the total fair market value of the stock of Comcast or our common stock is acquired as part of a plan or series of related transactions that includes the Distribution. If Section 355(e) applies as a result of such an acquisition, Comcast would recognize taxable gain as described above, but the Distribution would generally be tax-free to U.S. Holders of Comcast common stock. Under some circumstances, the Tax Matters Agreement would require us to indemnify Comcast for the tax liability associated with the taxable gain. See Agreements with ComcastTax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Tax Matters Agreement, we will generally be required to indemnify Comcast for the resulting taxes in the event that certain steps of the Separation fail to qualify for their intended tax treatment due to any action by us or any of our subsidiaries (see Agreements with ComcastTax Matters Agreement). If the Separation were to be taxable to Comcast, the liability for payment of such tax by Comcast or by us under the Tax Matters Agreement could have a material adverse effect on Comcast or us, as the case may be.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U.S. Treasury regulations generally require holders who own at least 5% of the total outstanding stock of Comcast (by vote or value) and who receive our common stock pursuant to the Distribution to attach to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U.S. federal income tax return for the year in which the Distribution occurs a detailed statement setting forth certain information relating to the tax-free nature of the Distribution. Comcast and/or we will provide the appropriate information to each holder upon request, and each such holder is required to retain permanent records of this information. In addition, payments of cash to a U.S. Holder of Comcast common stock in lieu of fractional shares of our common stock in the Distribution may be subject to information reporting, unless the U.S. Holder provides the withholding agent with proof of an applicable exemption. Such payments that are subject to information reporting may also be subject to backup withholding, unless such U.S. Holder provides the withholding agent with a correct taxpayer identification number and otherwise complies with the requirements of the backup withholding rules. Backup withholding does not constitute additional tax, but merely an advance payment, which may be refunded or credited against a U.S. Holders U.S. federal income tax liability, provided the required information is timely supplied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No Comcast shareholder will have any dissenters rights in connection with the Separation. </w:t>
      </w:r>
    </w:p>
    <w:p>
      <w:pPr>
        <w:pStyle w:val="TextBody"/>
        <w:bidi w:val="0"/>
        <w:spacing w:before="360" w:after="0"/>
        <w:jc w:val="left"/>
        <w:rPr>
          <w:rFonts w:ascii="Times New Roman" w:hAnsi="Times New Roman"/>
          <w:b/>
          <w:sz w:val="20"/>
        </w:rPr>
      </w:pPr>
      <w:r>
        <w:rPr>
          <w:rFonts w:ascii="Times New Roman" w:hAnsi="Times New Roman"/>
          <w:b/>
          <w:sz w:val="20"/>
        </w:rPr>
        <w:t xml:space="preserve">Listing and Trading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information statement, there is no public market for our Class A common stock. Versant intends to apply to have its shares of Class A common stock listed on     under the ticker symbol   . </w:t>
      </w:r>
    </w:p>
    <w:p>
      <w:pPr>
        <w:pStyle w:val="TextBody"/>
        <w:bidi w:val="0"/>
        <w:spacing w:before="360" w:after="0"/>
        <w:jc w:val="left"/>
        <w:rPr>
          <w:rFonts w:ascii="Times New Roman" w:hAnsi="Times New Roman"/>
          <w:b/>
          <w:sz w:val="20"/>
        </w:rPr>
      </w:pPr>
      <w:r>
        <w:rPr>
          <w:rFonts w:ascii="Times New Roman" w:hAnsi="Times New Roman"/>
          <w:b/>
          <w:sz w:val="20"/>
        </w:rPr>
        <w:t xml:space="preserve">Trading Between Record Date and Distribution Date </w:t>
      </w:r>
    </w:p>
    <w:p>
      <w:pPr>
        <w:pStyle w:val="TextBody"/>
        <w:bidi w:val="0"/>
        <w:spacing w:before="120" w:after="0"/>
        <w:jc w:val="left"/>
        <w:rPr>
          <w:rFonts w:ascii="Times New Roman" w:hAnsi="Times New Roman"/>
          <w:sz w:val="20"/>
        </w:rPr>
      </w:pPr>
      <w:r>
        <w:rPr>
          <w:rFonts w:ascii="Times New Roman" w:hAnsi="Times New Roman"/>
          <w:sz w:val="20"/>
        </w:rPr>
        <w:t xml:space="preserve">Beginning on or about the record date and continuing up to and including the Distribution Date, we expect that there will be two markets in Comcast Class A common stock: a regular-way market and an ex-distribution market. Shares of Comcast Class A common stock that trade on the regular-way market will trade with an entitlement to receive shares of Versant Class A common stock to be distributed in the Distribution regardless of whether such trades are made before or after the record date. Shares that trade on the ex-distribution market after the record date will trade without an entitlement to receive shares of Versant Class A common stock to be distributed in the Distribution. If you own shares of Comcast Class A common stock on the record date and sell those shares on the regular-way market before the Distribution Date, you will also be selling the right to receive shares of Versant Class A common stock that would have been distributed to you in the Distribution. By contrast, if you own shares of Comcast Class A common stock on the record date and sell those shares on the ex-distribution market after the record date and on or before the Distribution Date, you will retain the right to receive shares of Versant Class A common stock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Furthermore, beginning on    , 2025 and continuing up to and including the Distribution Date, we expect there will be a when-issued market in our Class A common stock. When-issued trading refers to a sale or purchase made conditionally because the security has been authorized but not yet issued. The when-issued trading market will be a market for shares of Versant Class A common stock that will be distributed to Comcast shareholders on the Distribution Date. If you own shares of Comcast Class A common stock as of the close of business on the record date, you would be entitled to receive shares of our Class A common stock in the Distribution. You may trade this entitlement to receive shares of Versant Class A common stock, without trading the shares of Comcast Class A common stock you own, in the when-issued market. On the first trading day following the Distribution Date, we expect when-issued trading with respect to Versant Class A common stock will end and regular-way trading in Versant Class A common stock will begin.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Conditions to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We expect the Distribution will be effective on    , 2025, the Distribution Date, provided that, among other conditions described in the Separation and Distribution Agreement, the following conditions will have been satisfied or waived by Comcast in its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Separation-related restructuring and financing transactions contemplated by the Separation and Distribution Agreement will each have been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Comcast Board will have approved the Distribution and will not have abandoned the Distribution or terminated the Separation and Distribution Agreement at any time prior to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 will have declared effective our registration statement on Form 10, of which this information statement is a part, no stop order suspending the effectiveness of our registration statement on Form 10 will be in effect and no proceedings for such purpose will be pending before or threatened by the SEC, and this information statement, or a notice of Internet availability thereof, will have been mailed to the holders of Comcast common stock as of the record date for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actions and filings necessary or appropriate under applicable federal, state or other securities laws or blue sky laws and the rules and regulations thereunder will have been taken or made and, where applicable, become effective or accepted;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Class A common stock to be delivered in the Distribution will have been approved for listing on a national securities exchange subject to official notice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as named in this information statement, will have been duly elected, and the amended and restated articles of incorporation and the amended and restated bylaws of Versant, in substantially the form attached as exhibits to the registration statement of which this information statement is a part, will be in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ancillary agreements contemplated by the Separation and Distribution Agreement will have been executed and delivered by the parties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Comcast will have received the opinion of Davis Polk &amp; Wardwell LLP (which will not have been revoked or modified in any material respect), reasonably satisfactory to Comcast, dated as of the Distribution Date and to the effect that, for U.S. federal income tax purposes, the Distribution, together with certain related transactions, will qualify as a reorganization within the meaning of Section 368(a)(1)(D) of the Code and a distribution to which Section 355 of the Code applies (the Tax Opinion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applicable law will have been adopted, promulgated or issued that prohibits the consummation of the Distribution or any of the other transactions contemplated by the Separation and Distribution Agreement or an ancillary agreement contemplated by the Separation and Distribution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governmental approvals and consents and any material permits, registrations and consents from third parties, in each case, necessary to effect the Transactions or the Distribution, will have been obtained;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or development will have occurred or exist that, in the judgment of the Comcast Board, in its sole and absolute discretion, makes it inadvisable to effect the Distribution or any of the other transactions contemplated by the Separation and Distribution Agreement or an ancillary agreement contemplated by the Separation and Distribution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fulfillment of the foregoing conditions will not create any obligations on Comcasts part to effect the Distribution, and Comcast has the right to abandon, modify or change the terms of the Distribution, including by accelerating or delaying the timing of the consummation of all or part of the Distribution, at any time prior to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cannot assure you that all of the conditions will be satisfied or waived. In addition, if the Distribution is completed and the Comcast Board waived any such condition, such waiver could have a material adverse effect on Comcasts and Versants respective business, financial condition or results of operations, the trading price of Versant Class A common stock, or the ability of shareholders to sell their shares after the Distribution, including, without limitation, as a result of illiquid trading due to the failure of Versant Class A common stock to be accepted for listing or litigation relating to any preliminary or permanent injunctions sought to prevent the consummation of the Distribution. See Material U.S. Federal Income Tax Consequences of the DistributionThe Distribution above for a discussion of the U.S. federal income tax consequences for Comcast and its shareholders that may arise if Comcast waives the Tax Opinion Condition and the Distribution is treated as a taxable transaction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Agreements with Comcast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subsequent to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Separation and Distribution Agreement (which will contain many of the key provisions related to the Separation and the distribution of our shares of common stock to Comcast shareholders), these agreements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Transition Services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Matters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commercial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forms of the principal agreements described below are expected to be filed as exhibits to the registration statement of which this information statement forms a part. The following descriptions of these agreements are summaries of the material terms of these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Separation and Distribution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and Distribution Agreement will govern the overall terms of the Separation. Generally, the Separation and Distribution Agreement will include Comcasts and our agreements relating to the restructuring steps to be taken to complete the Separation, including the assets and rights to be transferred to Versant and its subsidiaries, the liabilities and obligations to be assumed by Versant and its subsidiaries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receipt of required governmental and other consents and approvals and the satisfaction of other closing conditions, in order to accomplish the Separation, the Separation and Distribution Agreement will provide for Comcast and us to transfer specified assets between the companies that will operate the Spin Business after the Distribution, on the one hand, and Comcasts remaining businesses, on the other hand. The Separation and Distribution Agreement will require Comcast and us to use commercially reasonable efforts to obtain consents required to assign the assets and liabilities that are to be transferred pursuant to the Separation and Distribution Agreement, provided that, as long as a party is using such commercially reasonable efforts to obtain such consents, such party will not have any liability to the other party for any failure to obtain any such consents; provided, further that such efforts will not require Comcast or Versant to expend any money, commence any litigation or offer or grant any accommodation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Separation and Distribution Agreement or any of the related ancillary agreements, all assets will be transferred on an as is, where is basis. Generally, if the transfer of any assets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any claim or right or benefit arising thereunder, or assumption of any liability, would result in a breach of any contract, would otherwise adversely affect the rights of Comcast or its subsidiaries or Versant or its subsidiaries thereunder or would violate applicable law, in each case, without obtaining a consent that will not be obtained before the Distribution, the Separation and Distribution Agreement will not constitute an agreement to effect such transfer and the party retaining any such asset that otherwise would have been transferred shall hold such asset for the use and benefit of the party entitled thereto and the party intended to assume such liability will pay the party retaining such liability for all amounts paid in connection with the retention of such liability. In addition, the party retaining such asset, claim or right, or such liability will, insofar as reasonably possible and to the extent permitted by applicable law, take such actions as may be reasonably requested by the party to which such asset, claim or right, or such liability, is to be transferred or assumed in order to place such party, insofar as reasonably possible, in the same position as if such asset, claim or right, or such liability, had been transferred or assumed on or prior to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also grant and receive licenses under certain patents and trade secrets in connection with the Separation and Distribution Agreement, which will generally provide us and Comcast the freedom to continue operating our respective businesses following the Distribution, including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grant Comcast a non-exclusive, worldwide, perpetual, irrevocable, fully paid-up and royalty-free license to certain patents and trade secrets transferred to us in connection with the Separation but used by Comcast in its business as of the Distribution in order for Comcast to continue operating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receive from Comcast a non-exclusive, worldwide, perpetual, irrevocable, fully paid-up and royalty-free license to certain patents and trade secrets retained by Comcast but used in the Spin Business as of the Distribution in order for us to continue operating the Spin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Separation and Distribution Agreement also provides that Versant will have 12 months following the Separation to cease use of certain brands and trademarks that are being retained by Comcast.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 so long as any person has an attributable interest in Comcast and Versant under the Communications Act, the Separation and Distribution Agreement restricts Versants ability, without the prior written consent of Comcast (which shall not be unreasonably withheld, conditioned, or delayed and for which Comcast shall undertake commercially reasonable efforts to enable it to provide such consent), to (i) acquire certain FCC-issued licenses or ownership interests that would be subject to an ownership restriction or spectrum screen under the Communications Act or that would otherwise be subject to a foreign ownership restriction or review by applicable regulatory authorities and (ii) enter into agreements with television broadcast stations relating to time brokerage, local marketing, joint sales or other shared services agreements, in each case if such actions would reasonably be expected to result in a violation of the Communications Act or subject Comcast, its affiliates or any person deemed to have an attributable interest in Comcast to additional non-de minimis restrictions or compliance burdens under the Communications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Separation and Distribution Agreement will specify those conditions that must be satisfied or waived by Comcast prior to the completion of the Separation, which are described further above in Conditions to the Distribution. In addition, Comcast will have the right to determine the date and terms of the Separation, and will have the right, at any time until completion of the Distribution, to determine to abandon or modify the Distribution and to terminate the 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Separation and Distribution Agreement will govern the treatment of indemnification, insurance and litigation responsibility and management. Generally, the Separation and Distribution Agreement will provide for uncapped cross-indemnities principally designed to place financial responsibility for the obligations and liabilities of the Spin Business with us and financial responsibility for the obligations and liabilities of Comcasts retained businesses with Comcast. The Separation and Distribution Agreement will also establish procedures for handling claims subject to indemnification and related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Separation, we and Comcast will enter into a tax matters agreement (the Tax Matters Agreement) that will govern the parties respective rights, responsibilities and obligations with respect to taxes, including taxes arising in the ordinary course of business, and taxes, if any, incurred as a result of the failure of the Separation to qualify for tax-free treatment for U.S. federal income tax purposes. The Tax Matters Agreement will also set forth the respective obligations of the parties with respect to the filing of tax returns, the administration of tax contests and assistance and cooperation on tax matters. </w:t>
      </w:r>
    </w:p>
    <w:p>
      <w:pPr>
        <w:pStyle w:val="TextBody"/>
        <w:bidi w:val="0"/>
        <w:spacing w:before="240" w:after="0"/>
        <w:jc w:val="left"/>
        <w:rPr>
          <w:rFonts w:ascii="Times New Roman" w:hAnsi="Times New Roman"/>
          <w:sz w:val="20"/>
        </w:rPr>
      </w:pPr>
      <w:r>
        <w:rPr>
          <w:rFonts w:ascii="Times New Roman" w:hAnsi="Times New Roman"/>
          <w:sz w:val="20"/>
        </w:rPr>
        <w:t xml:space="preserve">In general, the Tax Matters Agreement will govern the rights and obligations that we and Comcast have after the Separation with respect to taxes for both pre- and post-closing periods. Under the Tax Matters Agreement, Comcast generally will be responsible for all of our pre-closing taxes that are reported on combined tax returns with Comcast or any of its affiliates and all pre-closing non-income taxes attributable to the businesses and assets retained by Comcast. We will generally be responsible for all of our pre-closing income taxes that are reported on tax returns that include only us and/or our subsidiaries (separate tax returns) and all pre-closing non-income taxes attributable to our business or assets. </w:t>
      </w:r>
    </w:p>
    <w:p>
      <w:pPr>
        <w:pStyle w:val="TextBody"/>
        <w:bidi w:val="0"/>
        <w:spacing w:before="240" w:after="0"/>
        <w:jc w:val="left"/>
        <w:rPr>
          <w:rFonts w:ascii="Times New Roman" w:hAnsi="Times New Roman"/>
          <w:sz w:val="20"/>
        </w:rPr>
      </w:pPr>
      <w:r>
        <w:rPr>
          <w:rFonts w:ascii="Times New Roman" w:hAnsi="Times New Roman"/>
          <w:sz w:val="20"/>
        </w:rPr>
        <w:t xml:space="preserve">In the Tax Matters Agreement, we will also agree to certain covenants that contain restrictions intended to preserve the tax-free treatment of the Separation. We may take certain actions prohibited by these covenants only if we obtain and provide to Comcast a ruling from the IRS or an opinion from a tax adviser acceptable to Comcast in its sole discretion, in each case, to the effect that such action will not jeopardize the tax-free treatment of these transactions, or if we obtain prior written consent of Comcast, in its sole and absolute discretion, waiving such requirement. We will be barred from taking any action, or failing to take any action, where such action or failure to act adversely affects or could reasonably be expected to adversely affect the tax-free treatment of the Separation, for all relevant time periods. In addition, these covenants will include specific restrictions on our: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discontinuing the active conduct of our trade or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issuing or selling our stock or other securities (including securities convertible into our stock but excluding certain compensatory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amending our articles of incorporation (or other organizational documents) or taking any other action, whether through a shareholder vote or otherwise, affecting the voting rights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certain corporate transactions that could jeopardize the tax-free treatment of the Distribution.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generally agree to indemnify Comcast against any and all tax-related liabilities incurred by Comcast or its subsidiaries relating to the Distribution to the extent caused by any action undertaken by us or in respect of our shares. The indemnification will apply even if Comcast has permitted us to take an action that would otherwise have been prohibited under the tax-related covenants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Transition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Transition Services Agreement will set forth the terms on which Comcast will provide to Versant, on a transitional basis, certain services or functions that the companies historically have shared. The transition services will include various services and functions, generally for a period of up to two years following the Distribution for all such services. Compensation for the transition services will be determined using billing methodologies which are described in the agreement. The Transition Services Agreement will provide that Versant may, subject to certain conditions, terminate any or all of the services, or any part of a service, upon prior written notice to Comcast. Versant will indemnify Comcast from liabilities for claims arising from the Transition Services Agreement, including Comcasts provision of the services, Versants use of the services or breach of the agreement, or from Versants gross negligence, fraud or willful misconduct. Comcast will indemnify Versant from liabilities for claims arising from Comcasts breach of the agreement or from Comcasts gross negligence, fraud or willful misconduct. Subject to certain customary exceptions, Comcasts maximum aggregate liability under the Transition Services Agreement will be limited to the fees actually received by Comcast under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We intend to enter into an Employee Matters Agreement with Comcast prior to the Separation that will govern the respective rights, responsibilities and obligations of the parties from and after the Separation with respect to employee-related assets and liabilities and our respective compensation, retirement and benefit plans. Except as specifically provided in the Employee Matters Agreement, we will generally assume responsibility for all employment-related liabilities relating to our employees, former employees and other service providers. Generally, the Employee Matters Agreement will provide that, except as may be provided in the Transition Services Agreement, each of our employees will cease active participation in Comcast compensation and benefit plans on or before the Separation and will commence participation in compensation and benefit plans sponsored and maintained by us. The Employee Matters Agreement will also set forth general principles relating to employee matters in connection with the Separation.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Commercial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have certain commercial arrangements, and in connection with the Separation, we will enter into certain additional commercial arrangements or amendments to existing arrangements, with Comcast, NBCUniversal or certain of their affiliates relating to the Spin Business. These commercial arrangements relate to a variety of ordinary course business functions,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and use of our advertising and promotional inventory;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distribution or use, as applicable, by Comcast and NBCUniversal of certain of our networks, content, trademarks and applications on their own and certain third-party platforms and networks, along with certain related sales, marketing and other support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ancillary services, including the use of personnel, as well as studio and production-related services, for the production of sports content and the use of personnel and hospitality support services for certain advertising and sports industry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 purchase agreements for each party to exhibit certain sports programming on the other partys networks and platforms;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licensing and similar arrangements relating to our use of certain entertainment and news content and trademark rights owned by NBCUniversal and its affiliates, as well as the use by Comcast and its affiliates of certain of our content, data and trademarks.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commercial agreements are generally for multiyear terms, with pricing and other terms and conditions that are customary for these types of agreements among unrelated parties. For additional information, see Risk FactorsSpin-Related Risk FactorsWe have historically operated within Comcast, and there are risks associated with the Separation.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of Shares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shares of our Class A common stock that you will receive in the Distribution will be freely transferable, unless you are considered an affiliate of ours under Rule 144 under the Securities Act. Persons who can be considered our affiliates after the Separation generally include individuals or entities that directly, or indirectly through one or more intermediaries, control, are controlled by or are under common control with us, and may include certain of our officers and directors. In addition, individuals who are affiliates of Comcast on the Distribution Date may be deemed to be affiliates of ours. We estimate that our directors and executive officers, who may be considered affiliates for purposes of Rule 144, will beneficially own approximately    shares of our Class A common stock immediately following the Separation. See Ownership of Common Stock by Certain Beneficial Owners and Management included elsewhere in this information statement. Our affiliates may sell shares of our Class A common stock received in the Distribution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a registration statement that the SEC has declared effective under the Securities Act;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an exemption from registration under the Securities Act, such as the exemption afforded by Rule 144.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under Rule 144 as currently in effect, an affiliate will be entitled to sell, within any three-month period, a number of shares of our Class A common stock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percent of our Class A common stock then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trading volume of our Class A common stock during the four calendar weeks preceding the filing of a notice on Form 144 for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Rule 144 also includes notice requirements and restrictions governing the manner of sale for sales by our affiliates. Sales may not be made under Rule 144 unless certain information about us is publicly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Reason for Furnishing this Information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information statement is being furnished solely to provide information to Comcast shareholders who are entitled to receive shares of our common stock in the Distribution. The information statement is not, and is not to be construed as, an inducement or encouragement to buy, hold or sell any of our securities. We believe the information contained in this information statement is accurate as of the date set forth on the cover. Changes may occur after that date and neither Comcast nor we undertake any obligation to update such information except in the normal course of our respective public disclosure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0" w:name="tx894612_6"/>
      <w:bookmarkEnd w:id="10"/>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our Board deems relevant. In addition, our ability to pay cash dividends on our capital stock may be limited by the terms of any future debt or preferred securities we issue or any credit facilities we enter into. See Risk FactorsRisks Relating to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1" w:name="tx894612_7"/>
      <w:bookmarkEnd w:id="11"/>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our capitalization as of     , 2025 on a historical and pro forma basis to give effect to the Separation and other matters, as discussed in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are based upon available information and assumptions that management believes are reasonable; however, such adjustments are subject to change based on the finalization of the terms of the Separation and the agreements which define our relationship with Comcast after the completion of the Separation. In addition, such adjustments are estimates and may not prove to be accurate.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information in the following table together with Managements Discussion and Analysis of Financial Condition and Results of Operations, Unaudited Pro Forma Combined Financial Statements and our audited combined financial statements and the related notes included elsewhere in this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providing the capitalization table for information purposes only. The capitalization table below may not reflect the capitalization or financial condition that would have resulted had we been operating as an independent, publicly traded company on     , 2025 and is not necessarily indicative of our future capitalization or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We have not yet finalized our post-Distribution capitalization. We will have cash on hand in an amount to be determined at or prior to the time of the Distribution. We expect that at the time of the Distribution, we will have significant third-party indebtedness. We intend to update our financial information to reflect our post-Distribution capitalization in a subsequent amendment to this information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89"/>
        <w:gridCol w:w="215"/>
        <w:gridCol w:w="147"/>
        <w:gridCol w:w="1480"/>
        <w:gridCol w:w="63"/>
        <w:gridCol w:w="218"/>
        <w:gridCol w:w="147"/>
        <w:gridCol w:w="1482"/>
        <w:gridCol w:w="64"/>
      </w:tblGrid>
      <w:tr>
        <w:trPr/>
        <w:tc>
          <w:tcPr>
            <w:tcW w:w="6389"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8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5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 2025</w:t>
            </w:r>
          </w:p>
        </w:tc>
        <w:tc>
          <w:tcPr>
            <w:tcW w:w="64" w:type="dxa"/>
            <w:tcBorders/>
            <w:vAlign w:val="bottom"/>
          </w:tcPr>
          <w:p>
            <w:pPr>
              <w:pStyle w:val="TableContents"/>
              <w:bidi w:val="0"/>
              <w:spacing w:before="0" w:after="283"/>
              <w:jc w:val="left"/>
              <w:rPr/>
            </w:pPr>
            <w:r>
              <w:rPr/>
              <w:t> </w:t>
            </w:r>
          </w:p>
        </w:tc>
      </w:tr>
      <w:tr>
        <w:trPr/>
        <w:tc>
          <w:tcPr>
            <w:tcW w:w="638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3"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(Unaudited)</w:t>
            </w:r>
          </w:p>
        </w:tc>
        <w:tc>
          <w:tcPr>
            <w:tcW w:w="64" w:type="dxa"/>
            <w:tcBorders/>
            <w:vAlign w:val="bottom"/>
          </w:tcPr>
          <w:p>
            <w:pPr>
              <w:pStyle w:val="TableContents"/>
              <w:bidi w:val="0"/>
              <w:spacing w:before="0" w:after="283"/>
              <w:jc w:val="left"/>
              <w:rPr/>
            </w:pPr>
            <w:r>
              <w:rPr/>
              <w:t> </w:t>
            </w:r>
          </w:p>
        </w:tc>
      </w:tr>
      <w:tr>
        <w:trPr/>
        <w:tc>
          <w:tcPr>
            <w:tcW w:w="638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537" w:type="dxa"/>
            <w:gridSpan w:val="6"/>
            <w:tcBorders/>
            <w:vAlign w:val="bottom"/>
          </w:tcPr>
          <w:p>
            <w:pPr>
              <w:pStyle w:val="TableContents"/>
              <w:bidi w:val="0"/>
              <w:spacing w:before="0" w:after="283"/>
              <w:jc w:val="center"/>
              <w:rPr>
                <w:b/>
              </w:rPr>
            </w:pPr>
            <w:r>
              <w:rPr>
                <w:b/>
              </w:rPr>
              <w:t>(in millions, except share amounts)</w:t>
            </w:r>
          </w:p>
        </w:tc>
        <w:tc>
          <w:tcPr>
            <w:tcW w:w="64" w:type="dxa"/>
            <w:tcBorders/>
            <w:vAlign w:val="bottom"/>
          </w:tcPr>
          <w:p>
            <w:pPr>
              <w:pStyle w:val="TableContents"/>
              <w:bidi w:val="0"/>
              <w:spacing w:before="0" w:after="283"/>
              <w:jc w:val="left"/>
              <w:rPr/>
            </w:pPr>
            <w:r>
              <w:rPr/>
              <w:t> </w:t>
            </w:r>
          </w:p>
        </w:tc>
      </w:tr>
      <w:tr>
        <w:trPr/>
        <w:tc>
          <w:tcPr>
            <w:tcW w:w="6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equivalents(1)</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48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48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38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48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48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89" w:type="dxa"/>
            <w:tcBorders/>
          </w:tcPr>
          <w:p>
            <w:pPr>
              <w:pStyle w:val="TableContents"/>
              <w:bidi w:val="0"/>
              <w:spacing w:before="0" w:after="0"/>
              <w:jc w:val="left"/>
              <w:rPr>
                <w:rFonts w:ascii="Times New Roman" w:hAnsi="Times New Roman"/>
                <w:sz w:val="20"/>
              </w:rPr>
            </w:pPr>
            <w:r>
              <w:rPr>
                <w:rFonts w:ascii="Times New Roman" w:hAnsi="Times New Roman"/>
                <w:sz w:val="20"/>
              </w:rPr>
              <w:t>Indebtedness:</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8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8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8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38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89" w:type="dxa"/>
            <w:tcBorders/>
          </w:tcPr>
          <w:p>
            <w:pPr>
              <w:pStyle w:val="TableContents"/>
              <w:bidi w:val="0"/>
              <w:spacing w:before="0" w:after="0"/>
              <w:jc w:val="left"/>
              <w:rPr>
                <w:rFonts w:ascii="Times New Roman" w:hAnsi="Times New Roman"/>
                <w:sz w:val="20"/>
              </w:rPr>
            </w:pPr>
            <w:r>
              <w:rPr>
                <w:rFonts w:ascii="Times New Roman" w:hAnsi="Times New Roman"/>
                <w:sz w:val="20"/>
              </w:rPr>
              <w:t>Total indebtedness</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8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8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38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48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48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8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389" w:type="dxa"/>
            <w:tcBorders/>
          </w:tcPr>
          <w:p>
            <w:pPr>
              <w:pStyle w:val="TableContents"/>
              <w:bidi w:val="0"/>
              <w:spacing w:before="0" w:after="0"/>
              <w:jc w:val="left"/>
              <w:rPr>
                <w:rFonts w:ascii="Times New Roman" w:hAnsi="Times New Roman"/>
                <w:sz w:val="20"/>
              </w:rPr>
            </w:pPr>
            <w:r>
              <w:rPr>
                <w:rFonts w:ascii="Times New Roman" w:hAnsi="Times New Roman"/>
                <w:sz w:val="20"/>
              </w:rPr>
              <w:t>Class A common stock, par value $0.01 per share;    shares authorized,    shares issued and outstanding, actual,    shares authorized,    shares issued and outstanding, pro forma(2)</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8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8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common stock, par value $0.01 per share;    shares authorized,    shares issued and outstanding, actual,    shares authorized,    shares issued and outstanding, pro forma(2)</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8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389" w:type="dxa"/>
            <w:tcBorders/>
          </w:tcPr>
          <w:p>
            <w:pPr>
              <w:pStyle w:val="TableContents"/>
              <w:bidi w:val="0"/>
              <w:spacing w:before="0" w:after="0"/>
              <w:jc w:val="left"/>
              <w:rPr>
                <w:rFonts w:ascii="Times New Roman" w:hAnsi="Times New Roman"/>
                <w:sz w:val="20"/>
              </w:rPr>
            </w:pPr>
            <w:r>
              <w:rPr>
                <w:rFonts w:ascii="Times New Roman" w:hAnsi="Times New Roman"/>
                <w:sz w:val="20"/>
              </w:rPr>
              <w:t>Net investment by Comcast(2)</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8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8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capital(2)</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8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38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8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8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Versant parent and shareholders equity</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8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38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89"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8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8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38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8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38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89"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48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48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638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48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48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an expected cash amount of $    at Separation following receipt of debt proceeds.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Separation, Comcasts net investment in us will be eliminated to reflect the distribution of our common stock to Comcasts shareholders.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2" w:name="tx894612_8"/>
      <w:bookmarkEnd w:id="12"/>
      <w:r>
        <w:rPr>
          <w:rFonts w:ascii="Times New Roman" w:hAnsi="Times New Roman"/>
          <w:b/>
          <w:sz w:val="20"/>
        </w:rPr>
        <w:t xml:space="preserve">UNAUDITED PRO FORMA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combined financial statements (the pro forma financial statements) were prepared in accordance with Article 11 of Regulation S-X and consist of an unaudited pro forma combined statement of income (the pro forma statement of income) for the year ended December 31, 2024, an unaudited pro forma combined balance sheet (the pro forma balance sheet) as of December 31, 2024 and related notes. The pro forma financial statements reflect adjustments to our audited combined statement of income for the year ended December 31, 2024 and our audited combined balance sheet as of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pro forma statement of income gives effect to the Separation and related transactions, described below, as if they had occurred on January 1, 2024, the beginning of our most recently completed fiscal year. The pro forma balance sheet gives effect to the Separation and related transactions as if they occurred as of December 31, 2024, our latest balance sheet date. </w:t>
      </w:r>
    </w:p>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statements have been prepared to reflect transaction accounting and autonomous entity adjustments to present our results of operations and financial condition as if we were a separate stand-alone entity. In addition, we have provided a presentation of management adjustments that management believes are useful to enhance an understanding of the pro forma effects of the transactions. The pro forma financial statements have been adjusted to give effect to the following (collectively, the Pro Forma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contribution of assets and liabilities that comprise our business by Comcast pursuant to the Separation and Distribution Agreement, including the expected transfer to us, prior to or concurrent with the Separation of various Comcast assets and liabilities not included in audited combined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post-Distribution capital structure, including (i) the issuance of approximately    shares of our Class A common stock and    shares of our Class B common stock to holders of Comcast common stock in connection with the Separation and (ii) the Debt Financing Transactions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Tax Matters Agreement and Employee Matters Agreement, both to be entered into with Comcast in connection with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Transition Services Agreement and certain other commercial agreements to be entered into with Comcast in connection with the Separation (see The SeparationAgreements with Comcast);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 costs and other amounts expected to be incurred as an autonomous entity and specifically related to the Separation and other adjustments described in the notes to the unaudited pro forma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statements are presented for informational purposes only and do not purport to represent what our results of operations and financial position actually would have been had the Pro Forma Transactions occurred on the dates indicated, or to project our financial performance for any future period. The pro forma financial statements are based on available information, estimates and assumptions, which we believe are reasonable and are described in the accompanying notes. Actual future results will differ from the amounts presented. </w:t>
      </w:r>
    </w:p>
    <w:p>
      <w:pPr>
        <w:pStyle w:val="TextBody"/>
        <w:bidi w:val="0"/>
        <w:spacing w:before="240" w:after="0"/>
        <w:jc w:val="left"/>
        <w:rPr>
          <w:rFonts w:ascii="Times New Roman" w:hAnsi="Times New Roman"/>
          <w:sz w:val="20"/>
        </w:rPr>
      </w:pPr>
      <w:r>
        <w:rPr>
          <w:rFonts w:ascii="Times New Roman" w:hAnsi="Times New Roman"/>
          <w:sz w:val="20"/>
        </w:rPr>
        <w:t xml:space="preserve">Our audited combined financial statements, which were the basis for the pro forma financial statements, were prepared on a carve-out basis as we did not operate as a stand-alone entity for the periods presented. Accordingly, such financial statements reflect allocations related to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See Note 10 to the audited combined financial statements included elsewhere in this information statement for further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pro forma financial statements should be read in conjunction with the sections herein entitled Capitalization, Managements Discussion and Analysis of Financial Condition and Results of Operations, Certain Relationships and Related Person Transactions and The Separation as well as the audited combined financial statements, and the corresponding notes included elsewhere in this information statement. For factors that could cause actual results to differ materially from those presented in the unaudited pro forma combined financial statements, see Cautionary Statement Concerning Forward-Looking Statements and Risk Factors included elsewhere in this information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Combined Statement of Income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Year Ended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96"/>
        <w:gridCol w:w="120"/>
        <w:gridCol w:w="148"/>
        <w:gridCol w:w="895"/>
        <w:gridCol w:w="89"/>
        <w:gridCol w:w="179"/>
        <w:gridCol w:w="167"/>
        <w:gridCol w:w="1228"/>
        <w:gridCol w:w="60"/>
        <w:gridCol w:w="89"/>
        <w:gridCol w:w="330"/>
        <w:gridCol w:w="138"/>
        <w:gridCol w:w="168"/>
        <w:gridCol w:w="1238"/>
        <w:gridCol w:w="59"/>
        <w:gridCol w:w="89"/>
        <w:gridCol w:w="60"/>
        <w:gridCol w:w="440"/>
        <w:gridCol w:w="60"/>
        <w:gridCol w:w="138"/>
        <w:gridCol w:w="60"/>
        <w:gridCol w:w="1183"/>
        <w:gridCol w:w="71"/>
      </w:tblGrid>
      <w:tr>
        <w:trPr/>
        <w:tc>
          <w:tcPr>
            <w:tcW w:w="31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8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Autonomous</w:t>
              <w:br/>
              <w:t>Entity</w:t>
              <w:br/>
              <w:t>Adjustments</w:t>
            </w:r>
          </w:p>
        </w:tc>
        <w:tc>
          <w:tcPr>
            <w:tcW w:w="5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71" w:type="dxa"/>
            <w:tcBorders/>
            <w:vAlign w:val="bottom"/>
          </w:tcPr>
          <w:p>
            <w:pPr>
              <w:pStyle w:val="TableContents"/>
              <w:bidi w:val="0"/>
              <w:spacing w:before="0" w:after="283"/>
              <w:jc w:val="left"/>
              <w:rPr/>
            </w:pPr>
            <w:r>
              <w:rPr/>
              <w:t> </w:t>
            </w:r>
          </w:p>
        </w:tc>
      </w:tr>
      <w:tr>
        <w:trPr/>
        <w:tc>
          <w:tcPr>
            <w:tcW w:w="319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18" w:type="dxa"/>
            <w:gridSpan w:val="20"/>
            <w:tcBorders/>
            <w:vAlign w:val="bottom"/>
          </w:tcPr>
          <w:p>
            <w:pPr>
              <w:pStyle w:val="TableContents"/>
              <w:bidi w:val="0"/>
              <w:spacing w:before="0" w:after="283"/>
              <w:jc w:val="center"/>
              <w:rPr>
                <w:b/>
              </w:rPr>
            </w:pPr>
            <w:r>
              <w:rPr>
                <w:b/>
              </w:rPr>
              <w:t>(in millions, except per share data)</w:t>
            </w:r>
          </w:p>
        </w:tc>
        <w:tc>
          <w:tcPr>
            <w:tcW w:w="71" w:type="dxa"/>
            <w:tcBorders/>
            <w:vAlign w:val="bottom"/>
          </w:tcPr>
          <w:p>
            <w:pPr>
              <w:pStyle w:val="TableContents"/>
              <w:bidi w:val="0"/>
              <w:spacing w:before="0" w:after="283"/>
              <w:jc w:val="left"/>
              <w:rPr/>
            </w:pPr>
            <w:r>
              <w:rPr/>
              <w:t> </w:t>
            </w:r>
          </w:p>
        </w:tc>
      </w:tr>
      <w:tr>
        <w:trPr/>
        <w:tc>
          <w:tcPr>
            <w:tcW w:w="31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895" w:type="dxa"/>
            <w:tcBorders/>
            <w:shd w:fill="CCEEFF" w:val="clear"/>
            <w:vAlign w:val="bottom"/>
          </w:tcPr>
          <w:p>
            <w:pPr>
              <w:pStyle w:val="TableContents"/>
              <w:bidi w:val="0"/>
              <w:spacing w:before="0" w:after="283"/>
              <w:jc w:val="right"/>
              <w:rPr/>
            </w:pPr>
            <w:r>
              <w:rPr/>
              <w:t>    </w:t>
            </w:r>
          </w:p>
        </w:tc>
        <w:tc>
          <w:tcPr>
            <w:tcW w:w="8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b/>
              </w:rPr>
            </w:pPr>
            <w:r>
              <w:rPr>
                <w:b/>
              </w:rPr>
              <w:t>$</w:t>
            </w:r>
          </w:p>
        </w:tc>
        <w:tc>
          <w:tcPr>
            <w:tcW w:w="12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b/>
              </w:rPr>
            </w:pPr>
            <w:r>
              <w:rPr>
                <w:b/>
              </w:rPr>
              <w:t>$</w:t>
            </w:r>
          </w:p>
        </w:tc>
        <w:tc>
          <w:tcPr>
            <w:tcW w:w="1238"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r>
      <w:tr>
        <w:trPr/>
        <w:tc>
          <w:tcPr>
            <w:tcW w:w="319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89"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of revenue (exclusive of depreciation and amortization)</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g</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a,b</w:t>
            </w:r>
          </w:p>
        </w:tc>
        <w:tc>
          <w:tcPr>
            <w:tcW w:w="13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g,h,j</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b</w:t>
            </w:r>
          </w:p>
        </w:tc>
        <w:tc>
          <w:tcPr>
            <w:tcW w:w="13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19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89"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c</w:t>
            </w:r>
          </w:p>
        </w:tc>
        <w:tc>
          <w:tcPr>
            <w:tcW w:w="13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and other income (loss), net</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d</w:t>
            </w:r>
          </w:p>
        </w:tc>
        <w:tc>
          <w:tcPr>
            <w:tcW w:w="13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i</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(loss) attributable to noncontrolling interest</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Versant</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b/>
              </w:rPr>
            </w:pPr>
            <w:r>
              <w:rPr>
                <w:b/>
              </w:rPr>
              <w:t>$</w:t>
            </w:r>
          </w:p>
        </w:tc>
        <w:tc>
          <w:tcPr>
            <w:tcW w:w="895" w:type="dxa"/>
            <w:tcBorders/>
            <w:vAlign w:val="bottom"/>
          </w:tcPr>
          <w:p>
            <w:pPr>
              <w:pStyle w:val="TableContents"/>
              <w:bidi w:val="0"/>
              <w:spacing w:before="0" w:after="283"/>
              <w:jc w:val="right"/>
              <w:rPr/>
            </w:pPr>
            <w:r>
              <w:rPr/>
              <w:t> </w:t>
            </w:r>
          </w:p>
        </w:tc>
        <w:tc>
          <w:tcPr>
            <w:tcW w:w="8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b/>
              </w:rPr>
            </w:pPr>
            <w:r>
              <w:rPr>
                <w:b/>
              </w:rPr>
              <w:t>$</w:t>
            </w:r>
          </w:p>
        </w:tc>
        <w:tc>
          <w:tcPr>
            <w:tcW w:w="12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b/>
              </w:rPr>
            </w:pPr>
            <w:r>
              <w:rPr>
                <w:b/>
              </w:rPr>
              <w:t>$</w:t>
            </w:r>
          </w:p>
        </w:tc>
        <w:tc>
          <w:tcPr>
            <w:tcW w:w="1238"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left"/>
              <w:rPr>
                <w:b/>
              </w:rPr>
            </w:pPr>
            <w:r>
              <w:rPr>
                <w:b/>
              </w:rPr>
              <w:t>$</w:t>
            </w:r>
          </w:p>
        </w:tc>
        <w:tc>
          <w:tcPr>
            <w:tcW w:w="71" w:type="dxa"/>
            <w:tcBorders/>
            <w:vAlign w:val="bottom"/>
          </w:tcPr>
          <w:p>
            <w:pPr>
              <w:pStyle w:val="TableContents"/>
              <w:bidi w:val="0"/>
              <w:spacing w:before="0" w:after="283"/>
              <w:jc w:val="left"/>
              <w:rPr/>
            </w:pPr>
            <w:r>
              <w:rPr/>
              <w:t> </w:t>
            </w:r>
          </w:p>
        </w:tc>
      </w:tr>
      <w:tr>
        <w:trPr/>
        <w:tc>
          <w:tcPr>
            <w:tcW w:w="319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89"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earnings per share of common stock</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k</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left"/>
              <w:rPr/>
            </w:pPr>
            <w:r>
              <w:rPr/>
              <w:t>$</w:t>
            </w:r>
          </w:p>
        </w:tc>
        <w:tc>
          <w:tcPr>
            <w:tcW w:w="71" w:type="dxa"/>
            <w:tcBorders/>
            <w:vAlign w:val="bottom"/>
          </w:tcPr>
          <w:p>
            <w:pPr>
              <w:pStyle w:val="TableContents"/>
              <w:bidi w:val="0"/>
              <w:spacing w:before="0" w:after="283"/>
              <w:jc w:val="left"/>
              <w:rPr/>
            </w:pPr>
            <w:r>
              <w:rPr/>
              <w:t> </w:t>
            </w:r>
          </w:p>
        </w:tc>
      </w:tr>
      <w:tr>
        <w:trPr/>
        <w:tc>
          <w:tcPr>
            <w:tcW w:w="31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k</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left"/>
              <w:rPr/>
            </w:pPr>
            <w:r>
              <w:rPr/>
              <w:t>$</w:t>
            </w:r>
          </w:p>
        </w:tc>
        <w:tc>
          <w:tcPr>
            <w:tcW w:w="71"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number of common shares outstanding</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1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k</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k</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pro forma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68"/>
        <w:gridCol w:w="135"/>
        <w:gridCol w:w="148"/>
        <w:gridCol w:w="852"/>
        <w:gridCol w:w="60"/>
        <w:gridCol w:w="135"/>
        <w:gridCol w:w="160"/>
        <w:gridCol w:w="1171"/>
        <w:gridCol w:w="60"/>
        <w:gridCol w:w="134"/>
        <w:gridCol w:w="60"/>
        <w:gridCol w:w="241"/>
        <w:gridCol w:w="60"/>
        <w:gridCol w:w="135"/>
        <w:gridCol w:w="161"/>
        <w:gridCol w:w="1180"/>
        <w:gridCol w:w="60"/>
        <w:gridCol w:w="135"/>
        <w:gridCol w:w="60"/>
        <w:gridCol w:w="148"/>
        <w:gridCol w:w="60"/>
        <w:gridCol w:w="135"/>
        <w:gridCol w:w="140"/>
        <w:gridCol w:w="1040"/>
        <w:gridCol w:w="67"/>
      </w:tblGrid>
      <w:tr>
        <w:trPr/>
        <w:tc>
          <w:tcPr>
            <w:tcW w:w="3668"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66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0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Autonomous</w:t>
              <w:br/>
              <w:t>Entity</w:t>
              <w:br/>
              <w:t>Adjustments</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0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67" w:type="dxa"/>
            <w:tcBorders/>
            <w:vAlign w:val="bottom"/>
          </w:tcPr>
          <w:p>
            <w:pPr>
              <w:pStyle w:val="TableContents"/>
              <w:bidi w:val="0"/>
              <w:spacing w:before="0" w:after="283"/>
              <w:jc w:val="left"/>
              <w:rPr/>
            </w:pPr>
            <w:r>
              <w:rPr/>
              <w:t> </w:t>
            </w:r>
          </w:p>
        </w:tc>
      </w:tr>
      <w:tr>
        <w:trPr/>
        <w:tc>
          <w:tcPr>
            <w:tcW w:w="366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335" w:type="dxa"/>
            <w:gridSpan w:val="22"/>
            <w:tcBorders/>
            <w:vAlign w:val="bottom"/>
          </w:tcPr>
          <w:p>
            <w:pPr>
              <w:pStyle w:val="TableContents"/>
              <w:bidi w:val="0"/>
              <w:spacing w:before="0" w:after="283"/>
              <w:jc w:val="center"/>
              <w:rPr>
                <w:b/>
              </w:rPr>
            </w:pPr>
            <w:r>
              <w:rPr>
                <w:b/>
              </w:rPr>
              <w:t>(in millions, except per share data)</w:t>
            </w:r>
          </w:p>
        </w:tc>
        <w:tc>
          <w:tcPr>
            <w:tcW w:w="67" w:type="dxa"/>
            <w:tcBorders/>
            <w:vAlign w:val="bottom"/>
          </w:tcPr>
          <w:p>
            <w:pPr>
              <w:pStyle w:val="TableContents"/>
              <w:bidi w:val="0"/>
              <w:spacing w:before="0" w:after="283"/>
              <w:jc w:val="left"/>
              <w:rPr/>
            </w:pPr>
            <w:r>
              <w:rPr/>
              <w:t> </w:t>
            </w:r>
          </w:p>
        </w:tc>
      </w:tr>
      <w:tr>
        <w:trPr/>
        <w:tc>
          <w:tcPr>
            <w:tcW w:w="36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c</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Receivables, net</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Content costs</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b</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Investments</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b</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noncurrent assets, net</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b,d</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i,j</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66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11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6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11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debt</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c</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content obligations</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Accrued employee costs</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e</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b,d</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i,j</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d</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Noncurrent portion of debt</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c</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content obligations</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b</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b</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j</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investment by Comcast</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c,f</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Class A common stock, $0.01 par value</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f</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common stock, $0.01 par value</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f</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f</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Total Versant parent and shareholders equity</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6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66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13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66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11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pro forma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Pro Forma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unless stated otherwise)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combined statement of income for the year ended December 31, 2024 and the unaudited pro forma combined balance sheet as of December 31, 2024 include the following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Accounting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estimates for additional separation charges we expect to incur through the closing of the Separation. These adjustments include estimated non-recurring expenses of $    recorded in selling, general and administrative expenses. Actual charges that will be incurred could be different from these estimates and would depend on several factors, including the economic environment and strategic decisions made following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impacts of assets and related liabilities and expenses that, pursuant to the terms of the Separation and Distribution Agreement, are expected to be contributed to Versant, but were shared assets for the periods presented in the audited combined financial statements and therefore were excluded from the audited combined financial statements. These adjustments primarily relate to owned or leased operating facilities and related equipment (including the key operational hub located in Englewood Cliffs, New Jersey) and agreements for content, and include adjustments to the unaudited pro forma combined statement of income to add related depreciation and amortization expense and remove amounts previously allocated for such assets from selling, general and administrative expenses. This adjustment also reflects the impact of assets and related liabilities and expenses that were historically dedicated to the Versant businesses and included in our audited combined financial statements, but which are expected to remain with Comcast. These adjustments primarily relate to     , and include adjustments to the unaudited pro forma combined statement of income to remove related depreciation and amortization expenses and add estimated costs associated with licensing agreements pertaining to such assets that are expected to be in place following the Separation. There may be additional assets, liabilities or related expenses transferred to Versant or to Comcast in the Separation for which the transfer has not yet been finalized. Accordingly, these pro forma financial statements may be further updated prior to the effectiveness of the Form 10 of which this information statement forms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pro forma condensed combined balance sheet reflects anticipated financing transactions (the Debt Financing Transactions) of approximately $    million, consisting of    , which are expected to be entered into prior to the Separation. Approximately $    million of the proceeds of such financing is expected to be    . As a result of the Debt Financing Transactions, and in connection with the terms of the Separation and Distribution Agreement, Versant is expected to have approximately $    million in cash and cash equivalents upon completion of the distribution. The terms of the term loan agreements are being negotiated and will be finalized prior to the Separation. </w:t>
            </w:r>
          </w:p>
        </w:tc>
      </w:tr>
    </w:tbl>
    <w:p>
      <w:pPr>
        <w:pStyle w:val="TextBody"/>
        <w:bidi w:val="0"/>
        <w:spacing w:before="120" w:after="0"/>
        <w:jc w:val="left"/>
        <w:rPr>
          <w:rFonts w:ascii="Times New Roman" w:hAnsi="Times New Roman"/>
          <w:sz w:val="20"/>
        </w:rPr>
      </w:pPr>
      <w:r>
        <w:rPr>
          <w:rFonts w:ascii="Times New Roman" w:hAnsi="Times New Roman"/>
          <w:sz w:val="20"/>
        </w:rPr>
        <w:t>The initial interest rate on the issued debt is expected to range from approximately    % to    % and pro forma interest was calculated using a rate of    %, which represents the midpoint of the range. The unaudited pro forma combined statement of income reflects estimated interest expense of $    million for the year ended December 31, 2024. Interest expense was calculated assuming constant debt levels throughout the periods. A hypothetical 1/8% change to the interest rate would change interest expense by $    million for the year ended December 31, 2024.</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tax effects of the Pro Forma Transactions and the pro forma adjustments using an estimated income tax rate of    % based on the statutory rate for the jurisdictions in which we operate. Management believes the statutory tax rate provides a reasonable basis for the pro forma adjustment. However, the effective tax rate of Versant could be significantly different depending on actual operating results and the application of enacted tax laws applicable to those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additional employee-related obligations expected to be transferred from Comcast to Versant prior to the Separation. These liabilities were excluded from the audited combined balance sheet as the related employees were not fully dedicated to Versant.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shares of our Class A common stock with a par value of $0.01 per share and Class B common stock with a par value of $0.01 per share pursuant to the Separation and Distribution Agreement and the related reclassification of Comcasts net investment in our Company. We have assumed the number of outstanding shares of our Class A common stock and Class B common stock based on shares of Comcast common stock outstanding, on the basis of the distribution ratio of    share(s) of our common stock distributed for every share of Comcast common stock, and using approximately    shares of Comcast Class A common stock and    shares of Comcast Class B common stock outstanding as of     , 2025. The actual number of shares issued will not be known until the record date for the distribution.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Autonomous Entity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effects of commercial arrangements that Versant and Comcast will enter into in connection with the Separation, primarily related to the commercial services agreement relating to the sale and use of our advertising and promotional inventory (see The SeparationAgreements with ComcastCertain Commercial Arrangements). Included in the pro forma combined statement of income for the year ended December 31, 2024 are adjustments for the differences in costs for these agreements compared to previously allocated costs, including adjustments to costs of revenue of $    , and selling, general, and administrative expenses of $    respectively.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(h)</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estimates for additional charges we expect to incur within one year of the Separation and which will be incurred in order to establish Versant as an independent, standalone company. These charges primarily relate to legal services, systems costs, licensing fees and advisor fees totaling $     and recorded in selling, general and administrative expenses. Actual charges that will be incurred could be different from these estimates and would depend on several factors, including the economic environment and strategic decisions made following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tax effects of the autonomous entity adjustments at the applicable statutory income tax rates as described above (d).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net impact of lease agreements for facilities that have been entered into or will be entered into prior to the Separation.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 Forma Earnings Per Share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Versant did not have common shares outstanding in the audited combined financial statements. The weighted average number of shares used to compute pro forma basic earnings per share for the year ended December 31, 2024 is based on the distribution ratio of    share(s) of our common stock distributed for every share of Comcast common stock, and using approximately    shares of Comcast Class A common stock and    shares of Comcast Class B common stock outstanding as of December 31, 2024.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weighted average number of shares used to compute pro forma diluted earnings per share is based on the number of basic shares of our Class A common stock and Class B common stock as described above. The actual dilutive effect following the completion of the Separation will depend on various factors, including employees who may change employment between Versant and Comcast and the impact of equity-based compensation arrangements. We cannot fully estimate the dilutive effects at this time.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Adjustments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to present management adjustments to the pro forma financial statements and have included all adjustments necessary for a fair statement of such information. Following the Separation, we expect to incur additional costs as a stand-alone entity in certain of our corporate support functions. We received the benefit of economies of scale as a business unit or division as part of Comcasts broader corporate organization and our audited combined financial statements included allocations related to the costs of these functions; however, in establishing these independent support functions, the expenses may significantly differ from the prior amounts allocated.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a stand-alone public company, we expect to incur certain costs in addition to those incurred pursuant to the Transition Services Agreement and other transaction and autonomous entity adjustments noted above, including costs resulting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One-time and non-recurring expenses associated with Separation and stand-up of functions required to operate as a stand-alone public entity. These non-recurring costs primarily relate to system implementation costs, business and facilities separation, applicable employee related costs, development of our brand and other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Recurring and ongoing costs required to operate new functions required for a public company such as external reporting, internal audit, treasury, investor relations, board of directors and officers, stock administration, and expanding the services of existing functions such as information technology, finance, supply chain, human resources, legal, tax, facilities, branding, security, government relations, community outreach and insurance.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expect to incur these costs beginning at Separation, with one-time and non-recurring costs expected to be incurred over a period of twelve to twenty-four months post Separation. </w:t>
      </w:r>
    </w:p>
    <w:p>
      <w:pPr>
        <w:pStyle w:val="TextBody"/>
        <w:bidi w:val="0"/>
        <w:spacing w:before="240" w:after="0"/>
        <w:jc w:val="left"/>
        <w:rPr>
          <w:rFonts w:ascii="Times New Roman" w:hAnsi="Times New Roman"/>
          <w:sz w:val="20"/>
        </w:rPr>
      </w:pPr>
      <w:r>
        <w:rPr>
          <w:rFonts w:ascii="Times New Roman" w:hAnsi="Times New Roman"/>
          <w:sz w:val="20"/>
        </w:rPr>
        <w:t xml:space="preserve">We estimated that we would have incurred approximately $    of total expenses (including one-time and non-recurring expenses of approximately $    and estimated recurring expenses of $    ) 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We estimated these additional expenses by assessing the resources and associated one-time and recurring costs each function will require to stand up and operate Versant as a stand-alone public company. We expect to fill any shortfalls to the estimated required resources in addition to the services provided by Comcast under the Transition Services Agreement through additional hiring or incremental vendor and other third-party spend. </w:t>
      </w:r>
    </w:p>
    <w:p>
      <w:pPr>
        <w:pStyle w:val="TextBody"/>
        <w:bidi w:val="0"/>
        <w:spacing w:before="240" w:after="0"/>
        <w:jc w:val="left"/>
        <w:rPr>
          <w:rFonts w:ascii="Times New Roman" w:hAnsi="Times New Roman"/>
          <w:sz w:val="20"/>
        </w:rPr>
      </w:pPr>
      <w:r>
        <w:rPr>
          <w:rFonts w:ascii="Times New Roman" w:hAnsi="Times New Roman"/>
          <w:sz w:val="20"/>
        </w:rPr>
        <w:t xml:space="preserve">The additional expenses have been estimated based on assumptions that our management believes are reasonable. However, actual additional costs that will be incurred could be different from the estimates and would depend on several factors, including the economic environment, results of contractual negotiations with third party vendors, ability to execute on proposed separation plans, and strategic decisions made in areas such as manufacturing, selling and marketing, research and development, information technology and infrastructures. In addition, adverse effects and limitations including those discussed in the section entitled Risk Factors to this document may impact actual costs incurred. We may also decide to increase or reduce resources or invest more heavily in certain areas in the future, which may differentiate the management adjustments even further from actual costs incurred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These management adjustments include forward-looking information that is subject to the safe harbor protections of the Exchange Act. The tax effect has been determined by applying the respective statutory tax rates to the aforementioned adjustments in jurisdictions where valuation allowances were not required.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 the year ended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65"/>
        <w:gridCol w:w="338"/>
        <w:gridCol w:w="140"/>
        <w:gridCol w:w="800"/>
        <w:gridCol w:w="62"/>
      </w:tblGrid>
      <w:tr>
        <w:trPr/>
        <w:tc>
          <w:tcPr>
            <w:tcW w:w="8865"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combined net income attributable to Versant*</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8865" w:type="dxa"/>
            <w:tcBorders/>
          </w:tcPr>
          <w:p>
            <w:pPr>
              <w:pStyle w:val="TableContents"/>
              <w:bidi w:val="0"/>
              <w:spacing w:before="0" w:after="0"/>
              <w:jc w:val="left"/>
              <w:rPr>
                <w:rFonts w:ascii="Times New Roman" w:hAnsi="Times New Roman"/>
                <w:sz w:val="20"/>
              </w:rPr>
            </w:pPr>
            <w:r>
              <w:rPr>
                <w:rFonts w:ascii="Times New Roman" w:hAnsi="Times New Roman"/>
                <w:sz w:val="20"/>
              </w:rPr>
              <w:t>Managements adjustments</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8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effect of managements adjustments</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8865"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865" w:type="dxa"/>
            <w:tcBorders/>
          </w:tcPr>
          <w:p>
            <w:pPr>
              <w:pStyle w:val="TableContents"/>
              <w:bidi w:val="0"/>
              <w:spacing w:before="0" w:after="0"/>
              <w:jc w:val="left"/>
              <w:rPr>
                <w:rFonts w:ascii="Times New Roman" w:hAnsi="Times New Roman"/>
                <w:sz w:val="20"/>
              </w:rPr>
            </w:pPr>
            <w:r>
              <w:rPr>
                <w:rFonts w:ascii="Times New Roman" w:hAnsi="Times New Roman"/>
                <w:sz w:val="20"/>
              </w:rPr>
              <w:t>Pro forma combined net income attributable to Versant after managements adjustments</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8865"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per share of common stock after managements adjustments</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8865"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 of common stock after managements adjustments</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shown in the Unaudited Pro Forma Combined Statement of Income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3" w:name="tx894612_9"/>
      <w:bookmarkEnd w:id="13"/>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of our financial condition and results of operations should be read in conjunction with our audited combined financial statements and the notes thereto, included elsewhere in this information statement, as well as the information presented under Unaudited Pro Forma Combined Financial Statements, SummarySummary Combined Financial and Other Data and Business. 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information statement. See in particular Special Note Regarding Forward-Looking Statements and Risk Factors.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 </w:t>
      </w:r>
    </w:p>
    <w:p>
      <w:pPr>
        <w:pStyle w:val="TextBody"/>
        <w:bidi w:val="0"/>
        <w:spacing w:before="240" w:after="0"/>
        <w:jc w:val="left"/>
        <w:rPr>
          <w:rFonts w:ascii="Times New Roman" w:hAnsi="Times New Roman"/>
          <w:sz w:val="20"/>
        </w:rPr>
      </w:pPr>
      <w:r>
        <w:rPr>
          <w:rFonts w:ascii="Times New Roman" w:hAnsi="Times New Roman"/>
          <w:sz w:val="20"/>
        </w:rPr>
        <w:t xml:space="preserve">Over the past 45 years, we have developed and operated iconic and award-winning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 </w:t>
      </w:r>
    </w:p>
    <w:p>
      <w:pPr>
        <w:pStyle w:val="TextBody"/>
        <w:bidi w:val="0"/>
        <w:spacing w:before="240" w:after="0"/>
        <w:jc w:val="left"/>
        <w:rPr>
          <w:rFonts w:ascii="Times New Roman" w:hAnsi="Times New Roman"/>
          <w:sz w:val="20"/>
        </w:rPr>
      </w:pPr>
      <w:r>
        <w:rPr>
          <w:rFonts w:ascii="Times New Roman" w:hAnsi="Times New Roman"/>
          <w:sz w:val="20"/>
        </w:rPr>
        <w:t xml:space="preserve">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Non-GAAP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a wholly owned subsidiary of Comcast that, after giving effect to the Transactions, will hold, directly or indirectly through its subsidiaries, the assets, liabilities and legal entities comprising the Spin Business. Following the Separation, we will be a publicly traded company independent from Comcast, and Comcast will not retain any ownership interest in us. Immediately following the Separation, holders of Comcast common stock prior to the Distribution will own 100% of the issued and outstanding shares of Versant common stock. For more information, see The Separation. </w:t>
      </w:r>
    </w:p>
    <w:p>
      <w:pPr>
        <w:pStyle w:val="TextBody"/>
        <w:bidi w:val="0"/>
        <w:spacing w:before="360" w:after="0"/>
        <w:jc w:val="left"/>
        <w:rPr>
          <w:rFonts w:ascii="Times New Roman" w:hAnsi="Times New Roman"/>
          <w:b/>
          <w:sz w:val="20"/>
        </w:rPr>
      </w:pPr>
      <w:r>
        <w:rPr>
          <w:rFonts w:ascii="Times New Roman" w:hAnsi="Times New Roman"/>
          <w:b/>
          <w:sz w:val="20"/>
        </w:rPr>
        <w:t xml:space="preserve">Key Factors Affecting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key factors that impact our business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Consumer Demand for Cable Television</w:t>
            </w:r>
            <w:r>
              <w:rPr>
                <w:rFonts w:ascii="Times New Roman" w:hAnsi="Times New Roman"/>
                <w:sz w:val="20"/>
              </w:rPr>
              <w:t xml:space="preserve">. The amount of revenue we earn from MVPD distribution has declined in recent years, primarily reflecting ongoing declines in MVPD subscriber levels due to evolving consumer preferences for consuming video content, and is expected to continue to decline in the future. As a result of these trends, we expect that our future success will depend on, among other things, our ability to compete with alternative content distribution platforms, our success in reaching new audiences by extending our content offerings through new distribution outlets, and our continued ability to distribute our networks on MVPDs.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Advertising</w:t>
            </w:r>
            <w:r>
              <w:rPr>
                <w:rFonts w:ascii="Times New Roman" w:hAnsi="Times New Roman"/>
                <w:sz w:val="20"/>
              </w:rPr>
              <w:t xml:space="preserve">. We derive significant revenue from selling advertising on our networks, and have experienced in recent years, and expect to continue to experience, declines in advertising revenue caused by shifts in advertiser priorities primarily due to increased competition for the leisure time of viewers, increased audience fragmentation and increased use of streaming and digital platforms (all of which we expect will continue in the foreseeable future), as well as by cyclical factors, such as election cycles and the timing of major sporting events, the availability of advertising-blocking technologies and macroeconomic conditions. In addition, lower audience ratings and reduced viewership, which our networks have experienced, and likely will continue to experience, affect pricing and the willingness of advertisers to purchase advertising.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Growth of Digital Platforms</w:t>
            </w:r>
            <w:r>
              <w:rPr>
                <w:rFonts w:ascii="Times New Roman" w:hAnsi="Times New Roman"/>
                <w:sz w:val="20"/>
              </w:rPr>
              <w:t xml:space="preserve">. Our digital platforms generate revenue from selling advertising, providing services directly to consumers and selling cloud-based technology and related services. The growth of digital platforms continues to be shaped by evolving consumer behavior and broader macroeconomic conditions, including changes in consumer spending patterns, concerns about data privacy and evolving preferences for digital engagement through websites and mobile applications. Our revenue from our digital platforms has grown in recent years, and we expect that it will continue to grow as we invest in this growing portion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Competition for Programming</w:t>
            </w:r>
            <w:r>
              <w:rPr>
                <w:rFonts w:ascii="Times New Roman" w:hAnsi="Times New Roman"/>
                <w:sz w:val="20"/>
              </w:rPr>
              <w:t xml:space="preserve">. The market for programming has been, and we expect will continue to be, very competitive. In recent years, sports programming in particular has become significantly more competitive and expensive. We expect to continue to devote significant resources to acquire sports programming in the future, and our ability to continue to provide compelling content will be vital to our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Impact of Macroeconomic Conditions</w:t>
            </w:r>
            <w:r>
              <w:rPr>
                <w:rFonts w:ascii="Times New Roman" w:hAnsi="Times New Roman"/>
                <w:sz w:val="20"/>
              </w:rPr>
              <w:t xml:space="preserve">. A substantial portion of our revenue is impacted by consumer spending patterns, which are affected by prevailing economic conditions. Downturns in global economic conditions have in the past, and may in the future, negatively affect the spending patterns of consumers and, as a result, our current and potential customers, advertisers, vendors and others with whom we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Brand Value and Reputation</w:t>
            </w:r>
            <w:r>
              <w:rPr>
                <w:rFonts w:ascii="Times New Roman" w:hAnsi="Times New Roman"/>
                <w:sz w:val="20"/>
              </w:rPr>
              <w:t xml:space="preserve">. Our brand image, awareness and reputation strengthen our relationship with our audiences and can be important drivers of consumer and advertiser engagement. Following the Separation, we will need to establish the Versant brand, while elevated public scrutiny, geopolitical tensions and rapid consumer reaction have heightened reputational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Public Company Costs</w:t>
            </w:r>
            <w:r>
              <w:rPr>
                <w:rFonts w:ascii="Times New Roman" w:hAnsi="Times New Roman"/>
                <w:sz w:val="20"/>
              </w:rPr>
              <w:t xml:space="preserve">. As a result of the Separation and costs associated with running an independent, publicly traded company, we expect to incur expenditures that are higher than historical allocations that were allocated pro rata based on revenue, which may have an impact on our profitability and operating cash flows.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evaluate these and other factors as we develop and execute our strategies. For more information on the risk factors affecting our business, see Risk Factors in this information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For the periods presented in the audited combined financial statements included elsewhere in this information statement, Versants businesses were operated as part of Comcasts Media segment. The audited combined financial statements have been derived from Comcasts historical accounting records as if Versant operations had been conducted independently from Comcast, and reflect the assets, liabilities, revenues and expenses of the Company on a historical cost basis. The audited combined financial statements were prepared on a stand-alone basis in accordance with GAAP and pursuant to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The audited combined balance sheets include assets and liabilities specifically attributable to the Company and certain assets and liabilities held by Comcast but specifically identifiable or otherwise attributable to the Spin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Business. Assets and liabilities included in our audited combined balance sheets were based on an assessment as of December 31, 2024, and may not reflect the assets and liabilities that will be included in Versant following the Separation. For example, certain properties will be transferred to us as a part of the Separation, but were previously shared with other parts of Comcast and were therefore not included in the audited combined balance sheets. Comcasts third-party debt and related interest expense have not been attributed to the Company because the borrowings are not specifically identifiable to the Company and the Company is not the legal obligor. The audited combined financial statements reflect noncontrolling interests for certain subsidiaries included in the audited combined financial statements, in which a third party has a minority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The audited combined statements of income include all revenues and costs directly attributable to the Spin Business, including costs related to production activities that use centralized Comcast operations and directly charged to us based on usage. The audited combined statements of income also include allocations of costs for administrative functions and services performed on our behalf by other centralized functions within Comcast and allocations of costs for the use of shared assets (see Note 10 to the audited combined financial statements included elsewhere in this information statement). These expenses have been allocated on a pro rata basis using an applicable measure of revenue. All allocations and estimates reflected in the audited combined financial statements are based on assumptions that management believes are reasonable. However, the allocations may not be indicative of the actual expense that would have been incurred had we operated as an independent, standalone entity, nor are they necessarily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 </w:t>
      </w:r>
    </w:p>
    <w:p>
      <w:pPr>
        <w:pStyle w:val="TextBody"/>
        <w:bidi w:val="0"/>
        <w:spacing w:before="240" w:after="0"/>
        <w:jc w:val="left"/>
        <w:rPr>
          <w:rFonts w:ascii="Times New Roman" w:hAnsi="Times New Roman"/>
          <w:sz w:val="20"/>
        </w:rPr>
      </w:pPr>
      <w:r>
        <w:rPr>
          <w:rFonts w:ascii="Times New Roman" w:hAnsi="Times New Roman"/>
          <w:sz w:val="20"/>
        </w:rPr>
        <w:t xml:space="preserve">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 audited combined financial statements. The total net effect of the deemed settlement of these transactions is included in net parent investment and the net effect of changes in net parent investment is presented in financing activities in the audited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and included in the audited combined financial statements are considered related party transactions. See Note 10 to the audited combined financial statements included elsewhere in this information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Operating Results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03"/>
        <w:gridCol w:w="212"/>
        <w:gridCol w:w="140"/>
        <w:gridCol w:w="581"/>
        <w:gridCol w:w="155"/>
        <w:gridCol w:w="158"/>
        <w:gridCol w:w="140"/>
        <w:gridCol w:w="581"/>
        <w:gridCol w:w="155"/>
        <w:gridCol w:w="158"/>
        <w:gridCol w:w="140"/>
        <w:gridCol w:w="581"/>
        <w:gridCol w:w="155"/>
        <w:gridCol w:w="158"/>
        <w:gridCol w:w="82"/>
        <w:gridCol w:w="1336"/>
        <w:gridCol w:w="395"/>
        <w:gridCol w:w="157"/>
        <w:gridCol w:w="73"/>
        <w:gridCol w:w="1344"/>
        <w:gridCol w:w="401"/>
      </w:tblGrid>
      <w:tr>
        <w:trPr/>
        <w:tc>
          <w:tcPr>
            <w:tcW w:w="3103"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10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48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401" w:type="dxa"/>
            <w:tcBorders/>
            <w:vAlign w:val="bottom"/>
          </w:tcPr>
          <w:p>
            <w:pPr>
              <w:pStyle w:val="TableContents"/>
              <w:bidi w:val="0"/>
              <w:spacing w:before="0" w:after="283"/>
              <w:jc w:val="left"/>
              <w:rPr/>
            </w:pPr>
            <w:r>
              <w:rPr/>
              <w:t> </w:t>
            </w:r>
          </w:p>
        </w:tc>
      </w:tr>
      <w:tr>
        <w:trPr/>
        <w:tc>
          <w:tcPr>
            <w:tcW w:w="310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2023</w:t>
              <w:br/>
              <w:t>to 2024</w:t>
            </w:r>
          </w:p>
        </w:tc>
        <w:tc>
          <w:tcPr>
            <w:tcW w:w="39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2022</w:t>
              <w:br/>
              <w:t>to 2023</w:t>
            </w:r>
          </w:p>
        </w:tc>
        <w:tc>
          <w:tcPr>
            <w:tcW w:w="401" w:type="dxa"/>
            <w:tcBorders/>
            <w:vAlign w:val="bottom"/>
          </w:tcPr>
          <w:p>
            <w:pPr>
              <w:pStyle w:val="TableContents"/>
              <w:bidi w:val="0"/>
              <w:spacing w:before="0" w:after="283"/>
              <w:jc w:val="left"/>
              <w:rPr/>
            </w:pPr>
            <w:r>
              <w:rPr/>
              <w:t> </w:t>
            </w:r>
          </w:p>
        </w:tc>
      </w:tr>
      <w:tr>
        <w:trPr/>
        <w:tc>
          <w:tcPr>
            <w:tcW w:w="310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6489" w:type="dxa"/>
            <w:gridSpan w:val="18"/>
            <w:tcBorders/>
            <w:vAlign w:val="bottom"/>
          </w:tcPr>
          <w:p>
            <w:pPr>
              <w:pStyle w:val="TableContents"/>
              <w:bidi w:val="0"/>
              <w:spacing w:before="0" w:after="283"/>
              <w:jc w:val="center"/>
              <w:rPr>
                <w:b/>
              </w:rPr>
            </w:pPr>
            <w:r>
              <w:rPr>
                <w:b/>
              </w:rPr>
              <w:t>(in millions)</w:t>
            </w:r>
          </w:p>
        </w:tc>
        <w:tc>
          <w:tcPr>
            <w:tcW w:w="401" w:type="dxa"/>
            <w:tcBorders/>
            <w:vAlign w:val="bottom"/>
          </w:tcPr>
          <w:p>
            <w:pPr>
              <w:pStyle w:val="TableContents"/>
              <w:bidi w:val="0"/>
              <w:spacing w:before="0" w:after="283"/>
              <w:jc w:val="left"/>
              <w:rPr/>
            </w:pPr>
            <w:r>
              <w:rPr/>
              <w:t> </w:t>
            </w:r>
          </w:p>
        </w:tc>
      </w:tr>
      <w:tr>
        <w:trPr/>
        <w:tc>
          <w:tcPr>
            <w:tcW w:w="310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81" w:type="dxa"/>
            <w:tcBorders/>
            <w:shd w:fill="CCEEFF" w:val="clear"/>
            <w:vAlign w:val="bottom"/>
          </w:tcPr>
          <w:p>
            <w:pPr>
              <w:pStyle w:val="TableContents"/>
              <w:bidi w:val="0"/>
              <w:spacing w:before="0" w:after="283"/>
              <w:jc w:val="right"/>
              <w:rPr>
                <w:b/>
              </w:rPr>
            </w:pPr>
            <w:r>
              <w:rPr>
                <w:b/>
              </w:rPr>
              <w:t>7,062</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81" w:type="dxa"/>
            <w:tcBorders/>
            <w:shd w:fill="CCEEFF" w:val="clear"/>
            <w:vAlign w:val="bottom"/>
          </w:tcPr>
          <w:p>
            <w:pPr>
              <w:pStyle w:val="TableContents"/>
              <w:bidi w:val="0"/>
              <w:spacing w:before="0" w:after="283"/>
              <w:jc w:val="right"/>
              <w:rPr>
                <w:b/>
              </w:rPr>
            </w:pPr>
            <w:r>
              <w:rPr>
                <w:b/>
              </w:rPr>
              <w:t>7,445</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81" w:type="dxa"/>
            <w:tcBorders/>
            <w:shd w:fill="CCEEFF" w:val="clear"/>
            <w:vAlign w:val="bottom"/>
          </w:tcPr>
          <w:p>
            <w:pPr>
              <w:pStyle w:val="TableContents"/>
              <w:bidi w:val="0"/>
              <w:spacing w:before="0" w:after="283"/>
              <w:jc w:val="right"/>
              <w:rPr>
                <w:b/>
              </w:rPr>
            </w:pPr>
            <w:r>
              <w:rPr>
                <w:b/>
              </w:rPr>
              <w:t>7,834</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b/>
              </w:rPr>
            </w:pPr>
            <w:r>
              <w:rPr>
                <w:b/>
              </w:rPr>
              <w:t>(5.1</w:t>
            </w:r>
          </w:p>
        </w:tc>
        <w:tc>
          <w:tcPr>
            <w:tcW w:w="395" w:type="dxa"/>
            <w:tcBorders/>
            <w:shd w:fill="CCEEFF" w:val="clear"/>
            <w:vAlign w:val="bottom"/>
          </w:tcPr>
          <w:p>
            <w:pPr>
              <w:pStyle w:val="TableContents"/>
              <w:bidi w:val="0"/>
              <w:spacing w:before="0" w:after="283"/>
              <w:jc w:val="left"/>
              <w:rPr>
                <w:b/>
              </w:rPr>
            </w:pPr>
            <w:r>
              <w:rPr>
                <w:b/>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(5.0</w:t>
            </w:r>
          </w:p>
        </w:tc>
        <w:tc>
          <w:tcPr>
            <w:tcW w:w="401" w:type="dxa"/>
            <w:tcBorders/>
            <w:shd w:fill="CCEEFF" w:val="clear"/>
            <w:vAlign w:val="bottom"/>
          </w:tcPr>
          <w:p>
            <w:pPr>
              <w:pStyle w:val="TableContents"/>
              <w:bidi w:val="0"/>
              <w:spacing w:before="0" w:after="283"/>
              <w:jc w:val="left"/>
              <w:rPr>
                <w:b/>
              </w:rPr>
            </w:pPr>
            <w:r>
              <w:rPr>
                <w:b/>
              </w:rPr>
              <w:t>)% </w:t>
            </w:r>
          </w:p>
        </w:tc>
      </w:tr>
      <w:tr>
        <w:trPr/>
        <w:tc>
          <w:tcPr>
            <w:tcW w:w="3103"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sz w:val="4"/>
                <w:szCs w:val="4"/>
              </w:rPr>
            </w:pPr>
            <w:r>
              <w:rPr>
                <w:sz w:val="4"/>
                <w:szCs w:val="4"/>
              </w:rPr>
            </w:r>
          </w:p>
        </w:tc>
        <w:tc>
          <w:tcPr>
            <w:tcW w:w="1336"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1344"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r>
      <w:tr>
        <w:trPr/>
        <w:tc>
          <w:tcPr>
            <w:tcW w:w="3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of revenue (exclusive of depreciation and amortization)</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3,064</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3,154</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3,161</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(2.8</w:t>
            </w:r>
          </w:p>
        </w:tc>
        <w:tc>
          <w:tcPr>
            <w:tcW w:w="39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(0.2</w:t>
            </w:r>
          </w:p>
        </w:tc>
        <w:tc>
          <w:tcPr>
            <w:tcW w:w="401" w:type="dxa"/>
            <w:tcBorders/>
            <w:shd w:fill="CCEEFF" w:val="clear"/>
            <w:vAlign w:val="bottom"/>
          </w:tcPr>
          <w:p>
            <w:pPr>
              <w:pStyle w:val="TableContents"/>
              <w:bidi w:val="0"/>
              <w:spacing w:before="0" w:after="283"/>
              <w:jc w:val="left"/>
              <w:rPr/>
            </w:pPr>
            <w:r>
              <w:rPr/>
              <w:t>) </w:t>
            </w:r>
          </w:p>
        </w:tc>
      </w:tr>
      <w:tr>
        <w:trPr/>
        <w:tc>
          <w:tcPr>
            <w:tcW w:w="310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1,167</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1,231</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1,271</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(5.1</w:t>
            </w:r>
          </w:p>
        </w:tc>
        <w:tc>
          <w:tcPr>
            <w:tcW w:w="39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(3.2</w:t>
            </w:r>
          </w:p>
        </w:tc>
        <w:tc>
          <w:tcPr>
            <w:tcW w:w="401" w:type="dxa"/>
            <w:tcBorders/>
            <w:vAlign w:val="bottom"/>
          </w:tcPr>
          <w:p>
            <w:pPr>
              <w:pStyle w:val="TableContents"/>
              <w:bidi w:val="0"/>
              <w:spacing w:before="0" w:after="283"/>
              <w:jc w:val="left"/>
              <w:rPr/>
            </w:pPr>
            <w:r>
              <w:rPr/>
              <w:t>) </w:t>
            </w:r>
          </w:p>
        </w:tc>
      </w:tr>
      <w:tr>
        <w:trPr/>
        <w:tc>
          <w:tcPr>
            <w:tcW w:w="3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989</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991</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992</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(0.2</w:t>
            </w:r>
          </w:p>
        </w:tc>
        <w:tc>
          <w:tcPr>
            <w:tcW w:w="39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(0.1</w:t>
            </w:r>
          </w:p>
        </w:tc>
        <w:tc>
          <w:tcPr>
            <w:tcW w:w="401" w:type="dxa"/>
            <w:tcBorders/>
            <w:shd w:fill="CCEEFF" w:val="clear"/>
            <w:vAlign w:val="bottom"/>
          </w:tcPr>
          <w:p>
            <w:pPr>
              <w:pStyle w:val="TableContents"/>
              <w:bidi w:val="0"/>
              <w:spacing w:before="0" w:after="283"/>
              <w:jc w:val="left"/>
              <w:rPr/>
            </w:pPr>
            <w:r>
              <w:rPr/>
              <w:t>) </w:t>
            </w:r>
          </w:p>
        </w:tc>
      </w:tr>
      <w:tr>
        <w:trPr/>
        <w:tc>
          <w:tcPr>
            <w:tcW w:w="3103"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401" w:type="dxa"/>
            <w:tcBorders/>
            <w:vAlign w:val="center"/>
          </w:tcPr>
          <w:p>
            <w:pPr>
              <w:pStyle w:val="TableContents"/>
              <w:bidi w:val="0"/>
              <w:spacing w:before="0" w:after="283"/>
              <w:jc w:val="left"/>
              <w:rPr/>
            </w:pPr>
            <w:r>
              <w:rPr/>
              <w:t> </w:t>
            </w:r>
          </w:p>
        </w:tc>
      </w:tr>
      <w:tr>
        <w:trPr/>
        <w:tc>
          <w:tcPr>
            <w:tcW w:w="3103"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5,220</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5,375</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5,424</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(2.9</w:t>
            </w:r>
          </w:p>
        </w:tc>
        <w:tc>
          <w:tcPr>
            <w:tcW w:w="39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(0.9</w:t>
            </w:r>
          </w:p>
        </w:tc>
        <w:tc>
          <w:tcPr>
            <w:tcW w:w="401" w:type="dxa"/>
            <w:tcBorders/>
            <w:vAlign w:val="bottom"/>
          </w:tcPr>
          <w:p>
            <w:pPr>
              <w:pStyle w:val="TableContents"/>
              <w:bidi w:val="0"/>
              <w:spacing w:before="0" w:after="283"/>
              <w:jc w:val="left"/>
              <w:rPr/>
            </w:pPr>
            <w:r>
              <w:rPr/>
              <w:t>) </w:t>
            </w:r>
          </w:p>
        </w:tc>
      </w:tr>
      <w:tr>
        <w:trPr/>
        <w:tc>
          <w:tcPr>
            <w:tcW w:w="3103"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401" w:type="dxa"/>
            <w:tcBorders/>
            <w:vAlign w:val="center"/>
          </w:tcPr>
          <w:p>
            <w:pPr>
              <w:pStyle w:val="TableContents"/>
              <w:bidi w:val="0"/>
              <w:spacing w:before="0" w:after="283"/>
              <w:jc w:val="left"/>
              <w:rPr/>
            </w:pPr>
            <w:r>
              <w:rPr/>
              <w:t> </w:t>
            </w:r>
          </w:p>
        </w:tc>
      </w:tr>
      <w:tr>
        <w:trPr/>
        <w:tc>
          <w:tcPr>
            <w:tcW w:w="310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b/>
              </w:rPr>
            </w:pPr>
            <w:r>
              <w:rPr>
                <w:b/>
              </w:rPr>
              <w:t>1,841</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b/>
              </w:rPr>
            </w:pPr>
            <w:r>
              <w:rPr>
                <w:b/>
              </w:rPr>
              <w:t>2,069</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b/>
              </w:rPr>
            </w:pPr>
            <w:r>
              <w:rPr>
                <w:b/>
              </w:rPr>
              <w:t>2,410</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b/>
              </w:rPr>
            </w:pPr>
            <w:r>
              <w:rPr>
                <w:b/>
              </w:rPr>
              <w:t>(11.0</w:t>
            </w:r>
          </w:p>
        </w:tc>
        <w:tc>
          <w:tcPr>
            <w:tcW w:w="395" w:type="dxa"/>
            <w:tcBorders/>
            <w:shd w:fill="CCEEFF" w:val="clear"/>
            <w:vAlign w:val="bottom"/>
          </w:tcPr>
          <w:p>
            <w:pPr>
              <w:pStyle w:val="TableContents"/>
              <w:bidi w:val="0"/>
              <w:spacing w:before="0" w:after="283"/>
              <w:jc w:val="left"/>
              <w:rPr>
                <w:b/>
              </w:rPr>
            </w:pPr>
            <w:r>
              <w:rPr>
                <w:b/>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(14.2</w:t>
            </w:r>
          </w:p>
        </w:tc>
        <w:tc>
          <w:tcPr>
            <w:tcW w:w="401" w:type="dxa"/>
            <w:tcBorders/>
            <w:shd w:fill="CCEEFF" w:val="clear"/>
            <w:vAlign w:val="bottom"/>
          </w:tcPr>
          <w:p>
            <w:pPr>
              <w:pStyle w:val="TableContents"/>
              <w:bidi w:val="0"/>
              <w:spacing w:before="0" w:after="283"/>
              <w:jc w:val="left"/>
              <w:rPr>
                <w:b/>
              </w:rPr>
            </w:pPr>
            <w:r>
              <w:rPr>
                <w:b/>
              </w:rPr>
              <w:t>) </w:t>
            </w:r>
          </w:p>
        </w:tc>
      </w:tr>
      <w:tr>
        <w:trPr/>
        <w:tc>
          <w:tcPr>
            <w:tcW w:w="3103" w:type="dxa"/>
            <w:tcBorders/>
          </w:tcPr>
          <w:p>
            <w:pPr>
              <w:pStyle w:val="TableContents"/>
              <w:bidi w:val="0"/>
              <w:spacing w:before="0" w:after="0"/>
              <w:jc w:val="left"/>
              <w:rPr>
                <w:rFonts w:ascii="Times New Roman" w:hAnsi="Times New Roman"/>
                <w:sz w:val="20"/>
              </w:rPr>
            </w:pPr>
            <w:r>
              <w:rPr>
                <w:rFonts w:ascii="Times New Roman" w:hAnsi="Times New Roman"/>
                <w:sz w:val="20"/>
              </w:rPr>
              <w:t>Investment and other income (loss), net</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NM</w:t>
            </w:r>
          </w:p>
        </w:tc>
        <w:tc>
          <w:tcPr>
            <w:tcW w:w="39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NM</w:t>
            </w:r>
          </w:p>
        </w:tc>
        <w:tc>
          <w:tcPr>
            <w:tcW w:w="401" w:type="dxa"/>
            <w:tcBorders/>
            <w:vAlign w:val="bottom"/>
          </w:tcPr>
          <w:p>
            <w:pPr>
              <w:pStyle w:val="TableContents"/>
              <w:bidi w:val="0"/>
              <w:spacing w:before="0" w:after="283"/>
              <w:jc w:val="left"/>
              <w:rPr/>
            </w:pPr>
            <w:r>
              <w:rPr/>
              <w:t> </w:t>
            </w:r>
          </w:p>
        </w:tc>
      </w:tr>
      <w:tr>
        <w:trPr/>
        <w:tc>
          <w:tcPr>
            <w:tcW w:w="3103"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401" w:type="dxa"/>
            <w:tcBorders/>
            <w:vAlign w:val="center"/>
          </w:tcPr>
          <w:p>
            <w:pPr>
              <w:pStyle w:val="TableContents"/>
              <w:bidi w:val="0"/>
              <w:spacing w:before="0" w:after="283"/>
              <w:jc w:val="left"/>
              <w:rPr/>
            </w:pPr>
            <w:r>
              <w:rPr/>
              <w:t> </w:t>
            </w:r>
          </w:p>
        </w:tc>
      </w:tr>
      <w:tr>
        <w:trPr/>
        <w:tc>
          <w:tcPr>
            <w:tcW w:w="3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1,843</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2,069</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2,349</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(11.0</w:t>
            </w:r>
          </w:p>
        </w:tc>
        <w:tc>
          <w:tcPr>
            <w:tcW w:w="39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(11.9</w:t>
            </w:r>
          </w:p>
        </w:tc>
        <w:tc>
          <w:tcPr>
            <w:tcW w:w="401" w:type="dxa"/>
            <w:tcBorders/>
            <w:shd w:fill="CCEEFF" w:val="clear"/>
            <w:vAlign w:val="bottom"/>
          </w:tcPr>
          <w:p>
            <w:pPr>
              <w:pStyle w:val="TableContents"/>
              <w:bidi w:val="0"/>
              <w:spacing w:before="0" w:after="283"/>
              <w:jc w:val="left"/>
              <w:rPr/>
            </w:pPr>
            <w:r>
              <w:rPr/>
              <w:t>) </w:t>
            </w:r>
          </w:p>
        </w:tc>
      </w:tr>
      <w:tr>
        <w:trPr/>
        <w:tc>
          <w:tcPr>
            <w:tcW w:w="310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(478</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(530</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(591</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   </w:t>
            </w:r>
            <w:r>
              <w:rPr/>
              <w:t>9.8</w:t>
            </w:r>
          </w:p>
        </w:tc>
        <w:tc>
          <w:tcPr>
            <w:tcW w:w="39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   </w:t>
            </w:r>
            <w:r>
              <w:rPr/>
              <w:t>10.4</w:t>
            </w:r>
          </w:p>
        </w:tc>
        <w:tc>
          <w:tcPr>
            <w:tcW w:w="401" w:type="dxa"/>
            <w:tcBorders/>
            <w:vAlign w:val="bottom"/>
          </w:tcPr>
          <w:p>
            <w:pPr>
              <w:pStyle w:val="TableContents"/>
              <w:bidi w:val="0"/>
              <w:spacing w:before="0" w:after="283"/>
              <w:jc w:val="left"/>
              <w:rPr/>
            </w:pPr>
            <w:r>
              <w:rPr/>
              <w:t> </w:t>
            </w:r>
          </w:p>
        </w:tc>
      </w:tr>
      <w:tr>
        <w:trPr/>
        <w:tc>
          <w:tcPr>
            <w:tcW w:w="3103"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401" w:type="dxa"/>
            <w:tcBorders/>
            <w:vAlign w:val="center"/>
          </w:tcPr>
          <w:p>
            <w:pPr>
              <w:pStyle w:val="TableContents"/>
              <w:bidi w:val="0"/>
              <w:spacing w:before="0" w:after="283"/>
              <w:jc w:val="left"/>
              <w:rPr/>
            </w:pPr>
            <w:r>
              <w:rPr/>
              <w:t> </w:t>
            </w:r>
          </w:p>
        </w:tc>
      </w:tr>
      <w:tr>
        <w:trPr/>
        <w:tc>
          <w:tcPr>
            <w:tcW w:w="3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1,365</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1,540</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1,758</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(11.4</w:t>
            </w:r>
          </w:p>
        </w:tc>
        <w:tc>
          <w:tcPr>
            <w:tcW w:w="39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(12.4</w:t>
            </w:r>
          </w:p>
        </w:tc>
        <w:tc>
          <w:tcPr>
            <w:tcW w:w="401" w:type="dxa"/>
            <w:tcBorders/>
            <w:shd w:fill="CCEEFF" w:val="clear"/>
            <w:vAlign w:val="bottom"/>
          </w:tcPr>
          <w:p>
            <w:pPr>
              <w:pStyle w:val="TableContents"/>
              <w:bidi w:val="0"/>
              <w:spacing w:before="0" w:after="283"/>
              <w:jc w:val="left"/>
              <w:rPr/>
            </w:pPr>
            <w:r>
              <w:rPr/>
              <w:t>) </w:t>
            </w:r>
          </w:p>
        </w:tc>
      </w:tr>
      <w:tr>
        <w:trPr/>
        <w:tc>
          <w:tcPr>
            <w:tcW w:w="3103" w:type="dxa"/>
            <w:tcBorders/>
          </w:tcPr>
          <w:p>
            <w:pPr>
              <w:pStyle w:val="TableContents"/>
              <w:bidi w:val="0"/>
              <w:spacing w:before="0" w:after="0"/>
              <w:jc w:val="left"/>
              <w:rPr>
                <w:rFonts w:ascii="Times New Roman" w:hAnsi="Times New Roman"/>
                <w:sz w:val="20"/>
              </w:rPr>
            </w:pPr>
            <w:r>
              <w:rPr>
                <w:rFonts w:ascii="Times New Roman" w:hAnsi="Times New Roman"/>
                <w:sz w:val="20"/>
              </w:rPr>
              <w:t>Less: Net income (loss) attributable to noncontrolling interests</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NM</w:t>
            </w:r>
          </w:p>
        </w:tc>
        <w:tc>
          <w:tcPr>
            <w:tcW w:w="39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NM</w:t>
            </w:r>
          </w:p>
        </w:tc>
        <w:tc>
          <w:tcPr>
            <w:tcW w:w="401" w:type="dxa"/>
            <w:tcBorders/>
            <w:vAlign w:val="bottom"/>
          </w:tcPr>
          <w:p>
            <w:pPr>
              <w:pStyle w:val="TableContents"/>
              <w:bidi w:val="0"/>
              <w:spacing w:before="0" w:after="283"/>
              <w:jc w:val="left"/>
              <w:rPr/>
            </w:pPr>
            <w:r>
              <w:rPr/>
              <w:t> </w:t>
            </w:r>
          </w:p>
        </w:tc>
      </w:tr>
      <w:tr>
        <w:trPr/>
        <w:tc>
          <w:tcPr>
            <w:tcW w:w="3103"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401" w:type="dxa"/>
            <w:tcBorders/>
            <w:vAlign w:val="center"/>
          </w:tcPr>
          <w:p>
            <w:pPr>
              <w:pStyle w:val="TableContents"/>
              <w:bidi w:val="0"/>
              <w:spacing w:before="0" w:after="283"/>
              <w:jc w:val="left"/>
              <w:rPr/>
            </w:pPr>
            <w:r>
              <w:rPr/>
              <w:t> </w:t>
            </w:r>
          </w:p>
        </w:tc>
      </w:tr>
      <w:tr>
        <w:trPr/>
        <w:tc>
          <w:tcPr>
            <w:tcW w:w="310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Versant</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81" w:type="dxa"/>
            <w:tcBorders/>
            <w:shd w:fill="CCEEFF" w:val="clear"/>
            <w:vAlign w:val="bottom"/>
          </w:tcPr>
          <w:p>
            <w:pPr>
              <w:pStyle w:val="TableContents"/>
              <w:bidi w:val="0"/>
              <w:spacing w:before="0" w:after="283"/>
              <w:jc w:val="right"/>
              <w:rPr>
                <w:b/>
              </w:rPr>
            </w:pPr>
            <w:r>
              <w:rPr>
                <w:b/>
              </w:rPr>
              <w:t>1,363</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81" w:type="dxa"/>
            <w:tcBorders/>
            <w:shd w:fill="CCEEFF" w:val="clear"/>
            <w:vAlign w:val="bottom"/>
          </w:tcPr>
          <w:p>
            <w:pPr>
              <w:pStyle w:val="TableContents"/>
              <w:bidi w:val="0"/>
              <w:spacing w:before="0" w:after="283"/>
              <w:jc w:val="right"/>
              <w:rPr>
                <w:b/>
              </w:rPr>
            </w:pPr>
            <w:r>
              <w:rPr>
                <w:b/>
              </w:rPr>
              <w:t>1,539</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81" w:type="dxa"/>
            <w:tcBorders/>
            <w:shd w:fill="CCEEFF" w:val="clear"/>
            <w:vAlign w:val="bottom"/>
          </w:tcPr>
          <w:p>
            <w:pPr>
              <w:pStyle w:val="TableContents"/>
              <w:bidi w:val="0"/>
              <w:spacing w:before="0" w:after="283"/>
              <w:jc w:val="right"/>
              <w:rPr>
                <w:b/>
              </w:rPr>
            </w:pPr>
            <w:r>
              <w:rPr>
                <w:b/>
              </w:rPr>
              <w:t>1,764</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b/>
              </w:rPr>
            </w:pPr>
            <w:r>
              <w:rPr>
                <w:b/>
              </w:rPr>
              <w:t>(11.4</w:t>
            </w:r>
          </w:p>
        </w:tc>
        <w:tc>
          <w:tcPr>
            <w:tcW w:w="395" w:type="dxa"/>
            <w:tcBorders/>
            <w:shd w:fill="CCEEFF" w:val="clear"/>
            <w:vAlign w:val="bottom"/>
          </w:tcPr>
          <w:p>
            <w:pPr>
              <w:pStyle w:val="TableContents"/>
              <w:bidi w:val="0"/>
              <w:spacing w:before="0" w:after="283"/>
              <w:jc w:val="left"/>
              <w:rPr>
                <w:b/>
              </w:rPr>
            </w:pPr>
            <w:r>
              <w:rPr>
                <w:b/>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b/>
              </w:rPr>
            </w:pPr>
            <w:r>
              <w:rPr>
                <w:b/>
              </w:rPr>
              <w:t>(12.8</w:t>
            </w:r>
          </w:p>
        </w:tc>
        <w:tc>
          <w:tcPr>
            <w:tcW w:w="401" w:type="dxa"/>
            <w:tcBorders/>
            <w:shd w:fill="CCEEFF" w:val="clear"/>
            <w:vAlign w:val="bottom"/>
          </w:tcPr>
          <w:p>
            <w:pPr>
              <w:pStyle w:val="TableContents"/>
              <w:bidi w:val="0"/>
              <w:spacing w:before="0" w:after="283"/>
              <w:jc w:val="left"/>
              <w:rPr>
                <w:b/>
              </w:rPr>
            </w:pPr>
            <w:r>
              <w:rPr>
                <w:b/>
              </w:rPr>
              <w:t>)% </w:t>
            </w:r>
          </w:p>
        </w:tc>
      </w:tr>
      <w:tr>
        <w:trPr/>
        <w:tc>
          <w:tcPr>
            <w:tcW w:w="3103"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401" w:type="dxa"/>
            <w:tcBorders/>
            <w:vAlign w:val="center"/>
          </w:tcPr>
          <w:p>
            <w:pPr>
              <w:pStyle w:val="TableContents"/>
              <w:bidi w:val="0"/>
              <w:spacing w:before="0" w:after="283"/>
              <w:jc w:val="left"/>
              <w:rPr/>
            </w:pPr>
            <w:r>
              <w:rPr/>
              <w:t> </w:t>
            </w:r>
          </w:p>
        </w:tc>
      </w:tr>
      <w:tr>
        <w:trPr/>
        <w:tc>
          <w:tcPr>
            <w:tcW w:w="310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EBITDA(a)</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81" w:type="dxa"/>
            <w:tcBorders/>
            <w:vAlign w:val="bottom"/>
          </w:tcPr>
          <w:p>
            <w:pPr>
              <w:pStyle w:val="TableContents"/>
              <w:bidi w:val="0"/>
              <w:spacing w:before="0" w:after="283"/>
              <w:jc w:val="right"/>
              <w:rPr>
                <w:b/>
              </w:rPr>
            </w:pPr>
            <w:r>
              <w:rPr>
                <w:b/>
              </w:rPr>
              <w:t>2,837</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81" w:type="dxa"/>
            <w:tcBorders/>
            <w:vAlign w:val="bottom"/>
          </w:tcPr>
          <w:p>
            <w:pPr>
              <w:pStyle w:val="TableContents"/>
              <w:bidi w:val="0"/>
              <w:spacing w:before="0" w:after="283"/>
              <w:jc w:val="right"/>
              <w:rPr>
                <w:b/>
              </w:rPr>
            </w:pPr>
            <w:r>
              <w:rPr>
                <w:b/>
              </w:rPr>
              <w:t>3,060</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81" w:type="dxa"/>
            <w:tcBorders/>
            <w:vAlign w:val="bottom"/>
          </w:tcPr>
          <w:p>
            <w:pPr>
              <w:pStyle w:val="TableContents"/>
              <w:bidi w:val="0"/>
              <w:spacing w:before="0" w:after="283"/>
              <w:jc w:val="right"/>
              <w:rPr>
                <w:b/>
              </w:rPr>
            </w:pPr>
            <w:r>
              <w:rPr>
                <w:b/>
              </w:rPr>
              <w:t>3,402</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b/>
              </w:rPr>
            </w:pPr>
            <w:r>
              <w:rPr>
                <w:b/>
              </w:rPr>
              <w:t>(7.3</w:t>
            </w:r>
          </w:p>
        </w:tc>
        <w:tc>
          <w:tcPr>
            <w:tcW w:w="395" w:type="dxa"/>
            <w:tcBorders/>
            <w:vAlign w:val="bottom"/>
          </w:tcPr>
          <w:p>
            <w:pPr>
              <w:pStyle w:val="TableContents"/>
              <w:bidi w:val="0"/>
              <w:spacing w:before="0" w:after="283"/>
              <w:jc w:val="left"/>
              <w:rPr>
                <w:b/>
              </w:rPr>
            </w:pPr>
            <w:r>
              <w:rPr>
                <w:b/>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b/>
              </w:rPr>
            </w:pPr>
            <w:r>
              <w:rPr>
                <w:b/>
              </w:rPr>
              <w:t>(10.1</w:t>
            </w:r>
          </w:p>
        </w:tc>
        <w:tc>
          <w:tcPr>
            <w:tcW w:w="401" w:type="dxa"/>
            <w:tcBorders/>
            <w:vAlign w:val="bottom"/>
          </w:tcPr>
          <w:p>
            <w:pPr>
              <w:pStyle w:val="TableContents"/>
              <w:bidi w:val="0"/>
              <w:spacing w:before="0" w:after="283"/>
              <w:jc w:val="left"/>
              <w:rPr>
                <w:b/>
              </w:rPr>
            </w:pPr>
            <w:r>
              <w:rPr>
                <w:b/>
              </w:rPr>
              <w:t>)% </w:t>
            </w:r>
          </w:p>
        </w:tc>
      </w:tr>
      <w:tr>
        <w:trPr/>
        <w:tc>
          <w:tcPr>
            <w:tcW w:w="3103"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40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Percentage changes that are considered not meaningful are denoted with NM.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Refer to Non-GAAP Financial Measures for additional information, including our definition and our use of Adjusted EBITDA, and for a reconciliation from net income attributable to Versant to Adjusted EBITDA.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Revenue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69"/>
        <w:gridCol w:w="223"/>
        <w:gridCol w:w="140"/>
        <w:gridCol w:w="583"/>
        <w:gridCol w:w="60"/>
        <w:gridCol w:w="223"/>
        <w:gridCol w:w="140"/>
        <w:gridCol w:w="583"/>
        <w:gridCol w:w="60"/>
        <w:gridCol w:w="223"/>
        <w:gridCol w:w="140"/>
        <w:gridCol w:w="583"/>
        <w:gridCol w:w="60"/>
        <w:gridCol w:w="223"/>
        <w:gridCol w:w="82"/>
        <w:gridCol w:w="1382"/>
        <w:gridCol w:w="394"/>
        <w:gridCol w:w="169"/>
        <w:gridCol w:w="73"/>
        <w:gridCol w:w="1390"/>
        <w:gridCol w:w="405"/>
      </w:tblGrid>
      <w:tr>
        <w:trPr/>
        <w:tc>
          <w:tcPr>
            <w:tcW w:w="3069"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508"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405" w:type="dxa"/>
            <w:tcBorders/>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2023</w:t>
              <w:br/>
              <w:t>to 2024</w:t>
            </w:r>
          </w:p>
        </w:tc>
        <w:tc>
          <w:tcPr>
            <w:tcW w:w="39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2022</w:t>
              <w:br/>
              <w:t>to 2023</w:t>
            </w:r>
          </w:p>
        </w:tc>
        <w:tc>
          <w:tcPr>
            <w:tcW w:w="405" w:type="dxa"/>
            <w:tcBorders/>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508" w:type="dxa"/>
            <w:gridSpan w:val="18"/>
            <w:tcBorders/>
            <w:vAlign w:val="bottom"/>
          </w:tcPr>
          <w:p>
            <w:pPr>
              <w:pStyle w:val="TableContents"/>
              <w:bidi w:val="0"/>
              <w:spacing w:before="0" w:after="283"/>
              <w:jc w:val="center"/>
              <w:rPr>
                <w:b/>
              </w:rPr>
            </w:pPr>
            <w:r>
              <w:rPr>
                <w:b/>
              </w:rPr>
              <w:t>(in millions)</w:t>
            </w:r>
          </w:p>
        </w:tc>
        <w:tc>
          <w:tcPr>
            <w:tcW w:w="405" w:type="dxa"/>
            <w:tcBorders/>
            <w:vAlign w:val="bottom"/>
          </w:tcPr>
          <w:p>
            <w:pPr>
              <w:pStyle w:val="TableContents"/>
              <w:bidi w:val="0"/>
              <w:spacing w:before="0" w:after="283"/>
              <w:jc w:val="left"/>
              <w:rPr/>
            </w:pPr>
            <w:r>
              <w:rPr/>
              <w:t> </w:t>
            </w:r>
          </w:p>
        </w:tc>
      </w:tr>
      <w:tr>
        <w:trPr/>
        <w:tc>
          <w:tcPr>
            <w:tcW w:w="30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382"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39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r>
      <w:tr>
        <w:trPr/>
        <w:tc>
          <w:tcPr>
            <w:tcW w:w="3069" w:type="dxa"/>
            <w:tcBorders/>
          </w:tcPr>
          <w:p>
            <w:pPr>
              <w:pStyle w:val="TableContents"/>
              <w:bidi w:val="0"/>
              <w:spacing w:before="0" w:after="0"/>
              <w:jc w:val="left"/>
              <w:rPr>
                <w:rFonts w:ascii="Times New Roman" w:hAnsi="Times New Roman"/>
                <w:sz w:val="20"/>
              </w:rPr>
            </w:pPr>
            <w:r>
              <w:rPr>
                <w:rFonts w:ascii="Times New Roman" w:hAnsi="Times New Roman"/>
                <w:sz w:val="20"/>
              </w:rPr>
              <w:t>Linear distribution</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4,325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4,632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4,802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(6.6</w:t>
            </w:r>
          </w:p>
        </w:tc>
        <w:tc>
          <w:tcPr>
            <w:tcW w:w="39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(3.5</w:t>
            </w:r>
          </w:p>
        </w:tc>
        <w:tc>
          <w:tcPr>
            <w:tcW w:w="405" w:type="dxa"/>
            <w:tcBorders/>
            <w:vAlign w:val="bottom"/>
          </w:tcPr>
          <w:p>
            <w:pPr>
              <w:pStyle w:val="TableContents"/>
              <w:bidi w:val="0"/>
              <w:spacing w:before="0" w:after="283"/>
              <w:jc w:val="left"/>
              <w:rPr/>
            </w:pPr>
            <w:r>
              <w:rPr/>
              <w:t>)% </w:t>
            </w:r>
          </w:p>
        </w:tc>
      </w:tr>
      <w:tr>
        <w:trPr/>
        <w:tc>
          <w:tcPr>
            <w:tcW w:w="3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Advertising</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1,731</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1,865</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2,156</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(7.2</w:t>
            </w:r>
          </w:p>
        </w:tc>
        <w:tc>
          <w:tcPr>
            <w:tcW w:w="39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(13.5</w:t>
            </w:r>
          </w:p>
        </w:tc>
        <w:tc>
          <w:tcPr>
            <w:tcW w:w="405" w:type="dxa"/>
            <w:tcBorders/>
            <w:shd w:fill="CCEEFF" w:val="clear"/>
            <w:vAlign w:val="bottom"/>
          </w:tcPr>
          <w:p>
            <w:pPr>
              <w:pStyle w:val="TableContents"/>
              <w:bidi w:val="0"/>
              <w:spacing w:before="0" w:after="283"/>
              <w:jc w:val="left"/>
              <w:rPr/>
            </w:pPr>
            <w:r>
              <w:rPr/>
              <w:t>) </w:t>
            </w:r>
          </w:p>
        </w:tc>
      </w:tr>
      <w:tr>
        <w:trPr/>
        <w:tc>
          <w:tcPr>
            <w:tcW w:w="3069" w:type="dxa"/>
            <w:tcBorders/>
          </w:tcPr>
          <w:p>
            <w:pPr>
              <w:pStyle w:val="TableContents"/>
              <w:bidi w:val="0"/>
              <w:spacing w:before="0" w:after="0"/>
              <w:jc w:val="left"/>
              <w:rPr>
                <w:rFonts w:ascii="Times New Roman" w:hAnsi="Times New Roman"/>
                <w:sz w:val="20"/>
              </w:rPr>
            </w:pPr>
            <w:r>
              <w:rPr>
                <w:rFonts w:ascii="Times New Roman" w:hAnsi="Times New Roman"/>
                <w:sz w:val="20"/>
              </w:rPr>
              <w:t>Platforms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795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734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662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   </w:t>
            </w:r>
            <w:r>
              <w:rPr/>
              <w:t>8.3</w:t>
            </w:r>
          </w:p>
        </w:tc>
        <w:tc>
          <w:tcPr>
            <w:tcW w:w="39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   </w:t>
            </w:r>
            <w:r>
              <w:rPr/>
              <w:t>10.9</w:t>
            </w:r>
          </w:p>
        </w:tc>
        <w:tc>
          <w:tcPr>
            <w:tcW w:w="405" w:type="dxa"/>
            <w:tcBorders/>
            <w:vAlign w:val="bottom"/>
          </w:tcPr>
          <w:p>
            <w:pPr>
              <w:pStyle w:val="TableContents"/>
              <w:bidi w:val="0"/>
              <w:spacing w:before="0" w:after="283"/>
              <w:jc w:val="left"/>
              <w:rPr/>
            </w:pPr>
            <w:r>
              <w:rPr/>
              <w:t> </w:t>
            </w:r>
          </w:p>
        </w:tc>
      </w:tr>
      <w:tr>
        <w:trPr/>
        <w:tc>
          <w:tcPr>
            <w:tcW w:w="3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Content licensing and other</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211</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213</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214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(1.0</w:t>
            </w:r>
          </w:p>
        </w:tc>
        <w:tc>
          <w:tcPr>
            <w:tcW w:w="39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(0.4</w:t>
            </w:r>
          </w:p>
        </w:tc>
        <w:tc>
          <w:tcPr>
            <w:tcW w:w="405" w:type="dxa"/>
            <w:tcBorders/>
            <w:shd w:fill="CCEEFF" w:val="clear"/>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382" w:type="dxa"/>
            <w:tcBorders/>
            <w:vAlign w:val="bottom"/>
          </w:tcPr>
          <w:p>
            <w:pPr>
              <w:pStyle w:val="TableContents"/>
              <w:pBdr>
                <w:top w:val="single" w:sz="2"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405" w:type="dxa"/>
            <w:tcBorders/>
            <w:vAlign w:val="center"/>
          </w:tcPr>
          <w:p>
            <w:pPr>
              <w:pStyle w:val="TableContents"/>
              <w:bidi w:val="0"/>
              <w:spacing w:before="0" w:after="283"/>
              <w:jc w:val="left"/>
              <w:rPr/>
            </w:pPr>
            <w:r>
              <w:rPr/>
              <w:t> </w:t>
            </w:r>
          </w:p>
        </w:tc>
      </w:tr>
      <w:tr>
        <w:trPr/>
        <w:tc>
          <w:tcPr>
            <w:tcW w:w="30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83" w:type="dxa"/>
            <w:tcBorders/>
            <w:vAlign w:val="bottom"/>
          </w:tcPr>
          <w:p>
            <w:pPr>
              <w:pStyle w:val="TableContents"/>
              <w:bidi w:val="0"/>
              <w:spacing w:before="0" w:after="283"/>
              <w:jc w:val="right"/>
              <w:rPr>
                <w:b/>
              </w:rPr>
            </w:pPr>
            <w:r>
              <w:rPr>
                <w:b/>
              </w:rPr>
              <w:t>7,062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83" w:type="dxa"/>
            <w:tcBorders/>
            <w:vAlign w:val="bottom"/>
          </w:tcPr>
          <w:p>
            <w:pPr>
              <w:pStyle w:val="TableContents"/>
              <w:bidi w:val="0"/>
              <w:spacing w:before="0" w:after="283"/>
              <w:jc w:val="right"/>
              <w:rPr>
                <w:b/>
              </w:rPr>
            </w:pPr>
            <w:r>
              <w:rPr>
                <w:b/>
              </w:rPr>
              <w:t>7,445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83" w:type="dxa"/>
            <w:tcBorders/>
            <w:vAlign w:val="bottom"/>
          </w:tcPr>
          <w:p>
            <w:pPr>
              <w:pStyle w:val="TableContents"/>
              <w:bidi w:val="0"/>
              <w:spacing w:before="0" w:after="283"/>
              <w:jc w:val="right"/>
              <w:rPr>
                <w:b/>
              </w:rPr>
            </w:pPr>
            <w:r>
              <w:rPr>
                <w:b/>
              </w:rPr>
              <w:t>7,834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b/>
              </w:rPr>
            </w:pPr>
            <w:r>
              <w:rPr>
                <w:b/>
              </w:rPr>
              <w:t>(5.1</w:t>
            </w:r>
          </w:p>
        </w:tc>
        <w:tc>
          <w:tcPr>
            <w:tcW w:w="394" w:type="dxa"/>
            <w:tcBorders/>
            <w:vAlign w:val="bottom"/>
          </w:tcPr>
          <w:p>
            <w:pPr>
              <w:pStyle w:val="TableContents"/>
              <w:bidi w:val="0"/>
              <w:spacing w:before="0" w:after="283"/>
              <w:jc w:val="left"/>
              <w:rPr>
                <w:b/>
              </w:rPr>
            </w:pPr>
            <w:r>
              <w:rPr>
                <w:b/>
              </w:rPr>
              <w:t>)% </w:t>
            </w:r>
          </w:p>
        </w:tc>
        <w:tc>
          <w:tcPr>
            <w:tcW w:w="16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b/>
              </w:rPr>
            </w:pPr>
            <w:r>
              <w:rPr>
                <w:b/>
              </w:rPr>
              <w:t>(5.0</w:t>
            </w:r>
          </w:p>
        </w:tc>
        <w:tc>
          <w:tcPr>
            <w:tcW w:w="405" w:type="dxa"/>
            <w:tcBorders/>
            <w:vAlign w:val="bottom"/>
          </w:tcPr>
          <w:p>
            <w:pPr>
              <w:pStyle w:val="TableContents"/>
              <w:bidi w:val="0"/>
              <w:spacing w:before="0" w:after="283"/>
              <w:jc w:val="left"/>
              <w:rPr>
                <w:b/>
              </w:rPr>
            </w:pPr>
            <w:r>
              <w:rPr>
                <w:b/>
              </w:rPr>
              <w:t>)% </w:t>
            </w:r>
          </w:p>
        </w:tc>
      </w:tr>
      <w:tr>
        <w:trPr/>
        <w:tc>
          <w:tcPr>
            <w:tcW w:w="3069"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double" w:sz="6" w:space="1" w:color="000000"/>
              </w:pBdr>
              <w:bidi w:val="0"/>
              <w:spacing w:before="0" w:after="0"/>
              <w:jc w:val="left"/>
              <w:rPr/>
            </w:pPr>
            <w:r>
              <w:rPr/>
              <w:t> </w:t>
            </w:r>
          </w:p>
        </w:tc>
        <w:tc>
          <w:tcPr>
            <w:tcW w:w="1382"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40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Linear distribution revenue</w:t>
      </w:r>
      <w:r>
        <w:rPr>
          <w:rFonts w:ascii="Times New Roman" w:hAnsi="Times New Roman"/>
          <w:sz w:val="20"/>
        </w:rPr>
        <w:t xml:space="preserve"> primarily consists of revenue generated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 </w:t>
      </w:r>
    </w:p>
    <w:p>
      <w:pPr>
        <w:pStyle w:val="TextBody"/>
        <w:bidi w:val="0"/>
        <w:spacing w:before="240" w:after="0"/>
        <w:jc w:val="left"/>
        <w:rPr>
          <w:rFonts w:ascii="Times New Roman" w:hAnsi="Times New Roman"/>
          <w:sz w:val="20"/>
        </w:rPr>
      </w:pPr>
      <w:r>
        <w:rPr>
          <w:rFonts w:ascii="Times New Roman" w:hAnsi="Times New Roman"/>
          <w:sz w:val="20"/>
        </w:rPr>
        <w:t xml:space="preserve">Linear distribution revenue continued to decrease in 2024 and 2023 due to declines in the number of subscribers of 8% for both periods, partially offset by contractual rate increases. We expect to experience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continued declines in the number of subscribers and linear distribution revenue, as further discussed in Key Factors Affecting Our Business. </w:t>
      </w:r>
    </w:p>
    <w:p>
      <w:pPr>
        <w:pStyle w:val="TextBody"/>
        <w:bidi w:val="0"/>
        <w:spacing w:before="240" w:after="0"/>
        <w:jc w:val="left"/>
        <w:rPr>
          <w:rFonts w:ascii="Times New Roman" w:hAnsi="Times New Roman"/>
          <w:sz w:val="20"/>
        </w:rPr>
      </w:pPr>
      <w:r>
        <w:rPr>
          <w:rFonts w:ascii="Times New Roman" w:hAnsi="Times New Roman"/>
          <w:b/>
          <w:sz w:val="20"/>
        </w:rPr>
        <w:t>Advertising revenue</w:t>
      </w:r>
      <w:r>
        <w:rPr>
          <w:rFonts w:ascii="Times New Roman" w:hAnsi="Times New Roman"/>
          <w:sz w:val="20"/>
        </w:rPr>
        <w:t xml:space="preserve"> consists of revenue generated from sales of advertising on our networks and digital platforms. The price charged for each 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based on website page or application visits. </w:t>
      </w:r>
    </w:p>
    <w:p>
      <w:pPr>
        <w:pStyle w:val="TextBody"/>
        <w:bidi w:val="0"/>
        <w:spacing w:before="240" w:after="0"/>
        <w:jc w:val="left"/>
        <w:rPr>
          <w:rFonts w:ascii="Times New Roman" w:hAnsi="Times New Roman"/>
          <w:sz w:val="20"/>
        </w:rPr>
      </w:pPr>
      <w:r>
        <w:rPr>
          <w:rFonts w:ascii="Times New Roman" w:hAnsi="Times New Roman"/>
          <w:sz w:val="20"/>
        </w:rPr>
        <w:t xml:space="preserve">Advertising revenue decreased in 2024 and 2023 primarily due to decreases at our networks as a result of ratings declines of 8% and 5%, respectively. In 2023, advertising revenue was also impacted by negative market conditions compared to 2022, which included advertisers shifts in spending from linear to digital advertising. We expect to experience continued ratings declines at our networks and continued shifts toward digital advertising in future periods, and these trends are further discussed in Key Factors Affecting Our Business. </w:t>
      </w:r>
    </w:p>
    <w:p>
      <w:pPr>
        <w:pStyle w:val="TextBody"/>
        <w:bidi w:val="0"/>
        <w:spacing w:before="240" w:after="0"/>
        <w:jc w:val="left"/>
        <w:rPr>
          <w:rFonts w:ascii="Times New Roman" w:hAnsi="Times New Roman"/>
          <w:sz w:val="20"/>
        </w:rPr>
      </w:pPr>
      <w:r>
        <w:rPr>
          <w:rFonts w:ascii="Times New Roman" w:hAnsi="Times New Roman"/>
          <w:b/>
          <w:sz w:val="20"/>
        </w:rPr>
        <w:t>Platforms revenue</w:t>
      </w:r>
      <w:r>
        <w:rPr>
          <w:rFonts w:ascii="Times New Roman" w:hAnsi="Times New Roman"/>
          <w:sz w:val="20"/>
        </w:rPr>
        <w:t xml:space="preserve"> primarily consists of revenue generated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 We have generally concluded that we are the agent for the underlying transactions being executed through our platforms, and we therefore do not recognize revenue for each tee time booked, movie ticket sold, television or movie title rented or purchased, or sports registration. </w:t>
      </w:r>
    </w:p>
    <w:p>
      <w:pPr>
        <w:pStyle w:val="TextBody"/>
        <w:bidi w:val="0"/>
        <w:spacing w:before="240" w:after="0"/>
        <w:jc w:val="left"/>
        <w:rPr>
          <w:rFonts w:ascii="Times New Roman" w:hAnsi="Times New Roman"/>
          <w:sz w:val="20"/>
        </w:rPr>
      </w:pPr>
      <w:r>
        <w:rPr>
          <w:rFonts w:ascii="Times New Roman" w:hAnsi="Times New Roman"/>
          <w:sz w:val="20"/>
        </w:rPr>
        <w:t xml:space="preserve">Platforms revenue increased in 2024 and 2023 primarily due to increased transactional volumes, primarily related to services provided to golf courses, including an increased number of courses using our on-site payment facilitation services. </w:t>
      </w:r>
    </w:p>
    <w:p>
      <w:pPr>
        <w:pStyle w:val="TextBody"/>
        <w:bidi w:val="0"/>
        <w:spacing w:before="240" w:after="0"/>
        <w:jc w:val="left"/>
        <w:rPr>
          <w:rFonts w:ascii="Times New Roman" w:hAnsi="Times New Roman"/>
          <w:sz w:val="20"/>
        </w:rPr>
      </w:pPr>
      <w:r>
        <w:rPr>
          <w:rFonts w:ascii="Times New Roman" w:hAnsi="Times New Roman"/>
          <w:b/>
          <w:sz w:val="20"/>
        </w:rPr>
        <w:t>Content licensing and other revenue</w:t>
      </w:r>
      <w:r>
        <w:rPr>
          <w:rFonts w:ascii="Times New Roman" w:hAnsi="Times New Roman"/>
          <w:sz w:val="20"/>
        </w:rPr>
        <w:t xml:space="preserve"> consists of revenue generated from licensing our owned content to third parties, including television networks, streaming services and other platforms, licensing audio feeds of our programming and audio content to digital platforms and other products and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Costs and Expenses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Costs of Revenue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42"/>
        <w:gridCol w:w="250"/>
        <w:gridCol w:w="140"/>
        <w:gridCol w:w="560"/>
        <w:gridCol w:w="60"/>
        <w:gridCol w:w="250"/>
        <w:gridCol w:w="140"/>
        <w:gridCol w:w="560"/>
        <w:gridCol w:w="60"/>
        <w:gridCol w:w="250"/>
        <w:gridCol w:w="140"/>
        <w:gridCol w:w="560"/>
        <w:gridCol w:w="60"/>
        <w:gridCol w:w="250"/>
        <w:gridCol w:w="178"/>
        <w:gridCol w:w="1209"/>
        <w:gridCol w:w="405"/>
        <w:gridCol w:w="193"/>
        <w:gridCol w:w="178"/>
        <w:gridCol w:w="1209"/>
        <w:gridCol w:w="411"/>
      </w:tblGrid>
      <w:tr>
        <w:trPr/>
        <w:tc>
          <w:tcPr>
            <w:tcW w:w="3142"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402"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411" w:type="dxa"/>
            <w:tcBorders/>
            <w:vAlign w:val="bottom"/>
          </w:tcPr>
          <w:p>
            <w:pPr>
              <w:pStyle w:val="TableContents"/>
              <w:bidi w:val="0"/>
              <w:spacing w:before="0" w:after="283"/>
              <w:jc w:val="left"/>
              <w:rPr/>
            </w:pPr>
            <w:r>
              <w:rPr/>
              <w:t> </w:t>
            </w:r>
          </w:p>
        </w:tc>
      </w:tr>
      <w:tr>
        <w:trPr/>
        <w:tc>
          <w:tcPr>
            <w:tcW w:w="31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2023</w:t>
              <w:br/>
              <w:t>to 2024</w:t>
            </w:r>
          </w:p>
        </w:tc>
        <w:tc>
          <w:tcPr>
            <w:tcW w:w="40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2022</w:t>
              <w:br/>
              <w:t>to 2023</w:t>
            </w:r>
          </w:p>
        </w:tc>
        <w:tc>
          <w:tcPr>
            <w:tcW w:w="411" w:type="dxa"/>
            <w:tcBorders/>
            <w:vAlign w:val="bottom"/>
          </w:tcPr>
          <w:p>
            <w:pPr>
              <w:pStyle w:val="TableContents"/>
              <w:bidi w:val="0"/>
              <w:spacing w:before="0" w:after="283"/>
              <w:jc w:val="left"/>
              <w:rPr/>
            </w:pPr>
            <w:r>
              <w:rPr/>
              <w:t> </w:t>
            </w:r>
          </w:p>
        </w:tc>
      </w:tr>
      <w:tr>
        <w:trPr/>
        <w:tc>
          <w:tcPr>
            <w:tcW w:w="31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402" w:type="dxa"/>
            <w:gridSpan w:val="18"/>
            <w:tcBorders/>
            <w:vAlign w:val="bottom"/>
          </w:tcPr>
          <w:p>
            <w:pPr>
              <w:pStyle w:val="TableContents"/>
              <w:bidi w:val="0"/>
              <w:spacing w:before="0" w:after="283"/>
              <w:jc w:val="center"/>
              <w:rPr>
                <w:b/>
              </w:rPr>
            </w:pPr>
            <w:r>
              <w:rPr>
                <w:b/>
              </w:rPr>
              <w:t>(in millions)</w:t>
            </w:r>
          </w:p>
        </w:tc>
        <w:tc>
          <w:tcPr>
            <w:tcW w:w="411" w:type="dxa"/>
            <w:tcBorders/>
            <w:vAlign w:val="bottom"/>
          </w:tcPr>
          <w:p>
            <w:pPr>
              <w:pStyle w:val="TableContents"/>
              <w:bidi w:val="0"/>
              <w:spacing w:before="0" w:after="283"/>
              <w:jc w:val="left"/>
              <w:rPr/>
            </w:pPr>
            <w:r>
              <w:rPr/>
              <w:t> </w:t>
            </w:r>
          </w:p>
        </w:tc>
      </w:tr>
      <w:tr>
        <w:trPr/>
        <w:tc>
          <w:tcPr>
            <w:tcW w:w="31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Costs of Revenue</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411" w:type="dxa"/>
            <w:tcBorders/>
            <w:shd w:fill="CCEEFF" w:val="clear"/>
            <w:vAlign w:val="bottom"/>
          </w:tcPr>
          <w:p>
            <w:pPr>
              <w:pStyle w:val="TableContents"/>
              <w:bidi w:val="0"/>
              <w:spacing w:before="0" w:after="283"/>
              <w:jc w:val="left"/>
              <w:rPr>
                <w:sz w:val="4"/>
                <w:szCs w:val="4"/>
              </w:rPr>
            </w:pPr>
            <w:r>
              <w:rPr>
                <w:sz w:val="4"/>
                <w:szCs w:val="4"/>
              </w:rPr>
            </w:r>
          </w:p>
        </w:tc>
      </w:tr>
      <w:tr>
        <w:trPr/>
        <w:tc>
          <w:tcPr>
            <w:tcW w:w="3142" w:type="dxa"/>
            <w:tcBorders/>
          </w:tcPr>
          <w:p>
            <w:pPr>
              <w:pStyle w:val="TableContents"/>
              <w:bidi w:val="0"/>
              <w:spacing w:before="0" w:after="0"/>
              <w:jc w:val="left"/>
              <w:rPr>
                <w:rFonts w:ascii="Times New Roman" w:hAnsi="Times New Roman"/>
                <w:sz w:val="20"/>
              </w:rPr>
            </w:pPr>
            <w:r>
              <w:rPr>
                <w:rFonts w:ascii="Times New Roman" w:hAnsi="Times New Roman"/>
                <w:sz w:val="20"/>
              </w:rPr>
              <w:t>Programming and production</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2,606</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2,724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2,749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(4.3</w:t>
            </w:r>
          </w:p>
        </w:tc>
        <w:tc>
          <w:tcPr>
            <w:tcW w:w="40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(0.9</w:t>
            </w:r>
          </w:p>
        </w:tc>
        <w:tc>
          <w:tcPr>
            <w:tcW w:w="411" w:type="dxa"/>
            <w:tcBorders/>
            <w:vAlign w:val="bottom"/>
          </w:tcPr>
          <w:p>
            <w:pPr>
              <w:pStyle w:val="TableContents"/>
              <w:bidi w:val="0"/>
              <w:spacing w:before="0" w:after="283"/>
              <w:jc w:val="left"/>
              <w:rPr/>
            </w:pPr>
            <w:r>
              <w:rPr/>
              <w:t>)% </w:t>
            </w:r>
          </w:p>
        </w:tc>
      </w:tr>
      <w:tr>
        <w:trPr/>
        <w:tc>
          <w:tcPr>
            <w:tcW w:w="3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458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430</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412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6.5</w:t>
            </w:r>
          </w:p>
        </w:tc>
        <w:tc>
          <w:tcPr>
            <w:tcW w:w="40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4.3</w:t>
            </w:r>
          </w:p>
        </w:tc>
        <w:tc>
          <w:tcPr>
            <w:tcW w:w="411" w:type="dxa"/>
            <w:tcBorders/>
            <w:shd w:fill="CCEEFF" w:val="clear"/>
            <w:vAlign w:val="bottom"/>
          </w:tcPr>
          <w:p>
            <w:pPr>
              <w:pStyle w:val="TableContents"/>
              <w:bidi w:val="0"/>
              <w:spacing w:before="0" w:after="283"/>
              <w:jc w:val="left"/>
              <w:rPr/>
            </w:pPr>
            <w:r>
              <w:rPr/>
              <w:t> </w:t>
            </w:r>
          </w:p>
        </w:tc>
      </w:tr>
      <w:tr>
        <w:trPr/>
        <w:tc>
          <w:tcPr>
            <w:tcW w:w="3142"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40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411" w:type="dxa"/>
            <w:tcBorders/>
            <w:vAlign w:val="center"/>
          </w:tcPr>
          <w:p>
            <w:pPr>
              <w:pStyle w:val="TableContents"/>
              <w:bidi w:val="0"/>
              <w:spacing w:before="0" w:after="283"/>
              <w:jc w:val="left"/>
              <w:rPr/>
            </w:pPr>
            <w:r>
              <w:rPr/>
              <w:t> </w:t>
            </w:r>
          </w:p>
        </w:tc>
      </w:tr>
      <w:tr>
        <w:trPr/>
        <w:tc>
          <w:tcPr>
            <w:tcW w:w="31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costs of revenue</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3,064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3,154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3,161</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b/>
              </w:rPr>
            </w:pPr>
            <w:r>
              <w:rPr>
                <w:b/>
              </w:rPr>
              <w:t>(2.8</w:t>
            </w:r>
          </w:p>
        </w:tc>
        <w:tc>
          <w:tcPr>
            <w:tcW w:w="405" w:type="dxa"/>
            <w:tcBorders/>
            <w:vAlign w:val="bottom"/>
          </w:tcPr>
          <w:p>
            <w:pPr>
              <w:pStyle w:val="TableContents"/>
              <w:bidi w:val="0"/>
              <w:spacing w:before="0" w:after="283"/>
              <w:jc w:val="left"/>
              <w:rPr>
                <w:b/>
              </w:rPr>
            </w:pPr>
            <w:r>
              <w:rPr>
                <w:b/>
              </w:rPr>
              <w:t>)% </w:t>
            </w:r>
          </w:p>
        </w:tc>
        <w:tc>
          <w:tcPr>
            <w:tcW w:w="19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b/>
              </w:rPr>
            </w:pPr>
            <w:r>
              <w:rPr>
                <w:b/>
              </w:rPr>
              <w:t>(0.2</w:t>
            </w:r>
          </w:p>
        </w:tc>
        <w:tc>
          <w:tcPr>
            <w:tcW w:w="411" w:type="dxa"/>
            <w:tcBorders/>
            <w:vAlign w:val="bottom"/>
          </w:tcPr>
          <w:p>
            <w:pPr>
              <w:pStyle w:val="TableContents"/>
              <w:bidi w:val="0"/>
              <w:spacing w:before="0" w:after="283"/>
              <w:jc w:val="left"/>
              <w:rPr>
                <w:b/>
              </w:rPr>
            </w:pPr>
            <w:r>
              <w:rPr>
                <w:b/>
              </w:rPr>
              <w:t>)% </w:t>
            </w:r>
          </w:p>
        </w:tc>
      </w:tr>
      <w:tr>
        <w:trPr/>
        <w:tc>
          <w:tcPr>
            <w:tcW w:w="3142"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40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41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Programming and production costs</w:t>
      </w:r>
      <w:r>
        <w:rPr>
          <w:rFonts w:ascii="Times New Roman" w:hAnsi="Times New Roman"/>
          <w:sz w:val="20"/>
        </w:rPr>
        <w:t xml:space="preserve"> primarily consist of the amortization of licensed and owned content, including sports rights, direct production costs, production overhead and on-air talent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Programming and production costs decreased in 2024 primarily due to a production tax incentive recognized in 2024 and resulting in a benefit of $58 million (see Note 4 to the audited combined financial statements) as well as lower costs associated with sports programming driven by the timing of the events and lower costs associated with entertainment content. Programming and production costs were generally consistent in 2023 compared to the prior year period. Programming and production costs are our most significant costs of revenue and are further discussed in Key Factors Affecting Our Business above. </w:t>
      </w:r>
    </w:p>
    <w:p>
      <w:pPr>
        <w:pStyle w:val="TextBody"/>
        <w:bidi w:val="0"/>
        <w:spacing w:before="240" w:after="0"/>
        <w:jc w:val="left"/>
        <w:rPr>
          <w:rFonts w:ascii="Times New Roman" w:hAnsi="Times New Roman"/>
          <w:sz w:val="20"/>
        </w:rPr>
      </w:pPr>
      <w:r>
        <w:rPr>
          <w:rFonts w:ascii="Times New Roman" w:hAnsi="Times New Roman"/>
          <w:b/>
          <w:sz w:val="20"/>
        </w:rPr>
        <w:t xml:space="preserve">Other costs of revenue </w:t>
      </w:r>
      <w:r>
        <w:rPr>
          <w:rFonts w:ascii="Times New Roman" w:hAnsi="Times New Roman"/>
          <w:sz w:val="20"/>
        </w:rPr>
        <w:t xml:space="preserve">primarily include direct costs associated with transactions supported by our platforms, such as fees for data related to transactions available to consumers and payment processing fees, and other platform and customer support costs. </w:t>
      </w:r>
    </w:p>
    <w:p>
      <w:pPr>
        <w:pStyle w:val="TextBody"/>
        <w:bidi w:val="0"/>
        <w:spacing w:before="240" w:after="0"/>
        <w:jc w:val="left"/>
        <w:rPr>
          <w:rFonts w:ascii="Times New Roman" w:hAnsi="Times New Roman"/>
          <w:sz w:val="20"/>
        </w:rPr>
      </w:pPr>
      <w:r>
        <w:rPr>
          <w:rFonts w:ascii="Times New Roman" w:hAnsi="Times New Roman"/>
          <w:sz w:val="20"/>
        </w:rPr>
        <w:t xml:space="preserve">Other costs of revenue increased in 2024 and 2023 primarily due to higher transactional volumes related to our digital platforms.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 primarily consists of salaries, employee benefits, rent and other overhead expenses, including allocations of costs from Comcast related to shared functions and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 decreased in 2024 and 2023 primarily due to a decrease in allocated costs from Comcast. As discussed in Key Factors Affecting Our Business and Note 10 to the audited combined financial statements, these costs were generally allocated on a pro rata basis using a measure based on revenue applied to the relevant pool of costs and may not be representative of our operating costs as a stand-alone company following the Separation.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and 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includes amortization of certain acquisition-related intangible assets, which primarily relate to our television networks, as well as depreciation of property and equipment. Depreciation and amortization expense remained consistent in 2024 and 2023. See Note 7 to the audited combined financial statements for additional information on our intangible assets. </w:t>
      </w:r>
    </w:p>
    <w:p>
      <w:pPr>
        <w:pStyle w:val="TextBody"/>
        <w:bidi w:val="0"/>
        <w:spacing w:before="360" w:after="0"/>
        <w:jc w:val="left"/>
        <w:rPr>
          <w:rFonts w:ascii="Times New Roman" w:hAnsi="Times New Roman"/>
          <w:b/>
          <w:sz w:val="20"/>
        </w:rPr>
      </w:pPr>
      <w:r>
        <w:rPr>
          <w:rFonts w:ascii="Times New Roman" w:hAnsi="Times New Roman"/>
          <w:b/>
          <w:sz w:val="20"/>
        </w:rPr>
        <w:t xml:space="preserve">Investment and other income (loss), net </w:t>
      </w:r>
    </w:p>
    <w:p>
      <w:pPr>
        <w:pStyle w:val="TextBody"/>
        <w:bidi w:val="0"/>
        <w:spacing w:before="120" w:after="0"/>
        <w:jc w:val="left"/>
        <w:rPr>
          <w:rFonts w:ascii="Times New Roman" w:hAnsi="Times New Roman"/>
          <w:sz w:val="20"/>
        </w:rPr>
      </w:pPr>
      <w:r>
        <w:rPr>
          <w:rFonts w:ascii="Times New Roman" w:hAnsi="Times New Roman"/>
          <w:sz w:val="20"/>
        </w:rPr>
        <w:t xml:space="preserve">Investment and other income (loss), net in 2022 resulted primarily from an impairment of a nonmarketable equity security. See Note 5 to the audited combined financial statements for additional information on our investments.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Our effective income tax rate was 25.9%, 25.6% and 25.2% in 2024,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decreases in income tax expense in 2024 and 2023 were primarily due to decreases in income before income taxes. </w:t>
      </w:r>
    </w:p>
    <w:p>
      <w:pPr>
        <w:pStyle w:val="TextBody"/>
        <w:bidi w:val="0"/>
        <w:spacing w:before="240" w:after="0"/>
        <w:jc w:val="left"/>
        <w:rPr>
          <w:rFonts w:ascii="Times New Roman" w:hAnsi="Times New Roman"/>
          <w:sz w:val="20"/>
        </w:rPr>
      </w:pPr>
      <w:r>
        <w:rPr>
          <w:rFonts w:ascii="Times New Roman" w:hAnsi="Times New Roman"/>
          <w:sz w:val="20"/>
        </w:rPr>
        <w:t xml:space="preserve">See Note 8 to the audited combined financial statements for additional information on our income taxes.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is a non-GAAP financial measure and is the primary basis used to measure the operational strength and performance of our businesses as well as to assist in the evaluation of underlying trends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our businesses. This measure eliminates the significant level of noncash depreciation and amortization expense that results from intangible assets recognized in business combinations. It is also unaffected by our capital and tax structures, and by our investment activities, as our management excludes these results when evaluating our operating performance. Our management uses this financial measure to evaluate our operating performance.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that affect the period-to-period comparability of our operating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We reconcile Adjusted EBITDA to net income attributable to Versant. This measure should not be considered a substitute for operating income (loss), net income (loss), net income (loss) attributable to Versant, or net cash provided by operating activities that we have reported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Reconciliation from Net Income Attributable to Versant to Adjusted EBITDA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049"/>
        <w:gridCol w:w="317"/>
        <w:gridCol w:w="146"/>
        <w:gridCol w:w="586"/>
        <w:gridCol w:w="155"/>
        <w:gridCol w:w="317"/>
        <w:gridCol w:w="146"/>
        <w:gridCol w:w="586"/>
        <w:gridCol w:w="60"/>
        <w:gridCol w:w="317"/>
        <w:gridCol w:w="146"/>
        <w:gridCol w:w="586"/>
        <w:gridCol w:w="161"/>
      </w:tblGrid>
      <w:tr>
        <w:trPr/>
        <w:tc>
          <w:tcPr>
            <w:tcW w:w="5049"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49"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304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5049"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7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7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7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5049"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3045" w:type="dxa"/>
            <w:gridSpan w:val="10"/>
            <w:tcBorders/>
            <w:vAlign w:val="bottom"/>
          </w:tcPr>
          <w:p>
            <w:pPr>
              <w:pStyle w:val="TableContents"/>
              <w:bidi w:val="0"/>
              <w:spacing w:before="0" w:after="283"/>
              <w:jc w:val="center"/>
              <w:rPr>
                <w:b/>
              </w:rPr>
            </w:pPr>
            <w:r>
              <w:rPr>
                <w:b/>
              </w:rPr>
              <w:t>(in millions)</w:t>
            </w:r>
          </w:p>
        </w:tc>
        <w:tc>
          <w:tcPr>
            <w:tcW w:w="161" w:type="dxa"/>
            <w:tcBorders/>
            <w:vAlign w:val="bottom"/>
          </w:tcPr>
          <w:p>
            <w:pPr>
              <w:pStyle w:val="TableContents"/>
              <w:bidi w:val="0"/>
              <w:spacing w:before="0" w:after="283"/>
              <w:jc w:val="left"/>
              <w:rPr/>
            </w:pPr>
            <w:r>
              <w:rPr/>
              <w:t> </w:t>
            </w:r>
          </w:p>
        </w:tc>
      </w:tr>
      <w:tr>
        <w:trPr/>
        <w:tc>
          <w:tcPr>
            <w:tcW w:w="50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Versant</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586" w:type="dxa"/>
            <w:tcBorders/>
            <w:shd w:fill="CCEEFF" w:val="clear"/>
            <w:vAlign w:val="bottom"/>
          </w:tcPr>
          <w:p>
            <w:pPr>
              <w:pStyle w:val="TableContents"/>
              <w:bidi w:val="0"/>
              <w:spacing w:before="0" w:after="283"/>
              <w:jc w:val="right"/>
              <w:rPr>
                <w:b/>
              </w:rPr>
            </w:pPr>
            <w:r>
              <w:rPr>
                <w:b/>
              </w:rPr>
              <w:t>1,363</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586" w:type="dxa"/>
            <w:tcBorders/>
            <w:shd w:fill="CCEEFF" w:val="clear"/>
            <w:vAlign w:val="bottom"/>
          </w:tcPr>
          <w:p>
            <w:pPr>
              <w:pStyle w:val="TableContents"/>
              <w:bidi w:val="0"/>
              <w:spacing w:before="0" w:after="283"/>
              <w:jc w:val="right"/>
              <w:rPr>
                <w:b/>
              </w:rPr>
            </w:pPr>
            <w:r>
              <w:rPr>
                <w:b/>
              </w:rPr>
              <w:t>1,539</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586" w:type="dxa"/>
            <w:tcBorders/>
            <w:shd w:fill="CCEEFF" w:val="clear"/>
            <w:vAlign w:val="bottom"/>
          </w:tcPr>
          <w:p>
            <w:pPr>
              <w:pStyle w:val="TableContents"/>
              <w:bidi w:val="0"/>
              <w:spacing w:before="0" w:after="283"/>
              <w:jc w:val="right"/>
              <w:rPr>
                <w:b/>
              </w:rPr>
            </w:pPr>
            <w:r>
              <w:rPr>
                <w:b/>
              </w:rPr>
              <w:t>1,764</w:t>
            </w:r>
          </w:p>
        </w:tc>
        <w:tc>
          <w:tcPr>
            <w:tcW w:w="161" w:type="dxa"/>
            <w:tcBorders/>
            <w:shd w:fill="CCEEFF" w:val="clear"/>
            <w:vAlign w:val="bottom"/>
          </w:tcPr>
          <w:p>
            <w:pPr>
              <w:pStyle w:val="TableContents"/>
              <w:bidi w:val="0"/>
              <w:spacing w:before="0" w:after="283"/>
              <w:jc w:val="left"/>
              <w:rPr/>
            </w:pPr>
            <w:r>
              <w:rPr/>
              <w:t> </w:t>
            </w:r>
          </w:p>
        </w:tc>
      </w:tr>
      <w:tr>
        <w:trPr/>
        <w:tc>
          <w:tcPr>
            <w:tcW w:w="504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noncontrolling interests</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(6</w:t>
            </w:r>
          </w:p>
        </w:tc>
        <w:tc>
          <w:tcPr>
            <w:tcW w:w="161" w:type="dxa"/>
            <w:tcBorders/>
            <w:vAlign w:val="bottom"/>
          </w:tcPr>
          <w:p>
            <w:pPr>
              <w:pStyle w:val="TableContents"/>
              <w:bidi w:val="0"/>
              <w:spacing w:before="0" w:after="283"/>
              <w:jc w:val="left"/>
              <w:rPr/>
            </w:pPr>
            <w:r>
              <w:rPr/>
              <w:t>) </w:t>
            </w:r>
          </w:p>
        </w:tc>
      </w:tr>
      <w:tr>
        <w:trPr/>
        <w:tc>
          <w:tcPr>
            <w:tcW w:w="5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478</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530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591</w:t>
            </w:r>
          </w:p>
        </w:tc>
        <w:tc>
          <w:tcPr>
            <w:tcW w:w="161" w:type="dxa"/>
            <w:tcBorders/>
            <w:shd w:fill="CCEEFF" w:val="clear"/>
            <w:vAlign w:val="bottom"/>
          </w:tcPr>
          <w:p>
            <w:pPr>
              <w:pStyle w:val="TableContents"/>
              <w:bidi w:val="0"/>
              <w:spacing w:before="0" w:after="283"/>
              <w:jc w:val="left"/>
              <w:rPr/>
            </w:pPr>
            <w:r>
              <w:rPr/>
              <w:t> </w:t>
            </w:r>
          </w:p>
        </w:tc>
      </w:tr>
      <w:tr>
        <w:trPr/>
        <w:tc>
          <w:tcPr>
            <w:tcW w:w="5049" w:type="dxa"/>
            <w:tcBorders/>
          </w:tcPr>
          <w:p>
            <w:pPr>
              <w:pStyle w:val="TableContents"/>
              <w:bidi w:val="0"/>
              <w:spacing w:before="0" w:after="0"/>
              <w:jc w:val="left"/>
              <w:rPr>
                <w:rFonts w:ascii="Times New Roman" w:hAnsi="Times New Roman"/>
                <w:sz w:val="20"/>
              </w:rPr>
            </w:pPr>
            <w:r>
              <w:rPr>
                <w:rFonts w:ascii="Times New Roman" w:hAnsi="Times New Roman"/>
                <w:sz w:val="20"/>
              </w:rPr>
              <w:t>Investment and other (income) loss, net</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61</w:t>
            </w:r>
          </w:p>
        </w:tc>
        <w:tc>
          <w:tcPr>
            <w:tcW w:w="161" w:type="dxa"/>
            <w:tcBorders/>
            <w:vAlign w:val="bottom"/>
          </w:tcPr>
          <w:p>
            <w:pPr>
              <w:pStyle w:val="TableContents"/>
              <w:bidi w:val="0"/>
              <w:spacing w:before="0" w:after="283"/>
              <w:jc w:val="left"/>
              <w:rPr/>
            </w:pPr>
            <w:r>
              <w:rPr/>
              <w:t> </w:t>
            </w:r>
          </w:p>
        </w:tc>
      </w:tr>
      <w:tr>
        <w:trPr/>
        <w:tc>
          <w:tcPr>
            <w:tcW w:w="5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989</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991</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992</w:t>
            </w:r>
          </w:p>
        </w:tc>
        <w:tc>
          <w:tcPr>
            <w:tcW w:w="161" w:type="dxa"/>
            <w:tcBorders/>
            <w:shd w:fill="CCEEFF" w:val="clear"/>
            <w:vAlign w:val="bottom"/>
          </w:tcPr>
          <w:p>
            <w:pPr>
              <w:pStyle w:val="TableContents"/>
              <w:bidi w:val="0"/>
              <w:spacing w:before="0" w:after="283"/>
              <w:jc w:val="left"/>
              <w:rPr/>
            </w:pPr>
            <w:r>
              <w:rPr/>
              <w:t> </w:t>
            </w:r>
          </w:p>
        </w:tc>
      </w:tr>
      <w:tr>
        <w:trPr/>
        <w:tc>
          <w:tcPr>
            <w:tcW w:w="5049" w:type="dxa"/>
            <w:tcBorders/>
          </w:tcPr>
          <w:p>
            <w:pPr>
              <w:pStyle w:val="TableContents"/>
              <w:bidi w:val="0"/>
              <w:spacing w:before="0" w:after="0"/>
              <w:jc w:val="left"/>
              <w:rPr>
                <w:rFonts w:ascii="Times New Roman" w:hAnsi="Times New Roman"/>
                <w:sz w:val="20"/>
              </w:rPr>
            </w:pPr>
            <w:r>
              <w:rPr>
                <w:rFonts w:ascii="Times New Roman" w:hAnsi="Times New Roman"/>
                <w:sz w:val="20"/>
              </w:rPr>
              <w:t>Adjustments(a)</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049"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586" w:type="dxa"/>
            <w:tcBorders/>
            <w:shd w:fill="CCEEFF" w:val="clear"/>
            <w:vAlign w:val="bottom"/>
          </w:tcPr>
          <w:p>
            <w:pPr>
              <w:pStyle w:val="TableContents"/>
              <w:bidi w:val="0"/>
              <w:spacing w:before="0" w:after="283"/>
              <w:jc w:val="right"/>
              <w:rPr>
                <w:b/>
              </w:rPr>
            </w:pPr>
            <w:r>
              <w:rPr>
                <w:b/>
              </w:rPr>
              <w:t>2,837</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586" w:type="dxa"/>
            <w:tcBorders/>
            <w:shd w:fill="CCEEFF" w:val="clear"/>
            <w:vAlign w:val="bottom"/>
          </w:tcPr>
          <w:p>
            <w:pPr>
              <w:pStyle w:val="TableContents"/>
              <w:bidi w:val="0"/>
              <w:spacing w:before="0" w:after="283"/>
              <w:jc w:val="right"/>
              <w:rPr>
                <w:b/>
              </w:rPr>
            </w:pPr>
            <w:r>
              <w:rPr>
                <w:b/>
              </w:rPr>
              <w:t>3,060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586" w:type="dxa"/>
            <w:tcBorders/>
            <w:shd w:fill="CCEEFF" w:val="clear"/>
            <w:vAlign w:val="bottom"/>
          </w:tcPr>
          <w:p>
            <w:pPr>
              <w:pStyle w:val="TableContents"/>
              <w:bidi w:val="0"/>
              <w:spacing w:before="0" w:after="283"/>
              <w:jc w:val="right"/>
              <w:rPr>
                <w:b/>
              </w:rPr>
            </w:pPr>
            <w:r>
              <w:rPr>
                <w:b/>
              </w:rPr>
              <w:t>3,402</w:t>
            </w:r>
          </w:p>
        </w:tc>
        <w:tc>
          <w:tcPr>
            <w:tcW w:w="161" w:type="dxa"/>
            <w:tcBorders/>
            <w:shd w:fill="CCEEFF" w:val="clear"/>
            <w:vAlign w:val="bottom"/>
          </w:tcPr>
          <w:p>
            <w:pPr>
              <w:pStyle w:val="TableContents"/>
              <w:bidi w:val="0"/>
              <w:spacing w:before="0" w:after="283"/>
              <w:jc w:val="left"/>
              <w:rPr/>
            </w:pPr>
            <w:r>
              <w:rPr/>
              <w:t> </w:t>
            </w:r>
          </w:p>
        </w:tc>
      </w:tr>
      <w:tr>
        <w:trPr/>
        <w:tc>
          <w:tcPr>
            <w:tcW w:w="5049"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impact of certain events, gains, losses or other charges that are excluded from Adjusted EBITDA, which are related to certain costs associated with the Separation in 2024. See Note 2 to the audited combined financial statements.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35"/>
        <w:gridCol w:w="327"/>
        <w:gridCol w:w="149"/>
        <w:gridCol w:w="643"/>
        <w:gridCol w:w="158"/>
        <w:gridCol w:w="327"/>
        <w:gridCol w:w="149"/>
        <w:gridCol w:w="643"/>
        <w:gridCol w:w="158"/>
        <w:gridCol w:w="326"/>
        <w:gridCol w:w="149"/>
        <w:gridCol w:w="643"/>
        <w:gridCol w:w="165"/>
      </w:tblGrid>
      <w:tr>
        <w:trPr/>
        <w:tc>
          <w:tcPr>
            <w:tcW w:w="4735"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735"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334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5" w:type="dxa"/>
            <w:tcBorders/>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7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7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5" w:type="dxa"/>
            <w:tcBorders/>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3345" w:type="dxa"/>
            <w:gridSpan w:val="10"/>
            <w:tcBorders/>
            <w:vAlign w:val="bottom"/>
          </w:tcPr>
          <w:p>
            <w:pPr>
              <w:pStyle w:val="TableContents"/>
              <w:bidi w:val="0"/>
              <w:spacing w:before="0" w:after="283"/>
              <w:jc w:val="center"/>
              <w:rPr>
                <w:b/>
              </w:rPr>
            </w:pPr>
            <w:r>
              <w:rPr>
                <w:b/>
              </w:rPr>
              <w:t>(in millions)</w:t>
            </w:r>
          </w:p>
        </w:tc>
        <w:tc>
          <w:tcPr>
            <w:tcW w:w="165"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provided by operating activities</w:t>
            </w:r>
          </w:p>
        </w:tc>
        <w:tc>
          <w:tcPr>
            <w:tcW w:w="32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2,211</w:t>
            </w:r>
          </w:p>
        </w:tc>
        <w:tc>
          <w:tcPr>
            <w:tcW w:w="15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2,428</w:t>
            </w:r>
          </w:p>
        </w:tc>
        <w:tc>
          <w:tcPr>
            <w:tcW w:w="158"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2,509</w:t>
            </w:r>
          </w:p>
        </w:tc>
        <w:tc>
          <w:tcPr>
            <w:tcW w:w="165" w:type="dxa"/>
            <w:tcBorders/>
            <w:shd w:fill="CCEEFF" w:val="clear"/>
            <w:vAlign w:val="bottom"/>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Cash used in investing activities</w:t>
            </w:r>
          </w:p>
        </w:tc>
        <w:tc>
          <w:tcPr>
            <w:tcW w:w="32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643" w:type="dxa"/>
            <w:tcBorders/>
            <w:vAlign w:val="bottom"/>
          </w:tcPr>
          <w:p>
            <w:pPr>
              <w:pStyle w:val="TableContents"/>
              <w:bidi w:val="0"/>
              <w:spacing w:before="0" w:after="283"/>
              <w:jc w:val="right"/>
              <w:rPr/>
            </w:pPr>
            <w:r>
              <w:rPr/>
              <w:t>(71</w:t>
            </w:r>
          </w:p>
        </w:tc>
        <w:tc>
          <w:tcPr>
            <w:tcW w:w="15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643" w:type="dxa"/>
            <w:tcBorders/>
            <w:vAlign w:val="bottom"/>
          </w:tcPr>
          <w:p>
            <w:pPr>
              <w:pStyle w:val="TableContents"/>
              <w:bidi w:val="0"/>
              <w:spacing w:before="0" w:after="283"/>
              <w:jc w:val="right"/>
              <w:rPr/>
            </w:pPr>
            <w:r>
              <w:rPr/>
              <w:t>(60</w:t>
            </w:r>
          </w:p>
        </w:tc>
        <w:tc>
          <w:tcPr>
            <w:tcW w:w="158"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643" w:type="dxa"/>
            <w:tcBorders/>
            <w:vAlign w:val="bottom"/>
          </w:tcPr>
          <w:p>
            <w:pPr>
              <w:pStyle w:val="TableContents"/>
              <w:bidi w:val="0"/>
              <w:spacing w:before="0" w:after="283"/>
              <w:jc w:val="right"/>
              <w:rPr/>
            </w:pPr>
            <w:r>
              <w:rPr/>
              <w:t>(39</w:t>
            </w:r>
          </w:p>
        </w:tc>
        <w:tc>
          <w:tcPr>
            <w:tcW w:w="165"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used in financing activities</w:t>
            </w:r>
          </w:p>
        </w:tc>
        <w:tc>
          <w:tcPr>
            <w:tcW w:w="32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(2,155</w:t>
            </w:r>
          </w:p>
        </w:tc>
        <w:tc>
          <w:tcPr>
            <w:tcW w:w="15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(2,355</w:t>
            </w:r>
          </w:p>
        </w:tc>
        <w:tc>
          <w:tcPr>
            <w:tcW w:w="158"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(2,486</w:t>
            </w:r>
          </w:p>
        </w:tc>
        <w:tc>
          <w:tcPr>
            <w:tcW w:w="1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003"/>
        <w:gridCol w:w="330"/>
        <w:gridCol w:w="140"/>
        <w:gridCol w:w="658"/>
        <w:gridCol w:w="60"/>
        <w:gridCol w:w="330"/>
        <w:gridCol w:w="140"/>
        <w:gridCol w:w="658"/>
        <w:gridCol w:w="60"/>
        <w:gridCol w:w="330"/>
        <w:gridCol w:w="140"/>
        <w:gridCol w:w="658"/>
        <w:gridCol w:w="65"/>
      </w:tblGrid>
      <w:tr>
        <w:trPr/>
        <w:tc>
          <w:tcPr>
            <w:tcW w:w="5003"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003"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317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5003"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5003"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3174" w:type="dxa"/>
            <w:gridSpan w:val="10"/>
            <w:tcBorders/>
            <w:vAlign w:val="bottom"/>
          </w:tcPr>
          <w:p>
            <w:pPr>
              <w:pStyle w:val="TableContents"/>
              <w:bidi w:val="0"/>
              <w:spacing w:before="0" w:after="283"/>
              <w:jc w:val="center"/>
              <w:rPr>
                <w:b/>
              </w:rPr>
            </w:pPr>
            <w:r>
              <w:rPr>
                <w:b/>
              </w:rPr>
              <w:t>(in millions)</w:t>
            </w:r>
          </w:p>
        </w:tc>
        <w:tc>
          <w:tcPr>
            <w:tcW w:w="65" w:type="dxa"/>
            <w:tcBorders/>
            <w:vAlign w:val="bottom"/>
          </w:tcPr>
          <w:p>
            <w:pPr>
              <w:pStyle w:val="TableContents"/>
              <w:bidi w:val="0"/>
              <w:spacing w:before="0" w:after="283"/>
              <w:jc w:val="left"/>
              <w:rPr/>
            </w:pPr>
            <w:r>
              <w:rPr/>
              <w:t> </w:t>
            </w:r>
          </w:p>
        </w:tc>
      </w:tr>
      <w:tr>
        <w:trPr/>
        <w:tc>
          <w:tcPr>
            <w:tcW w:w="5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     </w:t>
            </w:r>
            <w:r>
              <w:rPr/>
              <w:t>8</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58" w:type="dxa"/>
            <w:tcBorders/>
            <w:shd w:fill="CCEEFF" w:val="clear"/>
            <w:vAlign w:val="bottom"/>
          </w:tcPr>
          <w:p>
            <w:pPr>
              <w:pStyle w:val="TableContents"/>
              <w:bidi w:val="0"/>
              <w:spacing w:before="0" w:after="283"/>
              <w:jc w:val="right"/>
              <w:rPr/>
            </w:pPr>
            <w:r>
              <w:rPr/>
              <w:t>    </w:t>
            </w:r>
            <w:r>
              <w:rPr/>
              <w:t>23</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58" w:type="dxa"/>
            <w:tcBorders/>
            <w:shd w:fill="CCEEFF" w:val="clear"/>
            <w:vAlign w:val="bottom"/>
          </w:tcPr>
          <w:p>
            <w:pPr>
              <w:pStyle w:val="TableContents"/>
              <w:bidi w:val="0"/>
              <w:spacing w:before="0" w:after="283"/>
              <w:jc w:val="right"/>
              <w:rPr/>
            </w:pPr>
            <w:r>
              <w:rPr/>
              <w:t>    </w:t>
            </w:r>
            <w:r>
              <w:rPr/>
              <w:t>11</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Historically, we have generated significant cash flows from operating activities. However, we have operated within Comcasts cash management structure, which uses a centralized approach to cash management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financing of our operations. This arrangement is not reflective of the manner in which we would have financed our operations had we been an independent, publicly traded company during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Following the Separation, our capital structure and sources of liquidity will change from the historical capital structure because we will no longer participate in Comcasts centralized cash management program. Our ability to fund our operating needs will depend on our future ability to continue to generate positive cash flow from operations, and on our ability to obtain debt financing on acceptable terms. Management believes that our cash balances and funds provided by operating activities, along with expected borrowing capacity and access to capital markets, taken as a whole, will provide adequate liquidity to meet all of our current and long-term obligations when due, including third-party debt that we expect to incur in connection with the Separation, adequate liquidity to fund capital expenditures, and flexibility to fund investment opportunities that may arise. However, there can be no assurances that we will be able to obtain debt or equity financing on acceptable terms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intend to enter into new financing arrangements in anticipation of the Separation. We expect to incur approximately $    of new debt. See Description of Material Indebtedness. The debt may also restrict our business and may adversely impact our financial condition, results of operations or cash flows. In addition, the Separation may increase the overall cost of debt funding and decrease the overall debt capacity and commercial credit 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We expect to utilize our cash flows to continue to invest across our business, whether through organic or inorganic growth strategies, as well as to repay our indebtedness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Provided by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operating activities decreased in 2024 and 2023, primarily due to a decline in net income caused by decreasing revenue as described above. In 2023, net cash provided by operating activities was also negatively impacted by a decrease in net gain on investment activity. The decrease in operating assets and liabilities in 2024 was primarily due to a decrease in content costs, net, partially offset by an increase in current and noncurrent receivables, net. The increase in operating assets and liabilities in 2023 was primarily due to increases in content costs, net and current and noncurrent receivables, net, partially offset by a decrease in other operating assets and liabilities. Operating assets and liabilities in our combined statements of cash flows generally fluctuate based on the timing of amortization and related payments for our content costs and the timing of collections of receivables. As described in Notes 1 and 10 to the audited combined financial statements and above in Liquidity and Capital Resources, we have historically participated in Comcasts centralized cash management process, and as a result, the amounts and timing of operating receipts and payments may not be indicative of our results as a stand-alone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primarily relates to capital expenditures, which were consistent for the periods presented. Other investing activities included net payments to Comcast pursuant to loans associated with its centralized cash management programs, and net loan receipts in 2022. See Note 10 to our audited combined financial statements for additional information on these related party loans.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Used in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The reduction in cash used in financing activities in 2024 and 2023 was primarily due to changes in net parent investment, which primarily resulted from lower cash generated from operating activities and swept to Comcast during the periods. See Note 2 to our audited combined financial statements for additional information on net parent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most significant contractual obligations as of December 31,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025"/>
        <w:gridCol w:w="321"/>
        <w:gridCol w:w="140"/>
        <w:gridCol w:w="585"/>
        <w:gridCol w:w="60"/>
        <w:gridCol w:w="321"/>
        <w:gridCol w:w="209"/>
        <w:gridCol w:w="587"/>
        <w:gridCol w:w="60"/>
        <w:gridCol w:w="321"/>
        <w:gridCol w:w="175"/>
        <w:gridCol w:w="702"/>
        <w:gridCol w:w="66"/>
      </w:tblGrid>
      <w:tr>
        <w:trPr/>
        <w:tc>
          <w:tcPr>
            <w:tcW w:w="502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02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316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6" w:type="dxa"/>
            <w:tcBorders/>
            <w:vAlign w:val="bottom"/>
          </w:tcPr>
          <w:p>
            <w:pPr>
              <w:pStyle w:val="TableContents"/>
              <w:bidi w:val="0"/>
              <w:spacing w:before="0" w:after="283"/>
              <w:jc w:val="left"/>
              <w:rPr/>
            </w:pPr>
            <w:r>
              <w:rPr/>
              <w:t> </w:t>
            </w:r>
          </w:p>
        </w:tc>
      </w:tr>
      <w:tr>
        <w:trPr/>
        <w:tc>
          <w:tcPr>
            <w:tcW w:w="502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Within</w:t>
              <w:br/>
              <w:t>the</w:t>
              <w:br/>
              <w:t>next 12</w:t>
              <w:br/>
              <w:t>months</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Beyond</w:t>
              <w:br/>
              <w:t>the next</w:t>
              <w:br/>
              <w:t>12</w:t>
              <w:br/>
              <w:t>months</w:t>
            </w:r>
          </w:p>
        </w:tc>
        <w:tc>
          <w:tcPr>
            <w:tcW w:w="66" w:type="dxa"/>
            <w:tcBorders/>
            <w:vAlign w:val="bottom"/>
          </w:tcPr>
          <w:p>
            <w:pPr>
              <w:pStyle w:val="TableContents"/>
              <w:bidi w:val="0"/>
              <w:spacing w:before="0" w:after="283"/>
              <w:jc w:val="left"/>
              <w:rPr/>
            </w:pPr>
            <w:r>
              <w:rPr/>
              <w:t> </w:t>
            </w:r>
          </w:p>
        </w:tc>
      </w:tr>
      <w:tr>
        <w:trPr/>
        <w:tc>
          <w:tcPr>
            <w:tcW w:w="502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3160" w:type="dxa"/>
            <w:gridSpan w:val="10"/>
            <w:tcBorders/>
            <w:vAlign w:val="bottom"/>
          </w:tcPr>
          <w:p>
            <w:pPr>
              <w:pStyle w:val="TableContents"/>
              <w:bidi w:val="0"/>
              <w:spacing w:before="0" w:after="283"/>
              <w:jc w:val="center"/>
              <w:rPr>
                <w:b/>
              </w:rPr>
            </w:pPr>
            <w:r>
              <w:rPr>
                <w:b/>
              </w:rPr>
              <w:t>(in millions)</w:t>
            </w:r>
          </w:p>
        </w:tc>
        <w:tc>
          <w:tcPr>
            <w:tcW w:w="66" w:type="dxa"/>
            <w:tcBorders/>
            <w:vAlign w:val="bottom"/>
          </w:tcPr>
          <w:p>
            <w:pPr>
              <w:pStyle w:val="TableContents"/>
              <w:bidi w:val="0"/>
              <w:spacing w:before="0" w:after="283"/>
              <w:jc w:val="left"/>
              <w:rPr/>
            </w:pPr>
            <w:r>
              <w:rPr/>
              <w:t> </w:t>
            </w:r>
          </w:p>
        </w:tc>
      </w:tr>
      <w:tr>
        <w:trPr/>
        <w:tc>
          <w:tcPr>
            <w:tcW w:w="50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Programming and production obligations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2,016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b/>
              </w:rPr>
            </w:pPr>
            <w:r>
              <w:rPr>
                <w:b/>
              </w:rPr>
              <w:t>$</w:t>
            </w:r>
          </w:p>
        </w:tc>
        <w:tc>
          <w:tcPr>
            <w:tcW w:w="587" w:type="dxa"/>
            <w:tcBorders/>
            <w:shd w:fill="CCEEFF" w:val="clear"/>
            <w:vAlign w:val="bottom"/>
          </w:tcPr>
          <w:p>
            <w:pPr>
              <w:pStyle w:val="TableContents"/>
              <w:bidi w:val="0"/>
              <w:spacing w:before="0" w:after="283"/>
              <w:jc w:val="right"/>
              <w:rPr/>
            </w:pPr>
            <w:r>
              <w:rPr/>
              <w:t>705</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b/>
              </w:rPr>
            </w:pPr>
            <w:r>
              <w:rPr>
                <w:b/>
              </w:rPr>
              <w:t>$</w:t>
            </w:r>
          </w:p>
        </w:tc>
        <w:tc>
          <w:tcPr>
            <w:tcW w:w="702" w:type="dxa"/>
            <w:tcBorders/>
            <w:shd w:fill="CCEEFF" w:val="clear"/>
            <w:vAlign w:val="bottom"/>
          </w:tcPr>
          <w:p>
            <w:pPr>
              <w:pStyle w:val="TableContents"/>
              <w:bidi w:val="0"/>
              <w:spacing w:before="0" w:after="283"/>
              <w:jc w:val="right"/>
              <w:rPr/>
            </w:pPr>
            <w:r>
              <w:rPr/>
              <w:t>1,312</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largest contractual obligations are associated with our programming and production expenses. We have multiyear agreements for broadcast rights of sporting events, which represent the majority of our programming and production obligations. As of December 31, 2024, all cash payments related to our programming and production obligations are due within five years. Our programming and production costs include significant amounts related to content contracts shared with Comcast. These contracts, which primarily related to multiyear sports rights agreements, are not included in the amounts presented above as we are not the primary obligor under the contract. As a result, following the Separation we expect to have significant additional contractual obligations. See Note 4 and Note 10 to our audited combined financial statements for additional information on programming and production costs and related party transactions,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expect to enter into new financing arrangements in anticipation of the Separation. As a result, we will be exposed to market risk of adverse changes in interest rates related to these arrangements. To help manage our exposure to changes in interest rates, we may enter into interest rate risk management derivative transactions in accordance with our policy. There were no such instruments outstanding for the periods presented in the audited combined financials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3 to the audited combined financial statements, a significant portion of our accounts receivable balances relate to our linear distribution agreements with large multichannel video providers. These receivables have short term maturities and we actively monitor the creditworthiness of our counterparties. Although we may be exposed to losses in the event of nonperformance by counterparties, we do not expect such losses, if any, to be material.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our audited combined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estimates associated with the valuation and impairment testing of goodwill and the accounting for content costs are critical in the preparation of our audited combined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and Impairment Testing of 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results from business combinations and represents the excess amount of the consideration paid over the identifiable assets and liabilities recorded in the acquisition. Because Versants businesses were operated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a part of Comcasts Media segment, our combined balance sheets include an allocated amount of goodwill from Comcasts Media segment, which was determined using a relative fair value analysis as of July 1, 2024, the date of Comcasts most recent annual goodwill impairment assessment. This relative fair value analysis resulted in the allocation of approximately 40% of Comcasts Media segment goodwill to Versant. The fair values utilized in the relative fair value analysis were estimated using a discounted cash flow analysis based on Level 3 inputs. When performing this analysis, we also considered multiples of earnings from comparable public companies and recent market transactions. We test goodwill for impairment at the reporting unit level. Impairment analysis was performed at the Comcast level as of July 1, 2024 and in prior periods. Based on Comcasts 2024 assessment, the estimated fair value of the Media reporting unit, and therefore the estimated fair value of the Versant reporting unit, substantially exceeded its carrying value and no impairment was required. </w:t>
      </w:r>
    </w:p>
    <w:p>
      <w:pPr>
        <w:pStyle w:val="TextBody"/>
        <w:bidi w:val="0"/>
        <w:spacing w:before="240" w:after="0"/>
        <w:jc w:val="left"/>
        <w:rPr>
          <w:rFonts w:ascii="Times New Roman" w:hAnsi="Times New Roman"/>
          <w:sz w:val="20"/>
        </w:rPr>
      </w:pPr>
      <w:r>
        <w:rPr>
          <w:rFonts w:ascii="Times New Roman" w:hAnsi="Times New Roman"/>
          <w:sz w:val="20"/>
        </w:rPr>
        <w:t xml:space="preserve">For periods after the initial allocation, we will assess the recoverability of our goodwill annually as of July 1,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In connection with our impairment assessment process, from time to time, we may perform quantitative assessments in order to support our qualitative assessments. </w:t>
      </w:r>
    </w:p>
    <w:p>
      <w:pPr>
        <w:pStyle w:val="TextBody"/>
        <w:bidi w:val="0"/>
        <w:spacing w:before="240" w:after="0"/>
        <w:jc w:val="left"/>
        <w:rPr>
          <w:rFonts w:ascii="Times New Roman" w:hAnsi="Times New Roman"/>
          <w:sz w:val="20"/>
        </w:rPr>
      </w:pPr>
      <w:r>
        <w:rPr>
          <w:rFonts w:ascii="Times New Roman" w:hAnsi="Times New Roman"/>
          <w:sz w:val="20"/>
        </w:rPr>
        <w:t xml:space="preserve">When performing a quantitative assessment, we estimate the fair values of a reporting unit primarily based on a discounted cash flow analysis that involves significant judgment, including market participant estimates of future cash flows expected to be generated by the business and the selection of discount rates. When performing this analysis, we also consider multiples of earnings from comparable public companies and recent market transactions. </w:t>
      </w:r>
    </w:p>
    <w:p>
      <w:pPr>
        <w:pStyle w:val="TextBody"/>
        <w:bidi w:val="0"/>
        <w:spacing w:before="240" w:after="0"/>
        <w:jc w:val="left"/>
        <w:rPr>
          <w:rFonts w:ascii="Times New Roman" w:hAnsi="Times New Roman"/>
          <w:sz w:val="20"/>
        </w:rPr>
      </w:pPr>
      <w:r>
        <w:rPr>
          <w:rFonts w:ascii="Times New Roman" w:hAnsi="Times New Roman"/>
          <w:sz w:val="20"/>
        </w:rPr>
        <w:t xml:space="preserve">Changes in market conditions, laws and regulations and key assumptions made in future quantitative assessments, such as expected cash flows, competitive factors, discount rates and value indications from market transactions, including the market price of our Class A common stock following the Separation, could negatively impact the results of future impairment testing and could result in the recognition of an impairment charge.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Content Costs </w:t>
      </w:r>
    </w:p>
    <w:p>
      <w:pPr>
        <w:pStyle w:val="TextBody"/>
        <w:bidi w:val="0"/>
        <w:spacing w:before="120" w:after="0"/>
        <w:jc w:val="left"/>
        <w:rPr>
          <w:rFonts w:ascii="Times New Roman" w:hAnsi="Times New Roman"/>
          <w:sz w:val="20"/>
        </w:rPr>
      </w:pPr>
      <w:r>
        <w:rPr>
          <w:rFonts w:ascii="Times New Roman" w:hAnsi="Times New Roman"/>
          <w:sz w:val="20"/>
        </w:rPr>
        <w:t xml:space="preserve">We capitalize the costs of licensed content when the license period begins, the content is made available for use and the costs of the licenses are known. Licensed content is amortized as the associated programs are used, incorporating estimated viewing patterns. </w:t>
      </w:r>
    </w:p>
    <w:p>
      <w:pPr>
        <w:pStyle w:val="TextBody"/>
        <w:bidi w:val="0"/>
        <w:spacing w:before="240" w:after="0"/>
        <w:jc w:val="left"/>
        <w:rPr>
          <w:rFonts w:ascii="Times New Roman" w:hAnsi="Times New Roman"/>
          <w:sz w:val="20"/>
        </w:rPr>
      </w:pPr>
      <w:r>
        <w:rPr>
          <w:rFonts w:ascii="Times New Roman" w:hAnsi="Times New Roman"/>
          <w:sz w:val="20"/>
        </w:rPr>
        <w:t xml:space="preserve">We capitalize costs for owned film and television content, including direct costs, production overhead, print costs, development costs and interest, as well as acquired libraries.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The most sensitive factor affecting our estimate of ultimate revenue is whether the television series can be successfully licensed beyond its initial window. Estimates of ultimate revenue generally are limited to the amount of revenue attributed to the initial window unless and until it is determined that the content can be licensed beyond the initial license window. </w:t>
      </w:r>
    </w:p>
    <w:p>
      <w:pPr>
        <w:pStyle w:val="TextBody"/>
        <w:bidi w:val="0"/>
        <w:spacing w:before="240" w:after="0"/>
        <w:jc w:val="left"/>
        <w:rPr>
          <w:rFonts w:ascii="Times New Roman" w:hAnsi="Times New Roman"/>
          <w:sz w:val="20"/>
        </w:rPr>
      </w:pPr>
      <w:r>
        <w:rPr>
          <w:rFonts w:ascii="Times New Roman" w:hAnsi="Times New Roman"/>
          <w:sz w:val="20"/>
        </w:rPr>
        <w:t xml:space="preserve">Capitalized content costs are subject to impairment testing when certain triggering events are identified. The substantial majority of our owned content is evaluated for impairment on a group basis. Our licensed and owned content are generally assessed on a channel, network or platform basis. Sports rights are accounted for as executory contracts and are not subject to impairment. When performing an impairment assessment, we estimate fair value primarily based on a discounted cash flow analysis that involves significant judgment,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market participant estimates of future cash flows, which are supported by internal forecasts. Impairments of capitalized content costs were not material in any of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We recognize the costs of multiyear, live-event sports rights as the rights are utilized over the contract term based on estimated relative value. Estimated relative value is generally based on terms of the contract and the nature of and potential revenue generation of the deliverables within the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4" w:name="tx894612_10"/>
      <w:bookmarkEnd w:id="14"/>
      <w:r>
        <w:rPr>
          <w:rFonts w:ascii="Times New Roman" w:hAnsi="Times New Roman"/>
          <w:b/>
          <w:sz w:val="20"/>
        </w:rPr>
        <w:t xml:space="preserve">BUSINESS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 </w:t>
      </w:r>
    </w:p>
    <w:p>
      <w:pPr>
        <w:pStyle w:val="TextBody"/>
        <w:bidi w:val="0"/>
        <w:spacing w:before="240" w:after="0"/>
        <w:jc w:val="left"/>
        <w:rPr>
          <w:rFonts w:ascii="Times New Roman" w:hAnsi="Times New Roman"/>
          <w:sz w:val="20"/>
        </w:rPr>
      </w:pPr>
      <w:r>
        <w:rPr>
          <w:rFonts w:ascii="Times New Roman" w:hAnsi="Times New Roman"/>
          <w:sz w:val="20"/>
        </w:rPr>
        <w:t xml:space="preserve">Over the past 45 years, we have developed and operated iconic and award-winning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 </w:t>
      </w:r>
    </w:p>
    <w:p>
      <w:pPr>
        <w:pStyle w:val="TextBody"/>
        <w:bidi w:val="0"/>
        <w:spacing w:before="240" w:after="0"/>
        <w:jc w:val="left"/>
        <w:rPr>
          <w:rFonts w:ascii="Times New Roman" w:hAnsi="Times New Roman"/>
          <w:sz w:val="20"/>
        </w:rPr>
      </w:pPr>
      <w:r>
        <w:rPr>
          <w:rFonts w:ascii="Times New Roman" w:hAnsi="Times New Roman"/>
          <w:sz w:val="20"/>
        </w:rPr>
        <w:t xml:space="preserve">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Managements Discussion and Analysis of Financial Condition and Results of OperationNon-GAAP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Versant is headquartered in New York City. Prior to the Separation, we have operated as a part of Comcasts Media Segment within its Content &amp; Experiences business. Following the completion of the Separation, Versant will be an independent, publicly traded company led by a highly experienced management team dedicated to driving value through our leading asset portfolio. Comcast will provide transition services to us for certain functions, which are expected to be temporary in nature, and we will enter into certain other commercial agreements with Comcast. See The SeparationAgreements with Comcast for additional information regarding these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Our Brands </w:t>
      </w:r>
    </w:p>
    <w:p>
      <w:pPr>
        <w:pStyle w:val="TextBody"/>
        <w:bidi w:val="0"/>
        <w:spacing w:before="120" w:after="0"/>
        <w:jc w:val="left"/>
        <w:rPr>
          <w:rFonts w:ascii="Times New Roman" w:hAnsi="Times New Roman"/>
          <w:sz w:val="20"/>
        </w:rPr>
      </w:pPr>
      <w:r>
        <w:rPr>
          <w:rFonts w:ascii="Times New Roman" w:hAnsi="Times New Roman"/>
          <w:sz w:val="20"/>
        </w:rPr>
        <w:t xml:space="preserve">Our strong portfolio of brands delivers compelling news, sports and entertainment content that we distribute through our networks and digital platforms. Our networks were collectively watched by an average audience of over 60 million unique viewers each week in 2024, with MSNBC and USA Network representing two of the eight most watched cable networks domestically in 2024 and many of our other networks also being leaders in their respective categories. Our digital platforms offer complementary news, sports and entertainment offerings to consumers online. Through our scale and compelling news, sports and entertainment offerings, we believe our brands offer significant value for our stakeholders.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MSNBC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MSNBC is a premier destination for politics, news and opinion through informed, distinct perspectives and analysis. MSNBC operates across multiple media platforms: MVPDs, digital, social platforms, podcasts and live events. With highly loyal and engaged audiences representing over 14 million viewers weekly in 2024 according to Nielsen, MSNBC is home to many of the countrys most influential political news programs that shape daily public discourse.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MSNBC saw one of its largest audiences on record in 2024, finishing the year as the number two network across all cable television networks according to Nielsen for the seventh consecutive year. For 2022-2024, MSNBC was the only top-20 cable network with two consecutive years of audience gains.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MSNBC has rapidly grown its digital audience in recent years, including through MSNBC.com and the MSNBC mobile app, averaging 30 million monthly unique visitors in 2024. Additionally, in 2024, MSNBC was the number one news brand across all of YouTube and the number one cable news brand on TikTok. MSNBC generated nearly 160 million total downloads across its audio portfolio.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CNBC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CNBC is a global leader in business and personal finance news, with real-time financial market coverage and analysis. Business coverage through franchises such as Squawk Box, Squawk on the Street, Closing Bell and Mad Money has made CNBC a critical resource for business leaders and investors. In addition, CNBC has successfully expanded its audience through a portfolio of branded products, including direct-to-consumer streaming services, investing club, podcasts, conferences and other live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CNBC seeks to engage and serve its core, hard-to-reach audiences of investors, C-suite executives, policy makers, entrepreneurs, small and medium-sized businesses and the financially aspirational across various platforms, including MVPDs, online, social platforms, podcasts, audio, radio and events. CNBC reaches more affluent Americans than any other business news platform and its leading financial market coverage and analysis make it the network of choice at many corporate and business offices.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CNBC has expanded its audience through branded products, including direct-to-consumer streaming services, investing club, podcasts, conferences and other live events. CNBC.com has the number one business news website based on total minutes of audience usage for four consecutive years, according to comScore.2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USA Network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USA Network is a multiplatform destination for leading sports, entertainment and live event programming, including WWE Smackdown, NASCAR, the WNBA (starting with the 2026 season), golf, including the U.S. Open, Open Championship and the Ryder Cup, the Premier League, college basketball and the Olympics.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USA Network has been a top-five cable entertainment network each year for the past 30 years. USA Network ended 2024 as the number eight network across all cable television networks according to Nielsen.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USA Network is home to popular and acclaimed acquired series, including Law &amp; Order: Special Victims Unit, Chicago Fire, Chicago P.D. and 9-1-1, as well as blockbuster theatrical films and originals, including The Rainmaker and Resident Alien.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USA Networks extensive content library consists of a wide variety of on-demand films and television shows that are generally licensed under long-term contracts with major studios.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Golf Channel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Golf Channel is a premier destination for live golf and related content, including news, instruction, documentaries and library programming. Its content is distributed on a variety of platforms to millions of viewers in more than 50 countries.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1"/>
        <w:gridCol w:w="9994"/>
      </w:tblGrid>
      <w:tr>
        <w:trPr/>
        <w:tc>
          <w:tcPr>
            <w:tcW w:w="211" w:type="dxa"/>
            <w:tcBorders/>
          </w:tcPr>
          <w:p>
            <w:pPr>
              <w:pStyle w:val="TableContents"/>
              <w:bidi w:val="0"/>
              <w:spacing w:before="0" w:after="283"/>
              <w:jc w:val="left"/>
              <w:rPr/>
            </w:pPr>
            <w:r>
              <w:rPr/>
              <w:t>2 </w:t>
            </w:r>
          </w:p>
        </w:tc>
        <w:tc>
          <w:tcPr>
            <w:tcW w:w="9994" w:type="dxa"/>
            <w:tcBorders/>
          </w:tcPr>
          <w:p>
            <w:pPr>
              <w:pStyle w:val="TableContents"/>
              <w:bidi w:val="0"/>
              <w:spacing w:before="0" w:after="0"/>
              <w:jc w:val="left"/>
              <w:rPr>
                <w:rFonts w:ascii="Times New Roman" w:hAnsi="Times New Roman"/>
                <w:sz w:val="20"/>
              </w:rPr>
            </w:pPr>
            <w:r>
              <w:rPr>
                <w:rFonts w:ascii="Times New Roman" w:hAnsi="Times New Roman"/>
                <w:i/>
                <w:sz w:val="20"/>
              </w:rPr>
              <w:t>Source: Comscore Media Metrix Multi-Platform, January 2021December 2024, Desktop &amp; Mobile excluding Social Incremental, Total Minutes, Desktop 2+ and Total Mobile 13+, News/InformationBusiness/Finance News Category showing domains only</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Golf Channel celebrated its 30th anniversary in 2025, making it the longest-running single-sport television network. Golf Channel airs more live golf than all other U.S. television networks combined, including the PGA Tour, LPGA Tour and DP World Tour.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According to Nielsen, Golf Channels leading portfolio of mens and womens professional, amateur and international golf generated 500 million of total viewing hours in 2024 with the most affluent audience of any cable network.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GolfNow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GolfNow is one of the largest online tee time marketplaces in the world, helping golfers and golf courses better connect by offering tee time bookings at over 9,000 courses worldwide. GolfNow also offers golf course technology and related services to help streamline course operations, including solutions that facilitate on-site payments for tee times, food and beverage and merchandise.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GolfNow offers a subscription service, GolfPass, which provides unique and engaging content for all levels of golfers, with curated content from swing instruction to exclusive behind the scenes footage for the newly launched TGL golf league.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GolfNow operates in the United States and major international markets, including the U.K., Ireland, Canada, France and Germany. GolfNow is dedicated to making golf accessible to everyone and helping golfers everywhere create their perfect golf experience.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SportsEngine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SportsEngine is a suite of digital products and services that facilitate management of youth sport leagues, teams, participants and their families, and the processing of related payments. Through its innovative technology, SportsEngine has revolutionized how youth sports leaders operate organizations, teams and leagues. More than 8 million athletes and over 25,000 organizations rely on SportsEngines software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SportsEngine has expanded into youth sports subscription video streaming, providing off-location access to youth sports competition, and also offers and facilitates background screenings for coaches and volunteers.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SportsEngine platforms have millions of touchpoints with parents and families each year and those users are also consumers of its diverse portfolio of sports, entertainment and news products.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 is a multiplatform destination for all things pop culture serving audiences through news, unscripted originals, live events and high-profile acquired content, such as Sex and the City and a variety of primarily female-focused films.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a history of multiplatform digital and social content expertise, E! News Digital delivers audience, scale and premium content to fans across owned and third-party digital and social platforms. In 2024, E! News Digital generated 11 billion video views across all digital platforms with one of the largest shares of millennial and Gen Z audiences across comparable networks.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 News Digitals in-house original production studio and 24/7 news team create engaging news content and easy-to-watch, shareable programming that continues to generate conversation and community.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SYFY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SYFY is a premier science fiction genre destination serving passionate audiences with science fiction, fantasy, action, adventure, paranormal and superhero programming, along with fan-focused theatrical franchises.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SYFY provides content on a multiplatform basis through SYFYs network and related digital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SYFY is home to popular horror and science fiction programming such as The Twilight Zone and originals including SurrealEstate, The Ark and Revival.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Oxygen True Crime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Oxygen True Crime is a multiplatform brand featuring popular true crime programming, including the flagship Snapped franchise, Cold Justice, Killer Relationship with Faith Jenkins and breakout event specials such as The Pike County Murders: A Family Massacre, Selena &amp; Yolanda: The Secrets Between Them and The Disappearance of Alissa Turney.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Oxygen True Crime was the second most-viewed true crime network in 2024.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Fandango Media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Fandango Media is the ultimate online resource for all things movies and television. Fandango Media served approximately 40 million unique visitors per month in 2024, according to comScore, with best-in-class movie and television information, movie ticketing to over 31,000 U.S. screens, trailers and original video and home entertainment.3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Fandango Medias brand portfolio includes one of the leading online movie ticketing services, Fandango; a world-renowned movie and television review site, Rotten Tomatoes; YouTubes leading movie trailers and clips network, Movieclips; and video on-demand streaming store front, Fandango at Home, offering thousands of new release and catalog movies and next-day television shows.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Fandango Media includes Rotten Tomatoes, one of the worlds most trusted sources of movie and television reviews. Known for its Tomatometer and audience scores, Rotten Tomatoes has provided a diverse range of reviews from professional critics and everyday fans for over 25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portfolio of networks operates predominantly in the United States. The table below presents a summary of our networks and their advertising reach to U.S. households.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98"/>
        <w:gridCol w:w="707"/>
        <w:gridCol w:w="256"/>
        <w:gridCol w:w="1116"/>
        <w:gridCol w:w="62"/>
      </w:tblGrid>
      <w:tr>
        <w:trPr/>
        <w:tc>
          <w:tcPr>
            <w:tcW w:w="4798" w:type="dxa"/>
            <w:tcBorders/>
            <w:vAlign w:val="center"/>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7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Cable Television Audience</w:t>
            </w:r>
          </w:p>
        </w:tc>
        <w:tc>
          <w:tcPr>
            <w:tcW w:w="707"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Approx. U.S.</w:t>
              <w:br/>
              <w:t>Households</w:t>
              <w:br/>
              <w:t>(mm) (a)</w:t>
            </w:r>
          </w:p>
        </w:tc>
        <w:tc>
          <w:tcPr>
            <w:tcW w:w="62" w:type="dxa"/>
            <w:tcBorders/>
            <w:vAlign w:val="bottom"/>
          </w:tcPr>
          <w:p>
            <w:pPr>
              <w:pStyle w:val="TableContents"/>
              <w:bidi w:val="0"/>
              <w:spacing w:before="0" w:after="283"/>
              <w:jc w:val="left"/>
              <w:rPr/>
            </w:pPr>
            <w:r>
              <w:rPr/>
              <w:t> </w:t>
            </w:r>
          </w:p>
        </w:tc>
      </w:tr>
      <w:tr>
        <w:trPr/>
        <w:tc>
          <w:tcPr>
            <w:tcW w:w="4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MSNBC</w:t>
            </w:r>
          </w:p>
        </w:tc>
        <w:tc>
          <w:tcPr>
            <w:tcW w:w="707"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65</w:t>
            </w:r>
          </w:p>
        </w:tc>
        <w:tc>
          <w:tcPr>
            <w:tcW w:w="62" w:type="dxa"/>
            <w:tcBorders/>
            <w:shd w:fill="CCEEFF" w:val="clear"/>
            <w:vAlign w:val="bottom"/>
          </w:tcPr>
          <w:p>
            <w:pPr>
              <w:pStyle w:val="TableContents"/>
              <w:bidi w:val="0"/>
              <w:spacing w:before="0" w:after="283"/>
              <w:jc w:val="left"/>
              <w:rPr/>
            </w:pPr>
            <w:r>
              <w:rPr/>
              <w:t> </w:t>
            </w:r>
          </w:p>
        </w:tc>
      </w:tr>
      <w:tr>
        <w:trPr/>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CNBC</w:t>
            </w:r>
          </w:p>
        </w:tc>
        <w:tc>
          <w:tcPr>
            <w:tcW w:w="707"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4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USA Network</w:t>
            </w:r>
          </w:p>
        </w:tc>
        <w:tc>
          <w:tcPr>
            <w:tcW w:w="707"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66</w:t>
            </w:r>
          </w:p>
        </w:tc>
        <w:tc>
          <w:tcPr>
            <w:tcW w:w="62" w:type="dxa"/>
            <w:tcBorders/>
            <w:shd w:fill="CCEEFF" w:val="clear"/>
            <w:vAlign w:val="bottom"/>
          </w:tcPr>
          <w:p>
            <w:pPr>
              <w:pStyle w:val="TableContents"/>
              <w:bidi w:val="0"/>
              <w:spacing w:before="0" w:after="283"/>
              <w:jc w:val="left"/>
              <w:rPr/>
            </w:pPr>
            <w:r>
              <w:rPr/>
              <w:t> </w:t>
            </w:r>
          </w:p>
        </w:tc>
      </w:tr>
      <w:tr>
        <w:trPr/>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Golf Channel</w:t>
            </w:r>
          </w:p>
        </w:tc>
        <w:tc>
          <w:tcPr>
            <w:tcW w:w="707"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4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w:t>
            </w:r>
          </w:p>
        </w:tc>
        <w:tc>
          <w:tcPr>
            <w:tcW w:w="707"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65</w:t>
            </w:r>
          </w:p>
        </w:tc>
        <w:tc>
          <w:tcPr>
            <w:tcW w:w="62" w:type="dxa"/>
            <w:tcBorders/>
            <w:shd w:fill="CCEEFF" w:val="clear"/>
            <w:vAlign w:val="bottom"/>
          </w:tcPr>
          <w:p>
            <w:pPr>
              <w:pStyle w:val="TableContents"/>
              <w:bidi w:val="0"/>
              <w:spacing w:before="0" w:after="283"/>
              <w:jc w:val="left"/>
              <w:rPr/>
            </w:pPr>
            <w:r>
              <w:rPr/>
              <w:t> </w:t>
            </w:r>
          </w:p>
        </w:tc>
      </w:tr>
      <w:tr>
        <w:trPr/>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SYFY</w:t>
            </w:r>
          </w:p>
        </w:tc>
        <w:tc>
          <w:tcPr>
            <w:tcW w:w="707"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4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Oxygen True Crime</w:t>
            </w:r>
          </w:p>
        </w:tc>
        <w:tc>
          <w:tcPr>
            <w:tcW w:w="707"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62</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631"/>
        <w:gridCol w:w="612"/>
        <w:gridCol w:w="7962"/>
      </w:tblGrid>
      <w:tr>
        <w:trPr/>
        <w:tc>
          <w:tcPr>
            <w:tcW w:w="1631"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Household data is based on information from Nielsen as of December 31, 2024 using its Cable Coverage Universe Estimates report and dynamic ad insertion estimates. The Nielsen estimates include subscribers to both traditional and certain virtual MVPDs and represent the approximate number of U.S. households in which each network is available. The Nielsen estimates are not based on information provided by us and are included solely to enable comparisons between our networks and those operated by our peers.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4"/>
        <w:gridCol w:w="10001"/>
      </w:tblGrid>
      <w:tr>
        <w:trPr/>
        <w:tc>
          <w:tcPr>
            <w:tcW w:w="204" w:type="dxa"/>
            <w:tcBorders/>
          </w:tcPr>
          <w:p>
            <w:pPr>
              <w:pStyle w:val="TableContents"/>
              <w:bidi w:val="0"/>
              <w:spacing w:before="0" w:after="283"/>
              <w:jc w:val="left"/>
              <w:rPr/>
            </w:pPr>
            <w:r>
              <w:rPr/>
              <w:t>3 </w:t>
            </w:r>
          </w:p>
        </w:tc>
        <w:tc>
          <w:tcPr>
            <w:tcW w:w="10001" w:type="dxa"/>
            <w:tcBorders/>
          </w:tcPr>
          <w:p>
            <w:pPr>
              <w:pStyle w:val="TableContents"/>
              <w:bidi w:val="0"/>
              <w:spacing w:before="0" w:after="0"/>
              <w:jc w:val="left"/>
              <w:rPr>
                <w:rFonts w:ascii="Times New Roman" w:hAnsi="Times New Roman"/>
                <w:sz w:val="20"/>
              </w:rPr>
            </w:pPr>
            <w:r>
              <w:rPr>
                <w:rFonts w:ascii="Times New Roman" w:hAnsi="Times New Roman"/>
                <w:i/>
                <w:sz w:val="20"/>
              </w:rPr>
              <w:t>Source: Comscore Media Metrix, Multi-Platform, July 2024  August 2024, Desktop &amp; Mobile excluding Social Incremental, Monthly Unique Visitors, Desktop 2+ and Total Mobile 18+, [C] Fandango Sites.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How We Generate Revenue </w:t>
      </w:r>
    </w:p>
    <w:p>
      <w:pPr>
        <w:pStyle w:val="TextBody"/>
        <w:bidi w:val="0"/>
        <w:spacing w:before="120" w:after="0"/>
        <w:jc w:val="left"/>
        <w:rPr>
          <w:rFonts w:ascii="Times New Roman" w:hAnsi="Times New Roman"/>
          <w:b/>
          <w:i/>
          <w:sz w:val="20"/>
        </w:rPr>
      </w:pPr>
      <w:r>
        <w:rPr>
          <w:rFonts w:ascii="Times New Roman" w:hAnsi="Times New Roman"/>
          <w:b/>
          <w:i/>
          <w:sz w:val="20"/>
        </w:rPr>
        <w:t xml:space="preserve">Linear Distribution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Advertising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through sales of advertising on our networks and digital platforms. The price charged for each 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from advertisements displayed during visits to website pages or application visits.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Platforms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Content Licensing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through licensing our owned content to third parties, including television networks, streaming services and other platforms, and licensing audio feeds of our programming and audio content to digital platforms. </w:t>
      </w:r>
    </w:p>
    <w:p>
      <w:pPr>
        <w:pStyle w:val="TextBody"/>
        <w:bidi w:val="0"/>
        <w:spacing w:before="360" w:after="0"/>
        <w:jc w:val="left"/>
        <w:rPr>
          <w:rFonts w:ascii="Times New Roman" w:hAnsi="Times New Roman"/>
          <w:b/>
          <w:sz w:val="20"/>
        </w:rPr>
      </w:pPr>
      <w:r>
        <w:rPr>
          <w:rFonts w:ascii="Times New Roman" w:hAnsi="Times New Roman"/>
          <w:b/>
          <w:sz w:val="20"/>
        </w:rPr>
        <w:t xml:space="preserve">How We Acquire Content </w:t>
      </w:r>
    </w:p>
    <w:p>
      <w:pPr>
        <w:pStyle w:val="TextBody"/>
        <w:bidi w:val="0"/>
        <w:spacing w:before="120" w:after="0"/>
        <w:jc w:val="left"/>
        <w:rPr>
          <w:rFonts w:ascii="Times New Roman" w:hAnsi="Times New Roman"/>
          <w:sz w:val="20"/>
        </w:rPr>
      </w:pPr>
      <w:r>
        <w:rPr>
          <w:rFonts w:ascii="Times New Roman" w:hAnsi="Times New Roman"/>
          <w:sz w:val="20"/>
        </w:rPr>
        <w:t xml:space="preserve">We produce, license and acquire the news, sports and entertainment programming and related content that we distribute across our platforms through a mix of internal production, third-party licensing and rights agreements and work-for-hire contracts.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News Programming </w:t>
      </w:r>
    </w:p>
    <w:p>
      <w:pPr>
        <w:pStyle w:val="TextBody"/>
        <w:bidi w:val="0"/>
        <w:spacing w:before="120" w:after="0"/>
        <w:jc w:val="left"/>
        <w:rPr>
          <w:rFonts w:ascii="Times New Roman" w:hAnsi="Times New Roman"/>
          <w:sz w:val="20"/>
        </w:rPr>
      </w:pPr>
      <w:r>
        <w:rPr>
          <w:rFonts w:ascii="Times New Roman" w:hAnsi="Times New Roman"/>
          <w:sz w:val="20"/>
        </w:rPr>
        <w:t xml:space="preserve">We generally produce our own news programming through our in-house news bureaus and editorial teams, supported by our ongoing relationships with global reporting agencies. We directly hire on-air talent as well as research, technical and production staff to provide quality news programming. This model is designed to enable in-depth reporting and political analysis while streamlining production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Sports Programming </w:t>
      </w:r>
    </w:p>
    <w:p>
      <w:pPr>
        <w:pStyle w:val="TextBody"/>
        <w:bidi w:val="0"/>
        <w:spacing w:before="120" w:after="0"/>
        <w:jc w:val="left"/>
        <w:rPr>
          <w:rFonts w:ascii="Times New Roman" w:hAnsi="Times New Roman"/>
          <w:sz w:val="20"/>
        </w:rPr>
      </w:pPr>
      <w:r>
        <w:rPr>
          <w:rFonts w:ascii="Times New Roman" w:hAnsi="Times New Roman"/>
          <w:sz w:val="20"/>
        </w:rPr>
        <w:t xml:space="preserve">Our sports programming and related content is typically licensed under multiyear contractual agreements with the relevant sports leagues. At the time of the Separation, we and NBCUniversal (including its subsidiaries) expect to have separate agreements directly with the sports leagues to obtain certain key sports programming. For sports programming displayed on our networks and platforms that remains covered by an agreement between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NBCUniversal and the relevant sports league, NBCUniversal will enter into time purchase agreements with us on standard market terms pursuant to which NBCUniversal is permitted to exhibit such content on our networks and platforms. We and NBCUniversal will also be parties to certain other commercial arrangements in relation to sports matters. See The SeparationAgreements with ComcastCertain Commercial Arrangements.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a summary of certain significant sports programming and related content that will be available on our networks and platforms following the Separation. Additionally, we anticipate that certain content from the Winter Olympic Games will be distributed on our networks in 2026, and we anticipate that certain content from the Summer Olympic Games will be distributed on our networks in 2028. Our sports programming is produced by a combination of in-house and third-party teams.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52"/>
        <w:gridCol w:w="232"/>
        <w:gridCol w:w="2371"/>
      </w:tblGrid>
      <w:tr>
        <w:trPr/>
        <w:tc>
          <w:tcPr>
            <w:tcW w:w="5152"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515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Television Rights(a)</w:t>
            </w:r>
          </w:p>
        </w:tc>
        <w:tc>
          <w:tcPr>
            <w:tcW w:w="232" w:type="dxa"/>
            <w:tcBorders/>
            <w:vAlign w:val="bottom"/>
          </w:tcPr>
          <w:p>
            <w:pPr>
              <w:pStyle w:val="TableContents"/>
              <w:bidi w:val="0"/>
              <w:spacing w:before="0" w:after="283"/>
              <w:jc w:val="left"/>
              <w:rPr/>
            </w:pPr>
            <w:r>
              <w:rPr/>
              <w:t>  </w:t>
            </w:r>
          </w:p>
        </w:tc>
        <w:tc>
          <w:tcPr>
            <w:tcW w:w="2371" w:type="dxa"/>
            <w:tcBorders>
              <w:bottom w:val="single" w:sz="8" w:space="0" w:color="000000"/>
            </w:tcBorders>
            <w:tcMar>
              <w:bottom w:w="28" w:type="dxa"/>
            </w:tcMar>
            <w:vAlign w:val="bottom"/>
          </w:tcPr>
          <w:p>
            <w:pPr>
              <w:pStyle w:val="TableContents"/>
              <w:bidi w:val="0"/>
              <w:spacing w:before="0" w:after="283"/>
              <w:jc w:val="center"/>
              <w:rPr>
                <w:b/>
              </w:rPr>
            </w:pPr>
            <w:r>
              <w:rPr>
                <w:b/>
              </w:rPr>
              <w:t>Rights Expiration</w:t>
            </w:r>
          </w:p>
        </w:tc>
      </w:tr>
      <w:tr>
        <w:trPr/>
        <w:tc>
          <w:tcPr>
            <w:tcW w:w="5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Premier League</w:t>
            </w:r>
          </w:p>
        </w:tc>
        <w:tc>
          <w:tcPr>
            <w:tcW w:w="232" w:type="dxa"/>
            <w:tcBorders/>
            <w:shd w:fill="CCEEFF" w:val="clear"/>
            <w:vAlign w:val="bottom"/>
          </w:tcPr>
          <w:p>
            <w:pPr>
              <w:pStyle w:val="TableContents"/>
              <w:bidi w:val="0"/>
              <w:spacing w:before="0" w:after="283"/>
              <w:jc w:val="left"/>
              <w:rPr/>
            </w:pPr>
            <w:r>
              <w:rPr/>
              <w:t>  </w:t>
            </w:r>
          </w:p>
        </w:tc>
        <w:tc>
          <w:tcPr>
            <w:tcW w:w="2371" w:type="dxa"/>
            <w:tcBorders/>
            <w:shd w:fill="CCEEFF" w:val="clear"/>
            <w:vAlign w:val="bottom"/>
          </w:tcPr>
          <w:p>
            <w:pPr>
              <w:pStyle w:val="TableContents"/>
              <w:bidi w:val="0"/>
              <w:spacing w:before="0" w:after="283"/>
              <w:jc w:val="left"/>
              <w:rPr/>
            </w:pPr>
            <w:r>
              <w:rPr/>
              <w:t>2027-28 season</w:t>
            </w:r>
          </w:p>
        </w:tc>
      </w:tr>
      <w:tr>
        <w:trPr/>
        <w:tc>
          <w:tcPr>
            <w:tcW w:w="5152" w:type="dxa"/>
            <w:tcBorders/>
          </w:tcPr>
          <w:p>
            <w:pPr>
              <w:pStyle w:val="TableContents"/>
              <w:bidi w:val="0"/>
              <w:spacing w:before="0" w:after="0"/>
              <w:jc w:val="left"/>
              <w:rPr>
                <w:rFonts w:ascii="Times New Roman" w:hAnsi="Times New Roman"/>
                <w:sz w:val="20"/>
              </w:rPr>
            </w:pPr>
            <w:r>
              <w:rPr>
                <w:rFonts w:ascii="Times New Roman" w:hAnsi="Times New Roman"/>
                <w:sz w:val="20"/>
              </w:rPr>
              <w:t>PGA Tour, Open Championship, Ryder Cup</w:t>
            </w:r>
          </w:p>
        </w:tc>
        <w:tc>
          <w:tcPr>
            <w:tcW w:w="232" w:type="dxa"/>
            <w:tcBorders/>
            <w:vAlign w:val="bottom"/>
          </w:tcPr>
          <w:p>
            <w:pPr>
              <w:pStyle w:val="TableContents"/>
              <w:bidi w:val="0"/>
              <w:spacing w:before="0" w:after="283"/>
              <w:jc w:val="left"/>
              <w:rPr/>
            </w:pPr>
            <w:r>
              <w:rPr/>
              <w:t>  </w:t>
            </w:r>
          </w:p>
        </w:tc>
        <w:tc>
          <w:tcPr>
            <w:tcW w:w="2371" w:type="dxa"/>
            <w:tcBorders/>
            <w:vAlign w:val="bottom"/>
          </w:tcPr>
          <w:p>
            <w:pPr>
              <w:pStyle w:val="TableContents"/>
              <w:bidi w:val="0"/>
              <w:spacing w:before="0" w:after="283"/>
              <w:jc w:val="left"/>
              <w:rPr/>
            </w:pPr>
            <w:r>
              <w:rPr/>
              <w:t>Between 2028 and 2031</w:t>
            </w:r>
          </w:p>
        </w:tc>
      </w:tr>
      <w:tr>
        <w:trPr/>
        <w:tc>
          <w:tcPr>
            <w:tcW w:w="5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Atlantic Ten Conference Basketball</w:t>
            </w:r>
          </w:p>
        </w:tc>
        <w:tc>
          <w:tcPr>
            <w:tcW w:w="232" w:type="dxa"/>
            <w:tcBorders/>
            <w:shd w:fill="CCEEFF" w:val="clear"/>
            <w:vAlign w:val="bottom"/>
          </w:tcPr>
          <w:p>
            <w:pPr>
              <w:pStyle w:val="TableContents"/>
              <w:bidi w:val="0"/>
              <w:spacing w:before="0" w:after="283"/>
              <w:jc w:val="left"/>
              <w:rPr/>
            </w:pPr>
            <w:r>
              <w:rPr/>
              <w:t>  </w:t>
            </w:r>
          </w:p>
        </w:tc>
        <w:tc>
          <w:tcPr>
            <w:tcW w:w="2371" w:type="dxa"/>
            <w:tcBorders/>
            <w:shd w:fill="CCEEFF" w:val="clear"/>
            <w:vAlign w:val="bottom"/>
          </w:tcPr>
          <w:p>
            <w:pPr>
              <w:pStyle w:val="TableContents"/>
              <w:bidi w:val="0"/>
              <w:spacing w:before="0" w:after="283"/>
              <w:jc w:val="left"/>
              <w:rPr/>
            </w:pPr>
            <w:r>
              <w:rPr/>
              <w:t>2028-29 season</w:t>
            </w:r>
          </w:p>
        </w:tc>
      </w:tr>
      <w:tr>
        <w:trPr/>
        <w:tc>
          <w:tcPr>
            <w:tcW w:w="5152" w:type="dxa"/>
            <w:tcBorders/>
          </w:tcPr>
          <w:p>
            <w:pPr>
              <w:pStyle w:val="TableContents"/>
              <w:bidi w:val="0"/>
              <w:spacing w:before="0" w:after="0"/>
              <w:jc w:val="left"/>
              <w:rPr>
                <w:rFonts w:ascii="Times New Roman" w:hAnsi="Times New Roman"/>
                <w:sz w:val="20"/>
              </w:rPr>
            </w:pPr>
            <w:r>
              <w:rPr>
                <w:rFonts w:ascii="Times New Roman" w:hAnsi="Times New Roman"/>
                <w:sz w:val="20"/>
              </w:rPr>
              <w:t>World Wrestling Entertainment (WWE)</w:t>
            </w:r>
          </w:p>
        </w:tc>
        <w:tc>
          <w:tcPr>
            <w:tcW w:w="232" w:type="dxa"/>
            <w:tcBorders/>
            <w:vAlign w:val="bottom"/>
          </w:tcPr>
          <w:p>
            <w:pPr>
              <w:pStyle w:val="TableContents"/>
              <w:bidi w:val="0"/>
              <w:spacing w:before="0" w:after="283"/>
              <w:jc w:val="left"/>
              <w:rPr/>
            </w:pPr>
            <w:r>
              <w:rPr/>
              <w:t>  </w:t>
            </w:r>
          </w:p>
        </w:tc>
        <w:tc>
          <w:tcPr>
            <w:tcW w:w="2371" w:type="dxa"/>
            <w:tcBorders/>
            <w:vAlign w:val="bottom"/>
          </w:tcPr>
          <w:p>
            <w:pPr>
              <w:pStyle w:val="TableContents"/>
              <w:bidi w:val="0"/>
              <w:spacing w:before="0" w:after="283"/>
              <w:jc w:val="left"/>
              <w:rPr/>
            </w:pPr>
            <w:r>
              <w:rPr/>
              <w:t>2029</w:t>
            </w:r>
          </w:p>
        </w:tc>
      </w:tr>
      <w:tr>
        <w:trPr/>
        <w:tc>
          <w:tcPr>
            <w:tcW w:w="5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NASCAR(b)</w:t>
            </w:r>
          </w:p>
        </w:tc>
        <w:tc>
          <w:tcPr>
            <w:tcW w:w="232" w:type="dxa"/>
            <w:tcBorders/>
            <w:shd w:fill="CCEEFF" w:val="clear"/>
            <w:vAlign w:val="bottom"/>
          </w:tcPr>
          <w:p>
            <w:pPr>
              <w:pStyle w:val="TableContents"/>
              <w:bidi w:val="0"/>
              <w:spacing w:before="0" w:after="283"/>
              <w:jc w:val="left"/>
              <w:rPr/>
            </w:pPr>
            <w:r>
              <w:rPr/>
              <w:t>  </w:t>
            </w:r>
          </w:p>
        </w:tc>
        <w:tc>
          <w:tcPr>
            <w:tcW w:w="2371" w:type="dxa"/>
            <w:tcBorders/>
            <w:shd w:fill="CCEEFF" w:val="clear"/>
            <w:vAlign w:val="bottom"/>
          </w:tcPr>
          <w:p>
            <w:pPr>
              <w:pStyle w:val="TableContents"/>
              <w:bidi w:val="0"/>
              <w:spacing w:before="0" w:after="283"/>
              <w:jc w:val="left"/>
              <w:rPr/>
            </w:pPr>
            <w:r>
              <w:rPr/>
              <w:t>2031</w:t>
            </w:r>
          </w:p>
        </w:tc>
      </w:tr>
      <w:tr>
        <w:trPr/>
        <w:tc>
          <w:tcPr>
            <w:tcW w:w="5152" w:type="dxa"/>
            <w:tcBorders/>
          </w:tcPr>
          <w:p>
            <w:pPr>
              <w:pStyle w:val="TableContents"/>
              <w:bidi w:val="0"/>
              <w:spacing w:before="0" w:after="0"/>
              <w:jc w:val="left"/>
              <w:rPr>
                <w:rFonts w:ascii="Times New Roman" w:hAnsi="Times New Roman"/>
                <w:sz w:val="20"/>
              </w:rPr>
            </w:pPr>
            <w:r>
              <w:rPr>
                <w:rFonts w:ascii="Times New Roman" w:hAnsi="Times New Roman"/>
                <w:sz w:val="20"/>
              </w:rPr>
              <w:t>WNBA(c)</w:t>
            </w:r>
          </w:p>
        </w:tc>
        <w:tc>
          <w:tcPr>
            <w:tcW w:w="232" w:type="dxa"/>
            <w:tcBorders/>
            <w:vAlign w:val="bottom"/>
          </w:tcPr>
          <w:p>
            <w:pPr>
              <w:pStyle w:val="TableContents"/>
              <w:bidi w:val="0"/>
              <w:spacing w:before="0" w:after="283"/>
              <w:jc w:val="left"/>
              <w:rPr/>
            </w:pPr>
            <w:r>
              <w:rPr/>
              <w:t>  </w:t>
            </w:r>
          </w:p>
        </w:tc>
        <w:tc>
          <w:tcPr>
            <w:tcW w:w="2371" w:type="dxa"/>
            <w:tcBorders/>
            <w:vAlign w:val="bottom"/>
          </w:tcPr>
          <w:p>
            <w:pPr>
              <w:pStyle w:val="TableContents"/>
              <w:bidi w:val="0"/>
              <w:spacing w:before="0" w:after="283"/>
              <w:jc w:val="left"/>
              <w:rPr/>
            </w:pPr>
            <w:r>
              <w:rPr/>
              <w:t>2036 season</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327"/>
        <w:gridCol w:w="509"/>
        <w:gridCol w:w="8369"/>
      </w:tblGrid>
      <w:tr>
        <w:trPr/>
        <w:tc>
          <w:tcPr>
            <w:tcW w:w="132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Separation, rights agreements generally provided rights across both NBCUniversal and the Company and the audited combined statements of income included allocations of costs related to these contracts. </w:t>
            </w:r>
          </w:p>
        </w:tc>
      </w:tr>
    </w:tbl>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unilateral right by the other party (i.e., the licensor) to the agreement, under certain circumstances, to shorten the term of the agreement by one year. </w:t>
            </w:r>
          </w:p>
        </w:tc>
      </w:tr>
    </w:tbl>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Beginning with the 2026 WNBA season, includes the rights to produce and distribute a specified number of WNBA regular season and playoff games, including certain games from three WNBA Finals series over the term of the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Entertainment Programming </w:t>
      </w:r>
    </w:p>
    <w:p>
      <w:pPr>
        <w:pStyle w:val="TextBody"/>
        <w:bidi w:val="0"/>
        <w:spacing w:before="120" w:after="0"/>
        <w:jc w:val="left"/>
        <w:rPr>
          <w:rFonts w:ascii="Times New Roman" w:hAnsi="Times New Roman"/>
          <w:sz w:val="20"/>
        </w:rPr>
      </w:pPr>
      <w:r>
        <w:rPr>
          <w:rFonts w:ascii="Times New Roman" w:hAnsi="Times New Roman"/>
          <w:sz w:val="20"/>
        </w:rPr>
        <w:t xml:space="preserve">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unscripted content, we generally engage third-party producers and studios to create programming on a work-for-hire basis, the rights to which we own upon delivery. We air such content on our networks and also license it to third parties for further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Our Competitive Strengths </w:t>
      </w:r>
    </w:p>
    <w:p>
      <w:pPr>
        <w:pStyle w:val="TextBody"/>
        <w:bidi w:val="0"/>
        <w:spacing w:before="120" w:after="0"/>
        <w:jc w:val="left"/>
        <w:rPr>
          <w:rFonts w:ascii="Times New Roman" w:hAnsi="Times New Roman"/>
          <w:b/>
          <w:i/>
          <w:sz w:val="20"/>
        </w:rPr>
      </w:pPr>
      <w:r>
        <w:rPr>
          <w:rFonts w:ascii="Times New Roman" w:hAnsi="Times New Roman"/>
          <w:b/>
          <w:i/>
          <w:sz w:val="20"/>
        </w:rPr>
        <w:t xml:space="preserve">Expansive Audience Scale Generated Through Highly Recognized Brands </w:t>
      </w:r>
    </w:p>
    <w:p>
      <w:pPr>
        <w:pStyle w:val="TextBody"/>
        <w:bidi w:val="0"/>
        <w:spacing w:before="120" w:after="0"/>
        <w:jc w:val="left"/>
        <w:rPr>
          <w:rFonts w:ascii="Times New Roman" w:hAnsi="Times New Roman"/>
          <w:sz w:val="20"/>
        </w:rPr>
      </w:pPr>
      <w:r>
        <w:rPr>
          <w:rFonts w:ascii="Times New Roman" w:hAnsi="Times New Roman"/>
          <w:sz w:val="20"/>
        </w:rPr>
        <w:t xml:space="preserve">Our brands have significant audience reach and scale across our core markets, with more than 60 million viewers having watched content on a Versant network each week in 2024. To put this audience reach and scale into perspective, our viewers watched over 10 billion hours of programming on our networks during 2024, which surpassed aggregate viewership for several prominent streaming services. Most of these hours are spent on live sports and news genres, which have demonstrated resilience of ratings. Versant has attracted these audiences through an array of iconic brands, anchoring the content we produce and distribute. We have a long-standing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history of providing timely, relevant and high-quality content to our valued audiences, and they have reciprocated with strong brand loyalty and engagement. </w:t>
      </w:r>
    </w:p>
    <w:p>
      <w:pPr>
        <w:pStyle w:val="TextBody"/>
        <w:bidi w:val="0"/>
        <w:spacing w:before="240" w:after="0"/>
        <w:jc w:val="left"/>
        <w:rPr>
          <w:rFonts w:ascii="Times New Roman" w:hAnsi="Times New Roman"/>
          <w:sz w:val="20"/>
        </w:rPr>
      </w:pPr>
      <w:r>
        <w:rPr>
          <w:rFonts w:ascii="Times New Roman" w:hAnsi="Times New Roman"/>
          <w:sz w:val="20"/>
        </w:rPr>
        <w:t xml:space="preserve">Our news, sports and entertainment brands, together with their associated programming, resonate deeply with audiences and consumers and are commercially important for distributors and advertisers. As a result, Versant generates significant value across a variety of revenue streams, including linear distribution, advertising, platforms and content licensing.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Deep Relationships with Our Customers </w:t>
      </w:r>
    </w:p>
    <w:p>
      <w:pPr>
        <w:pStyle w:val="TextBody"/>
        <w:bidi w:val="0"/>
        <w:spacing w:before="120" w:after="0"/>
        <w:jc w:val="left"/>
        <w:rPr>
          <w:rFonts w:ascii="Times New Roman" w:hAnsi="Times New Roman"/>
          <w:sz w:val="20"/>
        </w:rPr>
      </w:pPr>
      <w:r>
        <w:rPr>
          <w:rFonts w:ascii="Times New Roman" w:hAnsi="Times New Roman"/>
          <w:sz w:val="20"/>
        </w:rPr>
        <w:t xml:space="preserve">We have long-standing and well-established consumer relationships in our core markets. Each of our networks is among the most watched within its competitive set. For example, MSNBC enjoys the second highest audience engagement, measured by the average weekly watch time per viewer, among cable networks. Golf Channel airs more live golf for golf fans than all other U.S. television networks combined. </w:t>
      </w:r>
    </w:p>
    <w:p>
      <w:pPr>
        <w:pStyle w:val="TextBody"/>
        <w:bidi w:val="0"/>
        <w:spacing w:before="240" w:after="0"/>
        <w:jc w:val="left"/>
        <w:rPr>
          <w:rFonts w:ascii="Times New Roman" w:hAnsi="Times New Roman"/>
          <w:sz w:val="20"/>
        </w:rPr>
      </w:pPr>
      <w:r>
        <w:rPr>
          <w:rFonts w:ascii="Times New Roman" w:hAnsi="Times New Roman"/>
          <w:sz w:val="20"/>
        </w:rPr>
        <w:t xml:space="preserve">Backed by deep knowledge of our audiences and the strength of our brands, we have successfully evolved content offerings to reflect changing consumer preferences and technological innovations. We have developed leading presence on digital platforms, complementing the success of our networks. MSNBC is the number one news brand on YouTube, while CNBC has had the number one business website, based on total minutes of consumption, for four consecutive years. E! News Digital is the most followed pop culture news brand on social platforms.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have built upon the depth and breadth of our audience engagement through commerce, transactional and other related services, both for end-users and businesses. For example, we expanded our relationship with golf fans, originally established through the Golf Channel network, through GolfNows leading tee time reservation and golf course management technology platform.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Differentiated News, Sports and Entertainment Programming </w:t>
      </w:r>
    </w:p>
    <w:p>
      <w:pPr>
        <w:pStyle w:val="TextBody"/>
        <w:bidi w:val="0"/>
        <w:spacing w:before="120" w:after="0"/>
        <w:jc w:val="left"/>
        <w:rPr>
          <w:rFonts w:ascii="Times New Roman" w:hAnsi="Times New Roman"/>
          <w:sz w:val="20"/>
        </w:rPr>
      </w:pPr>
      <w:r>
        <w:rPr>
          <w:rFonts w:ascii="Times New Roman" w:hAnsi="Times New Roman"/>
          <w:sz w:val="20"/>
        </w:rPr>
        <w:t xml:space="preserve">MSNBC and CNBC provide some of the most recognizable journalism in the industry, spanning national and international news, business, politics and culture. Our news brands serve as a vital source of information for millions of viewers daily, which in turn strengthens advertiser relationships and increases appeal to distributors. We expect to build upon our existing news audience leadership with continued exceptional journalism and development of innovative consumer experiences reflecting the preeminence of our brands. </w:t>
      </w:r>
    </w:p>
    <w:p>
      <w:pPr>
        <w:pStyle w:val="TextBody"/>
        <w:bidi w:val="0"/>
        <w:spacing w:before="240" w:after="0"/>
        <w:jc w:val="left"/>
        <w:rPr>
          <w:rFonts w:ascii="Times New Roman" w:hAnsi="Times New Roman"/>
          <w:sz w:val="20"/>
        </w:rPr>
      </w:pPr>
      <w:r>
        <w:rPr>
          <w:rFonts w:ascii="Times New Roman" w:hAnsi="Times New Roman"/>
          <w:sz w:val="20"/>
        </w:rPr>
        <w:t xml:space="preserve">Our premium sports content, spearheaded by USA Network and Golf Channel, is a key competitive strength. This sports programming includes the Premier League, golf events such as PGA Tour tournaments, The Open Championship and the Ryder Cup, college basketball, the WNBA (starting with the 2026 season) and the Olympics. Our sports coverage creates meaningful connections with fans, drives strong viewer engagement and provides valuable opportunities for advertisers. With exclusive, long-term partnerships with top sports leagues, we offer unique viewership experiences unavailable elsewhere. We have rights to currently airing major sports content and properties that extend through 2029 or into the 2030s, providing long-term business visibility and assurance. Additionally, we will evaluate opportunities to supplement our sports rights portfolio, with a commitment to compelling economics and shareholder value. </w:t>
      </w:r>
    </w:p>
    <w:p>
      <w:pPr>
        <w:pStyle w:val="TextBody"/>
        <w:bidi w:val="0"/>
        <w:spacing w:before="240" w:after="0"/>
        <w:jc w:val="left"/>
        <w:rPr>
          <w:rFonts w:ascii="Times New Roman" w:hAnsi="Times New Roman"/>
          <w:sz w:val="20"/>
        </w:rPr>
      </w:pPr>
      <w:r>
        <w:rPr>
          <w:rFonts w:ascii="Times New Roman" w:hAnsi="Times New Roman"/>
          <w:sz w:val="20"/>
        </w:rPr>
        <w:t xml:space="preserve">With high-quality entertainment offerings, including USA Network, SYFY, E! and Oxygen True Crime, we attract large, engaged multiplatform audiences passionate about specific content such as crime, true crime, science-fiction and pop culture. USA Network has been a top-five entertainment cable network each year for the past 30 years. In 2024, E! News Digital generated 11 billion video views across all digital platforms with one of the largest shares of millennial and Gen Z audiences across comparable networks. </w:t>
      </w:r>
    </w:p>
    <w:p>
      <w:pPr>
        <w:pStyle w:val="TextBody"/>
        <w:bidi w:val="0"/>
        <w:spacing w:before="240" w:after="0"/>
        <w:jc w:val="left"/>
        <w:rPr>
          <w:rFonts w:ascii="Times New Roman" w:hAnsi="Times New Roman"/>
          <w:sz w:val="20"/>
        </w:rPr>
      </w:pPr>
      <w:r>
        <w:rPr>
          <w:rFonts w:ascii="Times New Roman" w:hAnsi="Times New Roman"/>
          <w:sz w:val="20"/>
        </w:rPr>
        <w:t xml:space="preserve">The strength of and demand for our content lead to monetization across a variety of distribution channels, including through agreements we have in place with major traditional and virtual MVPDs. We believe we are well-positioned to renew these agreements upon relevant expirations given the popularity of our programming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and will seek to continue to expand the ways in which our content is distributed. Our leading content across news, sports and entertainment serves as a significant source of differentiation in a crowded media landscape.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Growing, Market Leading Digital Platforms </w:t>
      </w:r>
    </w:p>
    <w:p>
      <w:pPr>
        <w:pStyle w:val="TextBody"/>
        <w:bidi w:val="0"/>
        <w:spacing w:before="120" w:after="0"/>
        <w:jc w:val="left"/>
        <w:rPr>
          <w:rFonts w:ascii="Times New Roman" w:hAnsi="Times New Roman"/>
          <w:sz w:val="20"/>
        </w:rPr>
      </w:pPr>
      <w:r>
        <w:rPr>
          <w:rFonts w:ascii="Times New Roman" w:hAnsi="Times New Roman"/>
          <w:sz w:val="20"/>
        </w:rPr>
        <w:t xml:space="preserve">Our digital platforms are led by GolfNow, Fandango, Rotten Tomatoes and SportsEngine, which are market leaders in their respective categories with significant name recognition and prominence among consumers and businesses alike. Each is an innovative technology platform to facilitate consumer transactions and service critical stakeholders in our core markets. We also continue to expand digital product offerings and audiences with our other brands, including CNBC, MSNBC and E!. We believe our digital platforms have significant growth opportunity remaining, both from underlying market growth and continued share gains.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Strong Balance Sheet and Operating Performance Provides Us Financial and Strategic Flexibility </w:t>
      </w:r>
    </w:p>
    <w:p>
      <w:pPr>
        <w:pStyle w:val="TextBody"/>
        <w:bidi w:val="0"/>
        <w:spacing w:before="120" w:after="0"/>
        <w:jc w:val="left"/>
        <w:rPr>
          <w:rFonts w:ascii="Times New Roman" w:hAnsi="Times New Roman"/>
          <w:sz w:val="20"/>
        </w:rPr>
      </w:pPr>
      <w:r>
        <w:rPr>
          <w:rFonts w:ascii="Times New Roman" w:hAnsi="Times New Roman"/>
          <w:sz w:val="20"/>
        </w:rPr>
        <w:t xml:space="preserve">We are a well-capitalized business bolstered by multiple revenue streams, significant operating cash flows and a robust balance sheet. Our cash flow profile and ample liquidity will afford us significant optionality in investing across our business, whether through organic or inorganic growth strategies. Following the Separation, we expect to have the capacity to return capital to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Experienced Management Team </w:t>
      </w:r>
    </w:p>
    <w:p>
      <w:pPr>
        <w:pStyle w:val="TextBody"/>
        <w:bidi w:val="0"/>
        <w:spacing w:before="120" w:after="0"/>
        <w:jc w:val="left"/>
        <w:rPr>
          <w:rFonts w:ascii="Times New Roman" w:hAnsi="Times New Roman"/>
          <w:sz w:val="20"/>
        </w:rPr>
      </w:pPr>
      <w:r>
        <w:rPr>
          <w:rFonts w:ascii="Times New Roman" w:hAnsi="Times New Roman"/>
          <w:sz w:val="20"/>
        </w:rPr>
        <w:t xml:space="preserve">Our company is led by an experienced management team with a proven track record, deep industry expertise and a forward-thinking approach to the business. The depth of experience within our management team serves as a significant source of differentiation. Our managements strategic direction is focused on innovation, enhancing operational efficiency and maximizing long-term shareholder value.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Strategies </w:t>
      </w:r>
    </w:p>
    <w:p>
      <w:pPr>
        <w:pStyle w:val="TextBody"/>
        <w:bidi w:val="0"/>
        <w:spacing w:before="120" w:after="0"/>
        <w:jc w:val="left"/>
        <w:rPr>
          <w:rFonts w:ascii="Times New Roman" w:hAnsi="Times New Roman"/>
          <w:sz w:val="20"/>
        </w:rPr>
      </w:pPr>
      <w:r>
        <w:rPr>
          <w:rFonts w:ascii="Times New Roman" w:hAnsi="Times New Roman"/>
          <w:sz w:val="20"/>
        </w:rPr>
        <w:t xml:space="preserve">We intend to leverage our brands to maintain our leadership position and expand our business through the following strategies.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Develop Premier Content for Target Audiences </w:t>
      </w:r>
    </w:p>
    <w:p>
      <w:pPr>
        <w:pStyle w:val="TextBody"/>
        <w:bidi w:val="0"/>
        <w:spacing w:before="120" w:after="0"/>
        <w:jc w:val="left"/>
        <w:rPr>
          <w:rFonts w:ascii="Times New Roman" w:hAnsi="Times New Roman"/>
          <w:sz w:val="20"/>
        </w:rPr>
      </w:pPr>
      <w:r>
        <w:rPr>
          <w:rFonts w:ascii="Times New Roman" w:hAnsi="Times New Roman"/>
          <w:sz w:val="20"/>
        </w:rPr>
        <w:t xml:space="preserve">Our programming will focus on core audiences in political news and opinion; business news and personal finance; golf and athletics participation; and sports and genre entertainment.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2024, news and sports content accounted for approximately 60% of our audience engagement. We believe these markets will remain core to our success, benefitting from Versants platforms strength and leadership across news and sports. MSNBC has ranked as a top two cable network by hours watched for each of the past seven years, CNBC is a recognized world leader in business news, and both USA Network and Golf Channel are top destinations for marquee sports programming.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invest in the high-quality news programming that has allowed us to build an engaged, loyal audience, and we will evaluate opportunities to secure additional sports rights that benefit from our broad reach and promotional platforms. We believe that by continuing to provide engaging news and sports programming, we will enhance our relationships with critical stakeholders, including consumers, distributors, advertisers, subscribers and licensees. </w:t>
      </w:r>
    </w:p>
    <w:p>
      <w:pPr>
        <w:pStyle w:val="TextBody"/>
        <w:bidi w:val="0"/>
        <w:spacing w:before="240" w:after="0"/>
        <w:jc w:val="left"/>
        <w:rPr>
          <w:rFonts w:ascii="Times New Roman" w:hAnsi="Times New Roman"/>
          <w:sz w:val="20"/>
        </w:rPr>
      </w:pPr>
      <w:r>
        <w:rPr>
          <w:rFonts w:ascii="Times New Roman" w:hAnsi="Times New Roman"/>
          <w:sz w:val="20"/>
        </w:rPr>
        <w:t xml:space="preserve">Through our entertainment cable networks and associated digital services, we attract some of the largest audiences industry-wide for prominent genres, notably crime, true crime, science fiction and pop culture programming. In 2024, Oxygen was the second most-viewed true crime network on TV and SYFY attracted double the audience of other science-fiction focused networks. We expect to continue investing in programming within these genres for distribution on our networks and digital platforms as well as through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Leverage our Brands and Content for Complementary and Incremental Distribution, Expanding Our Audience and Revenues </w:t>
      </w:r>
    </w:p>
    <w:p>
      <w:pPr>
        <w:pStyle w:val="TextBody"/>
        <w:bidi w:val="0"/>
        <w:spacing w:before="120" w:after="0"/>
        <w:jc w:val="left"/>
        <w:rPr>
          <w:rFonts w:ascii="Times New Roman" w:hAnsi="Times New Roman"/>
          <w:sz w:val="20"/>
        </w:rPr>
      </w:pPr>
      <w:r>
        <w:rPr>
          <w:rFonts w:ascii="Times New Roman" w:hAnsi="Times New Roman"/>
          <w:sz w:val="20"/>
        </w:rPr>
        <w:t xml:space="preserve">While we continue to believe that MVPD bundles provide high value to our consumers, we understand that audiences increasingly consume content across a variety of digital platforms. Through Versants premier programming and brands, we plan to expand our audience reach through digital platforms such as AVOD, SVOD and FAST, as well as other distribution methods, including OTA and live events. Building our presence on these platforms will further strengthen our business model. </w:t>
      </w:r>
    </w:p>
    <w:p>
      <w:pPr>
        <w:pStyle w:val="TextBody"/>
        <w:bidi w:val="0"/>
        <w:spacing w:before="360" w:after="0"/>
        <w:jc w:val="left"/>
        <w:rPr>
          <w:rFonts w:ascii="Times New Roman" w:hAnsi="Times New Roman"/>
          <w:b/>
          <w:i/>
          <w:sz w:val="20"/>
        </w:rPr>
      </w:pPr>
      <w:r>
        <w:rPr>
          <w:rFonts w:ascii="Times New Roman" w:hAnsi="Times New Roman"/>
          <w:b/>
          <w:i/>
          <w:sz w:val="20"/>
        </w:rPr>
        <w:t xml:space="preserve">Deepen Customer Relationships and Monetization through Complementary Transactional, Commerce and Experiential Services </w:t>
      </w:r>
    </w:p>
    <w:p>
      <w:pPr>
        <w:pStyle w:val="TextBody"/>
        <w:bidi w:val="0"/>
        <w:spacing w:before="120" w:after="0"/>
        <w:jc w:val="left"/>
        <w:rPr>
          <w:rFonts w:ascii="Times New Roman" w:hAnsi="Times New Roman"/>
          <w:sz w:val="20"/>
        </w:rPr>
      </w:pPr>
      <w:r>
        <w:rPr>
          <w:rFonts w:ascii="Times New Roman" w:hAnsi="Times New Roman"/>
          <w:sz w:val="20"/>
        </w:rPr>
        <w:t xml:space="preserve">Our digital platforms, led by GolfNow, Fandango, Rotten Tomatoes and SportsEngine, have successfully delivered new value-added, monetizable services for core audiences. We expect to continue growing and expanding these businesses, helping to fuel long-term success. These digital brands are leaders in their industries and complement our television networks. For example, GolfNow acquires customers efficiently through promotion and content integration on the Golf Channel, with its highly engaged audience of golf fans. GolfNow adds new monetization vehicles, largely transaction and technology fees, to Golf Channels distribution and advertising revenue. In addition, GolfNow usage enables additional consumer golf activity, which typically leads to increased viewership of the Golf Channel network. Fandangos leading ticketing service and the Fandango at Home media platforms complement our networks, engaging fans of entertainment content. SportsEngine enhances our sports leadership in the youth sports participation market and builds upon our relationships with sports viewers. We also see opportunities to continue to expand our product offerings leveraging other brands, as we have with CNBCs branded streaming services, investing club, podcasts, conferences and live events.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Pursue Disciplined Acquisitions and Investments </w:t>
      </w:r>
    </w:p>
    <w:p>
      <w:pPr>
        <w:pStyle w:val="TextBody"/>
        <w:bidi w:val="0"/>
        <w:spacing w:before="120" w:after="0"/>
        <w:jc w:val="left"/>
        <w:rPr>
          <w:rFonts w:ascii="Times New Roman" w:hAnsi="Times New Roman"/>
          <w:sz w:val="20"/>
        </w:rPr>
      </w:pPr>
      <w:r>
        <w:rPr>
          <w:rFonts w:ascii="Times New Roman" w:hAnsi="Times New Roman"/>
          <w:sz w:val="20"/>
        </w:rPr>
        <w:t xml:space="preserve">As a leader in our industry, we are well-positioned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top line trajectory and cash flow profile.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We operate in highly competitive markets. Our networks compete with other networks to obtain distribution on MVPDs, and ultimately for viewing by each distributors subscribers. Our networks also compete with other licensors of programming and related content to secure desired programming, as well as other sellers of advertising time and space, including other television networks, radio, newspapers, outdoor media and, increasingly, websites and social media platforms. The success of our businesses depends on our ability to license and produce content for our networks that is adequate in quantity and quality and will generate satisfactory viewer ratings.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Competition in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of distributing our networks to MVPDs is highly competitive. Our networks compete with other broadcast and cable networks to secure distribution agreements with MVPDs. Our ability to secure distribution agreements on terms favorable to our networks, depends primarily on the audience ratings and popularity of our networks, distribution fees charged and how our networks are positioned within MVPD bundles. Our contractual agreements with distributors are renewed or renegotiated from time to time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secure distribution agreements favorable to our networks is necessary to continue to generate distribution revenue and ensure the retention of our audiences. Shifting video consumption patterns, changes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distribution models, increased popularity of competing platforms and movements towards MVPD video channel tiering and a-la-carte options, may adversely affect our ability to obtain or maintain the distribution of our networks or to maintain contractual terms that are as favorable as those currently in 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Competition in Advertising </w:t>
      </w:r>
    </w:p>
    <w:p>
      <w:pPr>
        <w:pStyle w:val="TextBody"/>
        <w:bidi w:val="0"/>
        <w:spacing w:before="120" w:after="0"/>
        <w:jc w:val="left"/>
        <w:rPr>
          <w:rFonts w:ascii="Times New Roman" w:hAnsi="Times New Roman"/>
          <w:sz w:val="20"/>
        </w:rPr>
      </w:pPr>
      <w:r>
        <w:rPr>
          <w:rFonts w:ascii="Times New Roman" w:hAnsi="Times New Roman"/>
          <w:sz w:val="20"/>
        </w:rPr>
        <w:t xml:space="preserve">Our brands compete with other sellers of advertising time and space, including other networks distributed by MVPDs, streaming services, social media platforms, other online and mobile offerings, radio and newspapers. Competition for selling advertising is based primarily on the anticipated and actually delivered size and demographic characteristics of audiences as determined by various measurement services, price, the time of day when the advertising is to be aired or shown on a digital platform, competition from other cable networks, broadcast networks, cable television systems, direct broadcast satellite television, social and digital media and general economic conditions. Competition for audiences is based primarily on the selection of programming and content, the popularity and success of which depend on the reaction of our audience and consumers, which is often difficult to predict. </w:t>
      </w:r>
    </w:p>
    <w:p>
      <w:pPr>
        <w:pStyle w:val="TextBody"/>
        <w:bidi w:val="0"/>
        <w:spacing w:before="240" w:after="0"/>
        <w:jc w:val="left"/>
        <w:rPr>
          <w:rFonts w:ascii="Times New Roman" w:hAnsi="Times New Roman"/>
          <w:sz w:val="20"/>
        </w:rPr>
      </w:pPr>
      <w:r>
        <w:rPr>
          <w:rFonts w:ascii="Times New Roman" w:hAnsi="Times New Roman"/>
          <w:sz w:val="20"/>
        </w:rPr>
        <w:t xml:space="preserve">The willingness of advertisers to purchase advertising from us may be adversely affected by lower audience ratings at our networks or engagement with our digital platforms. Declines in audience ratings can be caused by increased competition for the leisure time of viewers and by audience fragmentation resulting from the increasing number of entertainment choices available, including content from streaming services, social media platforms and other digital sources. In addition, advertising revenue is adversely affected by the continuing use of technologies, such as DVR and video on demand services, which give consumers greater flexibility to watch programming on a time-delayed or on-demand basis or to fast-forward or skip advertisements within programming.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Competition in Licensing and Acquiring Programming and Related Content </w:t>
      </w:r>
    </w:p>
    <w:p>
      <w:pPr>
        <w:pStyle w:val="TextBody"/>
        <w:bidi w:val="0"/>
        <w:spacing w:before="120" w:after="0"/>
        <w:jc w:val="left"/>
        <w:rPr>
          <w:rFonts w:ascii="Times New Roman" w:hAnsi="Times New Roman"/>
          <w:sz w:val="20"/>
        </w:rPr>
      </w:pPr>
      <w:r>
        <w:rPr>
          <w:rFonts w:ascii="Times New Roman" w:hAnsi="Times New Roman"/>
          <w:sz w:val="20"/>
        </w:rPr>
        <w:t xml:space="preserve">We also compete with other licensors of programming and related content, including other television networks and media platforms to secure desired programming. The market for programming is very competitive, particularly for sports programming, where the cost for such programming is significant. To be competitive, we have to offer competitive rates, time periods, or exclusivity in our licensing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Competition in Consumer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Our digital platforms also include online businesses that compete with other businesses in the media and entertainment industry that offer similar services and resources. For example, Fandango Medias online business faces direct competition from other ticketing services and theater-specific digital applications that rely on sales of movie tickets to consumers, and through Rotten Tomatoes, faces direct competition from other film and television review aggregators and movie information sites that are resources for consumers seeking information on films.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We will be headquartered in New York City, New York and will lease our headquarters. Additionally, we will own a key operational hub located in Englewood Cliffs, New Jersey following the Separation. We also lease additional offices, studios, production facilities, among others, in numerous locations in the United States and around the world. </w:t>
      </w:r>
    </w:p>
    <w:p>
      <w:pPr>
        <w:pStyle w:val="TextBody"/>
        <w:bidi w:val="0"/>
        <w:spacing w:before="36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cyclical variations. While our business is generally not affected by seasonal variation in the calendar year, our revenue is subject to cyclical advertising patterns and changes in viewership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levels based on when we air certain sporting events or other content, including, for example, increases in viewership levels for certain of our networks due to increased audience interest in political coverage during election years.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w:t>
      </w:r>
    </w:p>
    <w:p>
      <w:pPr>
        <w:pStyle w:val="TextBody"/>
        <w:bidi w:val="0"/>
        <w:spacing w:before="120" w:after="0"/>
        <w:jc w:val="left"/>
        <w:rPr>
          <w:rFonts w:ascii="Times New Roman" w:hAnsi="Times New Roman"/>
          <w:sz w:val="20"/>
        </w:rPr>
      </w:pPr>
      <w:r>
        <w:rPr>
          <w:rFonts w:ascii="Times New Roman" w:hAnsi="Times New Roman"/>
          <w:sz w:val="20"/>
        </w:rPr>
        <w:t xml:space="preserve">Our businesses are subject to various federal and state laws and regulations, and in certain cases, international laws and regulations. In particular, the Communications Act, the Federal Trade Commission Act and regulations and policies of the FCC and the Federal Trade Commission (FTC) affect certain aspects of our networks in the United States. Beyond the more relevant regulations summarized below, legislators and regulators frequently consider changing, and sometimes do change, existing statutes, rules or regulations, or interpretations of existing statutes, rules or regulations, or prescribe new ones, any of which may significantly affect our businesses and ability to effectively compete. Legislators and regulators, along with some state attorneys general and foreign governmental authorities, also occasionally conduct inquiries and reviews regarding our services. State legislative and regulatory initiatives can create a patchwork of different and/or conflicting state requirements, such as with respect to privacy and consumer protection regulations, that can affect our businesses and ability to effectively compete.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Content Regulation </w:t>
      </w:r>
    </w:p>
    <w:p>
      <w:pPr>
        <w:pStyle w:val="TextBody"/>
        <w:bidi w:val="0"/>
        <w:spacing w:before="120" w:after="0"/>
        <w:jc w:val="left"/>
        <w:rPr>
          <w:rFonts w:ascii="Times New Roman" w:hAnsi="Times New Roman"/>
          <w:sz w:val="20"/>
        </w:rPr>
      </w:pPr>
      <w:r>
        <w:rPr>
          <w:rFonts w:ascii="Times New Roman" w:hAnsi="Times New Roman"/>
          <w:sz w:val="20"/>
        </w:rPr>
        <w:t xml:space="preserve">Our networks must provide closed captioning of programming for the hearing impaired and comply with other regulations designed to make our content more accessible. We must also provide closed captioning on certain video content that we offer through digital distribution methods. Additionally, some of our cable networks may be required to provide audio description for certain non-exempt programming for the visually impaired. Congress and the FCC periodically consider proposals to enhance these accessibility requirements. Some of those proposals, if adopted, could increase our obligations substantially. </w:t>
      </w:r>
    </w:p>
    <w:p>
      <w:pPr>
        <w:pStyle w:val="TextBody"/>
        <w:bidi w:val="0"/>
        <w:spacing w:before="240" w:after="0"/>
        <w:jc w:val="left"/>
        <w:rPr>
          <w:rFonts w:ascii="Times New Roman" w:hAnsi="Times New Roman"/>
          <w:sz w:val="20"/>
        </w:rPr>
      </w:pPr>
      <w:r>
        <w:rPr>
          <w:rFonts w:ascii="Times New Roman" w:hAnsi="Times New Roman"/>
          <w:sz w:val="20"/>
        </w:rPr>
        <w:t xml:space="preserve">In addition, FCC regulations require MVPDs to ensure that all commercials in the programming they distribute, including our cable networks, comply with specified volume standards, limit the amount of commercial matter that may be shown on cable networks during programming originally produced and aired primarily for an audience of children 12 years of age or under, and prohibit us from including false or simulated emergency alert codes or attention signals in our content in non-emergency conditions under any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Program Access </w:t>
      </w:r>
    </w:p>
    <w:p>
      <w:pPr>
        <w:pStyle w:val="TextBody"/>
        <w:bidi w:val="0"/>
        <w:spacing w:before="120" w:after="0"/>
        <w:jc w:val="left"/>
        <w:rPr>
          <w:rFonts w:ascii="Times New Roman" w:hAnsi="Times New Roman"/>
          <w:sz w:val="20"/>
        </w:rPr>
      </w:pPr>
      <w:r>
        <w:rPr>
          <w:rFonts w:ascii="Times New Roman" w:hAnsi="Times New Roman"/>
          <w:sz w:val="20"/>
        </w:rPr>
        <w:t xml:space="preserve">FCC regulations restrict cable operator-affiliated cable networks from certain discriminatory practices with respect to distribution by MVPDs.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Privacy and Data Protection Regulation </w:t>
      </w:r>
    </w:p>
    <w:p>
      <w:pPr>
        <w:pStyle w:val="TextBody"/>
        <w:bidi w:val="0"/>
        <w:spacing w:before="120" w:after="0"/>
        <w:jc w:val="left"/>
        <w:rPr>
          <w:rFonts w:ascii="Times New Roman" w:hAnsi="Times New Roman"/>
          <w:sz w:val="20"/>
        </w:rPr>
      </w:pPr>
      <w:r>
        <w:rPr>
          <w:rFonts w:ascii="Times New Roman" w:hAnsi="Times New Roman"/>
          <w:sz w:val="20"/>
        </w:rPr>
        <w:t xml:space="preserve">Our businesses are subject to laws and regulations that impose various restrictions and obligations related to privacy and the processing of individuals personal information. In the United States, federal privacy laws and regulations, such as those found within the Communications Act or the Video Privacy Protection Act, restrict companies collection, use, disclosure and retention of personal information. The proliferation of laws at the state level has expanded consumers rights to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 </w:t>
      </w:r>
    </w:p>
    <w:p>
      <w:pPr>
        <w:pStyle w:val="TextBody"/>
        <w:bidi w:val="0"/>
        <w:spacing w:before="240" w:after="0"/>
        <w:jc w:val="left"/>
        <w:rPr>
          <w:rFonts w:ascii="Times New Roman" w:hAnsi="Times New Roman"/>
          <w:sz w:val="20"/>
        </w:rPr>
      </w:pPr>
      <w:r>
        <w:rPr>
          <w:rFonts w:ascii="Times New Roman" w:hAnsi="Times New Roman"/>
          <w:sz w:val="20"/>
        </w:rPr>
        <w:t xml:space="preserve">Some of our businesses are also subject to the FTCs general oversight of consumer privacy protections through its enforcement authority over unfair and deceptive acts or practices, as well as through its enforcement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authority over the Childrens Online Privacy Protection Act. The FTC has sought to expand its authority in this area through various rulemakings related to general privacy, targeted advertising and childrens privacy. There has been an increased focus on childrens privacy at both the state and federal levels within the United States, as well as internationally. These new laws may require changes to our products and services and could adversely affect our advertising businesses.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many international data protection laws, some federal laws, and all 50 U.S. states have security breach notification requirements that obligate businesses to provide notice to consumers and government agencies if certain information has been accessed or exfiltrated by an unauthorized party; some of these laws also require documented information security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Consumer Protection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of marketing and selling goods and services to consumers is subject to a wide range of laws and regulations intended to protect consumers from false and misleading advertising, unfair trade practices and other risks. Our digital businesses, in particular, are subject to a variety of federal and state regulations and laws applicable to negative option agreements (including, auto-renewing subscription programs), disclosure of all mandatory fees (hidden fee or junk fee laws), notification of in-application purchases and convenience and processing charges on tickets. These and other consumer protection laws and regulations are enforced at the federal level by the FTC, the FCC and other administrative agencies, and at the state and local level by state attorneys general and numerous other law enforcement and administrative departments and agencies. We have in the past and may in the future be subject to a variety of claims under such regulations and laws. Moreover, consumer protection laws are constantly evolving and we cannot predict the impact of any future regulatory changes and enforcement priorities on our marketing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Regulations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U.S. states and localities, and various regulatory authorities actively regulate other aspects of our businesses, such as child protection, user-generated content, advertising and competition in the jurisdictions in which we operate. We are occasionally subject to enforcement actions and investigations at the FCC and other federal, state and local agencies, as well as foreign governments and regulatory authorities, which can result in fines or being subject to sanctions.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w:t>
      </w:r>
    </w:p>
    <w:p>
      <w:pPr>
        <w:pStyle w:val="TextBody"/>
        <w:bidi w:val="0"/>
        <w:spacing w:before="120" w:after="0"/>
        <w:jc w:val="left"/>
        <w:rPr>
          <w:rFonts w:ascii="Times New Roman" w:hAnsi="Times New Roman"/>
          <w:sz w:val="20"/>
        </w:rPr>
      </w:pPr>
      <w:r>
        <w:rPr>
          <w:rFonts w:ascii="Times New Roman" w:hAnsi="Times New Roman"/>
          <w:sz w:val="20"/>
        </w:rPr>
        <w:t xml:space="preserve">As of    , 2025, we had approximately full-time and part-time employees calculated on a full-time equivalent basis. Approximately % of our employees were located in over countries outside the United States. We also use freelance and temporary employees in the normal course of our business. A small portion of our full-time U.S. employees are unionized, and many freelance, technical, production and editorial personnel, as well as some on-air employees, are covered by collective bargaining agreements or work councils. Outside the United States, employees in certain countries, particularly in Europe, are represented by an employee representative organization, such as a union, works council or employee association. Our Company has been built on a foundation of respect, integrity and trust, and we are committed to creating and fostering a work environment that promotes those values.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 and Welfare Benefits </w:t>
      </w:r>
    </w:p>
    <w:p>
      <w:pPr>
        <w:pStyle w:val="TextBody"/>
        <w:bidi w:val="0"/>
        <w:spacing w:before="120" w:after="0"/>
        <w:jc w:val="left"/>
        <w:rPr>
          <w:rFonts w:ascii="Times New Roman" w:hAnsi="Times New Roman"/>
          <w:sz w:val="20"/>
        </w:rPr>
      </w:pPr>
      <w:r>
        <w:rPr>
          <w:rFonts w:ascii="Times New Roman" w:hAnsi="Times New Roman"/>
          <w:sz w:val="20"/>
        </w:rPr>
        <w:t xml:space="preserve">We expect to offer a robust portfolio of health and welfare programs and solutions designed to meet the unique needs of our employees and their families, delivered through a consistent and seamless member experience. We anticipate that our offerings will include comprehensive and affordable healthcare coverage options along with a variety of additional tools and resources, including access to dedicated healthcare navigators, expert medical opinion services and virtual primary care services. In addition, we expect to offer comprehensive family planning options, including for adoption and surrogacy, and provide specialized support teams to help employees manage all stages in the family planning journey including parenthood.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also expect to invest in the emotional wellbeing of our employees and offer a broad array of tools and resources such as our Employee Assistance Program, which provides personal counseling sessions to support employees and their families and provide problem-solving support for a broad range of issues, including stress, anxiety, depression, substance use and more. We anticipate offering various digital emotional well-being tools, including child learning and behavior support, meditation, stress management, sleep issues, depression, chronic pain and substance use.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Our companys intellectual property portfolio is one of our most valuable assets, encompassing trademarks, copyrights and trade secrets that support our businesses. The protection and enhancement of these intellectual property rights are crucial for maintaining our brand integrity and market position. We own, or hold exclusive licenses to, numerous trademarks covering certain of our network names, logos and program titles. Many of these trademarks are registered across various jurisdictions. These trademarks help distinguish our high-quality content and ensure that viewers can reliably associate our services with our brands. We own the copyrights in a vast library of works, including original programming, digital media, articles and audiovisual content, all of which contribute to our diverse offerings in news, sports and entertainment. These copyrights provide us exclusive rights to distribute and monetize our creative works.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seek to protect our trade secrets, encompassing confidential business information and processes, through internal policies and agreements which are designed to prevent unauthorized use or disclosure. The investment in and protection of our intellectual property rights are pivotal to sustaining our growth and development in the media industry. We actively monitor and enforce these rights to prevent infringement, misappropriation, dilution and other unauthorized usage and protect the longevity and success of our businesses. For a discussion of associated risks, see Risk FactorsRisks Relating to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We are involved, from time to time, in litigation, other legal claims, regulatory actions and other proceedings or actions by governmental authorities involving matters associated with or incidental to our business and our property in the ordinary course, both in the United States and in foreign countries. See Note 9 to our audited combined financial statements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5" w:name="tx894612_11"/>
      <w:bookmarkEnd w:id="15"/>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Following the Separation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as of the date of this information statement, regarding certain individuals who are expected to serve as our executive officers following the Separation.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5"/>
        <w:gridCol w:w="204"/>
        <w:gridCol w:w="1326"/>
        <w:gridCol w:w="204"/>
        <w:gridCol w:w="6226"/>
      </w:tblGrid>
      <w:tr>
        <w:trPr/>
        <w:tc>
          <w:tcPr>
            <w:tcW w:w="22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226" w:type="dxa"/>
            <w:tcBorders/>
            <w:vAlign w:val="center"/>
          </w:tcPr>
          <w:p>
            <w:pPr>
              <w:pStyle w:val="TableContents"/>
              <w:bidi w:val="0"/>
              <w:spacing w:before="0" w:after="283"/>
              <w:jc w:val="left"/>
              <w:rPr>
                <w:sz w:val="4"/>
                <w:szCs w:val="4"/>
              </w:rPr>
            </w:pPr>
            <w:r>
              <w:rPr>
                <w:sz w:val="4"/>
                <w:szCs w:val="4"/>
              </w:rPr>
            </w:r>
          </w:p>
        </w:tc>
      </w:tr>
      <w:tr>
        <w:trPr/>
        <w:tc>
          <w:tcPr>
            <w:tcW w:w="224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204" w:type="dxa"/>
            <w:tcBorders/>
            <w:vAlign w:val="bottom"/>
          </w:tcPr>
          <w:p>
            <w:pPr>
              <w:pStyle w:val="TableContents"/>
              <w:bidi w:val="0"/>
              <w:spacing w:before="0" w:after="283"/>
              <w:jc w:val="left"/>
              <w:rPr/>
            </w:pPr>
            <w:r>
              <w:rPr/>
              <w:t>  </w:t>
            </w:r>
          </w:p>
        </w:tc>
        <w:tc>
          <w:tcPr>
            <w:tcW w:w="13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204" w:type="dxa"/>
            <w:tcBorders/>
            <w:vAlign w:val="bottom"/>
          </w:tcPr>
          <w:p>
            <w:pPr>
              <w:pStyle w:val="TableContents"/>
              <w:bidi w:val="0"/>
              <w:spacing w:before="0" w:after="283"/>
              <w:jc w:val="left"/>
              <w:rPr/>
            </w:pPr>
            <w:r>
              <w:rPr/>
              <w:t>  </w:t>
            </w:r>
          </w:p>
        </w:tc>
        <w:tc>
          <w:tcPr>
            <w:tcW w:w="622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2245" w:type="dxa"/>
            <w:tcBorders/>
          </w:tcPr>
          <w:p>
            <w:pPr>
              <w:pStyle w:val="TableContents"/>
              <w:bidi w:val="0"/>
              <w:spacing w:before="0" w:after="283"/>
              <w:jc w:val="left"/>
              <w:rPr/>
            </w:pPr>
            <w:r>
              <w:rPr/>
              <w:t>Mark Lazarus</w:t>
            </w:r>
          </w:p>
        </w:tc>
        <w:tc>
          <w:tcPr>
            <w:tcW w:w="204" w:type="dxa"/>
            <w:tcBorders/>
            <w:vAlign w:val="bottom"/>
          </w:tcPr>
          <w:p>
            <w:pPr>
              <w:pStyle w:val="TableContents"/>
              <w:bidi w:val="0"/>
              <w:spacing w:before="0" w:after="283"/>
              <w:jc w:val="left"/>
              <w:rPr/>
            </w:pPr>
            <w:r>
              <w:rPr/>
              <w:t>  </w:t>
            </w:r>
          </w:p>
        </w:tc>
        <w:tc>
          <w:tcPr>
            <w:tcW w:w="132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226" w:type="dxa"/>
            <w:tcBorders/>
          </w:tcPr>
          <w:p>
            <w:pPr>
              <w:pStyle w:val="TableContents"/>
              <w:bidi w:val="0"/>
              <w:spacing w:before="0" w:after="283"/>
              <w:jc w:val="left"/>
              <w:rPr/>
            </w:pPr>
            <w:r>
              <w:rPr/>
              <w:t>Chief Executive Officer</w:t>
            </w:r>
          </w:p>
        </w:tc>
      </w:tr>
      <w:tr>
        <w:trPr/>
        <w:tc>
          <w:tcPr>
            <w:tcW w:w="2245" w:type="dxa"/>
            <w:tcBorders/>
          </w:tcPr>
          <w:p>
            <w:pPr>
              <w:pStyle w:val="TableContents"/>
              <w:bidi w:val="0"/>
              <w:spacing w:before="0" w:after="283"/>
              <w:jc w:val="left"/>
              <w:rPr/>
            </w:pPr>
            <w:r>
              <w:rPr/>
              <w:t>Anand M. Kini</w:t>
            </w:r>
          </w:p>
        </w:tc>
        <w:tc>
          <w:tcPr>
            <w:tcW w:w="204" w:type="dxa"/>
            <w:tcBorders/>
            <w:vAlign w:val="bottom"/>
          </w:tcPr>
          <w:p>
            <w:pPr>
              <w:pStyle w:val="TableContents"/>
              <w:bidi w:val="0"/>
              <w:spacing w:before="0" w:after="283"/>
              <w:jc w:val="left"/>
              <w:rPr/>
            </w:pPr>
            <w:r>
              <w:rPr/>
              <w:t>  </w:t>
            </w:r>
          </w:p>
        </w:tc>
        <w:tc>
          <w:tcPr>
            <w:tcW w:w="132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226" w:type="dxa"/>
            <w:tcBorders/>
          </w:tcPr>
          <w:p>
            <w:pPr>
              <w:pStyle w:val="TableContents"/>
              <w:bidi w:val="0"/>
              <w:spacing w:before="0" w:after="283"/>
              <w:jc w:val="left"/>
              <w:rPr/>
            </w:pPr>
            <w:r>
              <w:rPr/>
              <w:t>Chief Financial Officer and Chief Operating Officer</w:t>
            </w:r>
          </w:p>
        </w:tc>
      </w:tr>
      <w:tr>
        <w:trPr/>
        <w:tc>
          <w:tcPr>
            <w:tcW w:w="2245" w:type="dxa"/>
            <w:tcBorders/>
          </w:tcPr>
          <w:p>
            <w:pPr>
              <w:pStyle w:val="TableContents"/>
              <w:bidi w:val="0"/>
              <w:spacing w:before="0" w:after="283"/>
              <w:jc w:val="left"/>
              <w:rPr/>
            </w:pPr>
            <w:r>
              <w:rPr/>
              <w:t>Jordan R. Fasbender</w:t>
            </w:r>
          </w:p>
        </w:tc>
        <w:tc>
          <w:tcPr>
            <w:tcW w:w="204" w:type="dxa"/>
            <w:tcBorders/>
            <w:vAlign w:val="bottom"/>
          </w:tcPr>
          <w:p>
            <w:pPr>
              <w:pStyle w:val="TableContents"/>
              <w:bidi w:val="0"/>
              <w:spacing w:before="0" w:after="283"/>
              <w:jc w:val="left"/>
              <w:rPr/>
            </w:pPr>
            <w:r>
              <w:rPr/>
              <w:t>  </w:t>
            </w:r>
          </w:p>
        </w:tc>
        <w:tc>
          <w:tcPr>
            <w:tcW w:w="132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226" w:type="dxa"/>
            <w:tcBorders/>
          </w:tcPr>
          <w:p>
            <w:pPr>
              <w:pStyle w:val="TableContents"/>
              <w:bidi w:val="0"/>
              <w:spacing w:before="0" w:after="283"/>
              <w:jc w:val="left"/>
              <w:rPr/>
            </w:pPr>
            <w:r>
              <w:rPr/>
              <w:t>General Counsel and Corporate Secretary</w:t>
            </w:r>
          </w:p>
        </w:tc>
      </w:tr>
    </w:tbl>
    <w:p>
      <w:pPr>
        <w:pStyle w:val="TextBody"/>
        <w:bidi w:val="0"/>
        <w:spacing w:before="240" w:after="0"/>
        <w:jc w:val="left"/>
        <w:rPr>
          <w:rFonts w:ascii="Times New Roman" w:hAnsi="Times New Roman"/>
          <w:sz w:val="20"/>
        </w:rPr>
      </w:pPr>
      <w:r>
        <w:rPr>
          <w:rFonts w:ascii="Times New Roman" w:hAnsi="Times New Roman"/>
          <w:i/>
          <w:sz w:val="20"/>
        </w:rPr>
        <w:t>Mark Lazarus</w:t>
      </w:r>
      <w:r>
        <w:rPr>
          <w:rFonts w:ascii="Times New Roman" w:hAnsi="Times New Roman"/>
          <w:sz w:val="20"/>
        </w:rPr>
        <w:t xml:space="preserve"> will be the Chief Executive Officer of Versant. Mr. Lazarus has served in various roles at NBCUniversal since 2011, including Chairman of NBCUniversal Media Group where he oversaw the companys TV and Streaming platforms, distribution and monetization. Previously, Mr. Lazarus was Chairman, NBCUniversal Broadcast, Entertainment and Lifestyle Group, Sports and News from 2011 to 2016. Prior to joining NBCUniversal, Mr. Lazarus was President of Media and Marketing at CSE from 2008 to 2010 and served as President of Turner Entertainment Group from 2003 to 2008. Mr. Lazarus is on the Board of Governors of the Boys and Girls Clubs of America and serves on the board of directors for the East Lake Foundation and Hilton Grand Vacations. He is a graduate of Vanderbilt University. </w:t>
      </w:r>
    </w:p>
    <w:p>
      <w:pPr>
        <w:pStyle w:val="TextBody"/>
        <w:bidi w:val="0"/>
        <w:spacing w:before="240" w:after="0"/>
        <w:jc w:val="left"/>
        <w:rPr>
          <w:rFonts w:ascii="Times New Roman" w:hAnsi="Times New Roman"/>
          <w:sz w:val="20"/>
        </w:rPr>
      </w:pPr>
      <w:r>
        <w:rPr>
          <w:rFonts w:ascii="Times New Roman" w:hAnsi="Times New Roman"/>
          <w:i/>
          <w:sz w:val="20"/>
        </w:rPr>
        <w:t>Anand M. Kini</w:t>
      </w:r>
      <w:r>
        <w:rPr>
          <w:rFonts w:ascii="Times New Roman" w:hAnsi="Times New Roman"/>
          <w:sz w:val="20"/>
        </w:rPr>
        <w:t xml:space="preserve"> will be the Chief Financial Officer and Chief Operating Officer of Versant. Mr. Kini has served as Executive Vice President, Corporate Strategy, Comcast Corporation since 2011 and Chief Financial Officer, NBCUniversal since 2015. He joined NBCUniversal in 2011 from Comcast Cable, where he served as Senior Vice President of Finance from 2007 to 2011. Prior to that, Mr. Kini worked at Activision Blizzard from 2004 to 2007 and The Walt Disney Company from 2002 to 2004 in a variety of Finance and Strategy management roles. Mr. Kini serves on the board of directors for the Harvard Business School Club of New York City. He holds a B.A. in Economics from Wesleyan University and received his M.B.A. with High Distinction from Harvard Business School. </w:t>
      </w:r>
    </w:p>
    <w:p>
      <w:pPr>
        <w:pStyle w:val="TextBody"/>
        <w:bidi w:val="0"/>
        <w:spacing w:before="240" w:after="0"/>
        <w:jc w:val="left"/>
        <w:rPr>
          <w:rFonts w:ascii="Times New Roman" w:hAnsi="Times New Roman"/>
          <w:sz w:val="20"/>
        </w:rPr>
      </w:pPr>
      <w:r>
        <w:rPr>
          <w:rFonts w:ascii="Times New Roman" w:hAnsi="Times New Roman"/>
          <w:i/>
          <w:sz w:val="20"/>
        </w:rPr>
        <w:t>Jordan R. Fasbender</w:t>
      </w:r>
      <w:r>
        <w:rPr>
          <w:rFonts w:ascii="Times New Roman" w:hAnsi="Times New Roman"/>
          <w:sz w:val="20"/>
        </w:rPr>
        <w:t xml:space="preserve"> will be the General Counsel and Corporate Secretary of Versant. Ms. Fasbender served as Executive Vice President, Chief Legal Officer and Corporate Secretary of iHeartMedia, Inc., an audio media and entertainment company, from 2024 to 2025. Ms. Fasbender previously served as Executive Vice President, General Counsel and Secretary of iHeartMedia, Inc. from 2022 to 2024 and Executive Vice President, Deputy General Counsel and Secretary from 2019 to 2021. From 2013 to 2019, Ms. Fasbender served as Senior Vice President and Associate General Counsel at Twenty-First Century Fox, Inc. From 2008 to 2013, Ms. Fasbender was an Associate at Weil, Gotshal &amp; Manges LLP, an international law firm. Ms. Fasbender holds a B.A. from Emory University and a J.D. from Fordham School of Law.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Following the Separation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individuals are expected to serve as members of our Board following the Separation.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5"/>
        <w:gridCol w:w="204"/>
        <w:gridCol w:w="1530"/>
        <w:gridCol w:w="204"/>
        <w:gridCol w:w="6022"/>
      </w:tblGrid>
      <w:tr>
        <w:trPr/>
        <w:tc>
          <w:tcPr>
            <w:tcW w:w="22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022" w:type="dxa"/>
            <w:tcBorders/>
            <w:vAlign w:val="center"/>
          </w:tcPr>
          <w:p>
            <w:pPr>
              <w:pStyle w:val="TableContents"/>
              <w:bidi w:val="0"/>
              <w:spacing w:before="0" w:after="283"/>
              <w:jc w:val="left"/>
              <w:rPr>
                <w:sz w:val="4"/>
                <w:szCs w:val="4"/>
              </w:rPr>
            </w:pPr>
            <w:r>
              <w:rPr>
                <w:sz w:val="4"/>
                <w:szCs w:val="4"/>
              </w:rPr>
            </w:r>
          </w:p>
        </w:tc>
      </w:tr>
      <w:tr>
        <w:trPr/>
        <w:tc>
          <w:tcPr>
            <w:tcW w:w="224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204" w:type="dxa"/>
            <w:tcBorders/>
            <w:vAlign w:val="bottom"/>
          </w:tcPr>
          <w:p>
            <w:pPr>
              <w:pStyle w:val="TableContents"/>
              <w:bidi w:val="0"/>
              <w:spacing w:before="0" w:after="283"/>
              <w:jc w:val="left"/>
              <w:rPr/>
            </w:pPr>
            <w:r>
              <w:rPr/>
              <w:t>  </w:t>
            </w:r>
          </w:p>
        </w:tc>
        <w:tc>
          <w:tcPr>
            <w:tcW w:w="15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204" w:type="dxa"/>
            <w:tcBorders/>
            <w:vAlign w:val="bottom"/>
          </w:tcPr>
          <w:p>
            <w:pPr>
              <w:pStyle w:val="TableContents"/>
              <w:bidi w:val="0"/>
              <w:spacing w:before="0" w:after="283"/>
              <w:jc w:val="left"/>
              <w:rPr/>
            </w:pPr>
            <w:r>
              <w:rPr/>
              <w:t>  </w:t>
            </w:r>
          </w:p>
        </w:tc>
        <w:tc>
          <w:tcPr>
            <w:tcW w:w="602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2245" w:type="dxa"/>
            <w:tcBorders/>
          </w:tcPr>
          <w:p>
            <w:pPr>
              <w:pStyle w:val="TableContents"/>
              <w:bidi w:val="0"/>
              <w:spacing w:before="0" w:after="283"/>
              <w:jc w:val="left"/>
              <w:rPr/>
            </w:pPr>
            <w:r>
              <w:rPr/>
              <w:t>David Novak</w:t>
            </w:r>
          </w:p>
        </w:tc>
        <w:tc>
          <w:tcPr>
            <w:tcW w:w="204" w:type="dxa"/>
            <w:tcBorders/>
            <w:vAlign w:val="bottom"/>
          </w:tcPr>
          <w:p>
            <w:pPr>
              <w:pStyle w:val="TableContents"/>
              <w:bidi w:val="0"/>
              <w:spacing w:before="0" w:after="283"/>
              <w:jc w:val="left"/>
              <w:rPr/>
            </w:pPr>
            <w:r>
              <w:rPr/>
              <w:t>  </w:t>
            </w:r>
          </w:p>
        </w:tc>
        <w:tc>
          <w:tcPr>
            <w:tcW w:w="153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22" w:type="dxa"/>
            <w:tcBorders/>
          </w:tcPr>
          <w:p>
            <w:pPr>
              <w:pStyle w:val="TableContents"/>
              <w:bidi w:val="0"/>
              <w:spacing w:before="0" w:after="283"/>
              <w:jc w:val="left"/>
              <w:rPr/>
            </w:pPr>
            <w:r>
              <w:rPr/>
              <w:t>Chairman of the Board</w:t>
            </w:r>
          </w:p>
        </w:tc>
      </w:tr>
    </w:tbl>
    <w:p>
      <w:pPr>
        <w:pStyle w:val="TextBody"/>
        <w:bidi w:val="0"/>
        <w:spacing w:before="240" w:after="0"/>
        <w:jc w:val="left"/>
        <w:rPr>
          <w:rFonts w:ascii="Times New Roman" w:hAnsi="Times New Roman"/>
          <w:sz w:val="20"/>
        </w:rPr>
      </w:pPr>
      <w:r>
        <w:rPr>
          <w:rFonts w:ascii="Times New Roman" w:hAnsi="Times New Roman"/>
          <w:sz w:val="20"/>
        </w:rPr>
        <w:t xml:space="preserve">Set forth below is additional information regarding the directors identified above, as well as a description of the specific skills and qualifications such candidates are expected to provide the Board of Directors of Versant. </w:t>
      </w:r>
    </w:p>
    <w:p>
      <w:pPr>
        <w:pStyle w:val="TextBody"/>
        <w:bidi w:val="0"/>
        <w:spacing w:before="240" w:after="0"/>
        <w:jc w:val="left"/>
        <w:rPr>
          <w:rFonts w:ascii="Times New Roman" w:hAnsi="Times New Roman"/>
          <w:sz w:val="20"/>
        </w:rPr>
      </w:pPr>
      <w:r>
        <w:rPr>
          <w:rFonts w:ascii="Times New Roman" w:hAnsi="Times New Roman"/>
          <w:i/>
          <w:sz w:val="20"/>
        </w:rPr>
        <w:t xml:space="preserve">David Novak </w:t>
      </w:r>
      <w:r>
        <w:rPr>
          <w:rFonts w:ascii="Times New Roman" w:hAnsi="Times New Roman"/>
          <w:sz w:val="20"/>
        </w:rPr>
        <w:t xml:space="preserve">will be the Chairman of our Board. Mr. Novak has served as a director of Comcast Corporation since December 2016. Prior to that, Mr. Novak was the Chief Executive Officer of YUM! Brands, Inc. from 2000 to 2014, the Chairman of its Board from 2001 to 2014 and the Executive Chairman of its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from 2015 to 2016. Mr. Novak is the founder of David Novak Leadership, Inc., which provides online leadership training to transform managers into confident, capable engaging leaders, and currently serves on the Board of Lift-a-Life Novak Family Foundation. Mr. Novak is a graduate of the University of Missouri. We believe that Mr. Novak is qualified to serve as the Chairman of our Board given his previous executive leadership positions, including as Chairman and CEO of YUM! Brands, one of the worlds largest fast-food restaurant operators, and his wealth of knowledge on marketing, consumer brands, global growth strategies and international business. Mr. Novak also has deep experience with corporate spin-offs, having led the separation of PepsiCos restaurant division to form Tricon Global Restaurants, which later became YUM! Brands. Throughout his career, Mr. Novak has demonstrated an exceptional ability to lead and manage large teams, uniting employees through increased engagement, recognition and talent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Structure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Separation, our Board is expected to consist of    members. Each director will be elected annually by the shareholders at each annual meeting of shareholders for a term expiring at the next annual meeting of shareholders. We have not yet set the date of the first annual meeting of shareholders to be held following the Separation. </w:t>
      </w:r>
    </w:p>
    <w:p>
      <w:pPr>
        <w:pStyle w:val="TextBody"/>
        <w:bidi w:val="0"/>
        <w:spacing w:before="360" w:after="0"/>
        <w:jc w:val="left"/>
        <w:rPr>
          <w:rFonts w:ascii="Times New Roman" w:hAnsi="Times New Roman"/>
          <w:b/>
          <w:sz w:val="20"/>
        </w:rPr>
      </w:pPr>
      <w:r>
        <w:rPr>
          <w:rFonts w:ascii="Times New Roman" w:hAnsi="Times New Roman"/>
          <w:b/>
          <w:sz w:val="20"/>
        </w:rPr>
        <w:t xml:space="preserve">Board Independence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Separation, our Board will consist of    members. Our Board expects to determine that each of    ,    and    is independent under the rules of     . In determining independence, the Board will consider whether a director has any relationship that would interfere with such directors exercise of independent judgment in carrying out the responsibilities of a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Separation, we intend to adopt, subject to approval by our Board, a director compensation policy that will govern the annual compensation paid to our non-employee directors following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Our non-employee director compensation policy will be determined by our Compensation Committee and will provide each of our non-employee directors with annual retainers for service on our Board (including the committees thereof), which we expect to be paid as a mix of cash payments and annual equity grants. In addition, each director will be reimbursed for out-of-pocket expenses in connection with his or her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Committees </w:t>
      </w:r>
    </w:p>
    <w:p>
      <w:pPr>
        <w:pStyle w:val="TextBody"/>
        <w:bidi w:val="0"/>
        <w:spacing w:before="120" w:after="0"/>
        <w:jc w:val="left"/>
        <w:rPr>
          <w:rFonts w:ascii="Times New Roman" w:hAnsi="Times New Roman"/>
          <w:sz w:val="20"/>
        </w:rPr>
      </w:pPr>
      <w:r>
        <w:rPr>
          <w:rFonts w:ascii="Times New Roman" w:hAnsi="Times New Roman"/>
          <w:sz w:val="20"/>
        </w:rPr>
        <w:t xml:space="preserve">Effective upon the completion of the Separation, our Board will have an Audit Committee, a Compensation Committee and a Governance Committee, each of which will operate under written charters approved by the full Board. In accordance with applicable stock exchange rules, all of the directors who serve on each such Committee will be independent from us and our management. The charters of all the Committees will be posted on our website after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Each committee will operate under a written charter that details the scope of authority, composition and procedures of the committee. Each committee may, when it deems appropriate and in the best interest of the Company, delegate authority to subcommittees or the Chair of such committee. The committees will report to the Board periodically, review and reassess the adequacy of their charters and recommend any proposed changes to the Board for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members of our Audit Committee are expected to be     ,    and    .    is expected to be the Chair of our Audit Committee. We expect that each member of our Audit Committee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meet the requirements for independence under applicable stock exchange listing standards and SEC rules and regulations. We expect that all the members of our Audit Committee will be financially sophisticated. In addition, we expect to determine that     is an audit committee financial expert as defined in Item 407(d)(5)(ii) of Regulation S-K promulgated under the Securities Act. This designation does not impose on such director any duties, obligations or liabilities that are greater than are generally imposed on members of our Audit Committee and our Board. The responsibilities of the Audit Committee will be more fully described in our Audit Committee charter and will include, among other duties: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compensating, retaining and overseeing the independent auditors for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preapproving all audit, audit-related and permissible non-audit services to be provided by the independent auditors;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independent auditors qualifications, performance and independence;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our internal and independent auditors our annual and quarterly statements prior to filing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our internal and independent auditors the annual management assessment and audit of the effectiveness of our internal control over financial reporting prior to filing our annual statements with the SEC to the extent required under applicable SEC rules;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a report to shareholders annually for inclusion in our proxy statement.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members of our Compensation Committee are expected to be    ,    and     .    is expected to be the Chair of the Compensation Committee. We expect that each member of the Compensation Committee will meet the requirements for independence under applicable stock exchange listing standards and SEC rules and regulations. The responsibilities of the Compensation Committee will be more fully described in the Compensation Committee Charter and will include, among other duties: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compensation and benefits plans and policies generally, including reviewing and approving any equity-based compensation plans and executive incentive compensation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for all of our Section 16 officers, including the Chief Executive Officer, and such other senior executives designated by the committee, his or her (i) annual base salary level, (ii) annual incentive compensation, (iii) long-term incentive compensation, (iv) employment, severance and change-in-control agreements, if any, (v) retirement benefits and (vi) any other compensation, perquisites or special benefit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for approval by our Board compensation for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programs and strategies related to human capital management, including with respect to talent recruitment, development and retention, employee engagement and workforce composition.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a report on executive compensation and reviewing the Compensation Discussion and Analysis disclosure that, in each case, are required to be included in our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annually assessing whether any risks in our compensation and practices for our employees are reasonably likely to have a material adverse effect on Versant;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reporting to our Board periodically, which shall include a review of any recommendations or issues that arise with respect to compensation and benefit plans and policies, executive compensation, other matters, as well as any other matters that the Compensation Committee deems appropriate or is requested to be included by our Board.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members of our Governance Committee are expected to be    ,    and    .    is expected to be the Chair of our Governance Committee.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expect that each member of the Governance Committee will meet the requirements for independence under applicable stock exchange listing standards. The responsibilities of the Governance Committee will be more fully described in our Governance Committee Charter and will include, among other duties: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criteria for membership for our Board and its committees and recommending individuals for membership on our Board and directors for appointment to the committees of our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periodically reviewing the size and responsibilities of our Board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our Board the Corporate Governance Guidelines and Code of Conduct and periodically reviewing and reassessing the adequacy of such Corporate Governance Guidelines and Code of Conduct;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reporting to our Board periodically, including a review of any recommendations or issues that arise with respect to our Board or committee nominees or membership, the Board performance, corporate governance or any other matters that the committee deems appropriate or is requested to be included by our Board.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Code of Conduct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Separation, our Board will adopt a Code of Conduct that will apply to all of our employees, officers and directors. Upon completion of the Separation, the full text of our Code of Conduct will be posted on the investor relations section of our website. We intend to satisfy the disclosure requirement under Item 5.05 of Form 8-K by disclosing future amendments to our Code of Conduct, or any waivers of such code, on our website or in public filings.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We do not expect any of our executive officers to serve as a member of a compensation committee (or if no committee performs that function, the Board) of any other entity that has an executive officer serving as a member of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6" w:name="tx894612_12"/>
      <w:bookmarkEnd w:id="16"/>
      <w:r>
        <w:rPr>
          <w:rFonts w:ascii="Times New Roman" w:hAnsi="Times New Roman"/>
          <w:b/>
          <w:sz w:val="20"/>
        </w:rPr>
        <w:t xml:space="preserve">COMPENSATION DISCUSSION AND ANALYSIS </w:t>
      </w:r>
    </w:p>
    <w:p>
      <w:pPr>
        <w:pStyle w:val="TextBody"/>
        <w:bidi w:val="0"/>
        <w:spacing w:before="24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information statement, we have identified the following individuals who we expect will be our named executive officers or NEOs following the Separation: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203" w:type="dxa"/>
            <w:tcBorders/>
            <w:vAlign w:val="bottom"/>
          </w:tcPr>
          <w:p>
            <w:pPr>
              <w:pStyle w:val="TableContents"/>
              <w:bidi w:val="0"/>
              <w:spacing w:before="0" w:after="283"/>
              <w:jc w:val="left"/>
              <w:rPr/>
            </w:pPr>
            <w:r>
              <w:rPr/>
              <w:t>  </w:t>
            </w:r>
          </w:p>
        </w:tc>
        <w:tc>
          <w:tcPr>
            <w:tcW w:w="66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3367" w:type="dxa"/>
            <w:tcBorders/>
          </w:tcPr>
          <w:p>
            <w:pPr>
              <w:pStyle w:val="TableContents"/>
              <w:bidi w:val="0"/>
              <w:spacing w:before="0" w:after="283"/>
              <w:jc w:val="left"/>
              <w:rPr/>
            </w:pPr>
            <w:r>
              <w:rPr/>
              <w:t>Mark Lazarus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Chief Executive Officer</w:t>
            </w:r>
          </w:p>
        </w:tc>
      </w:tr>
      <w:tr>
        <w:trPr/>
        <w:tc>
          <w:tcPr>
            <w:tcW w:w="3367" w:type="dxa"/>
            <w:tcBorders/>
          </w:tcPr>
          <w:p>
            <w:pPr>
              <w:pStyle w:val="TableContents"/>
              <w:bidi w:val="0"/>
              <w:spacing w:before="0" w:after="283"/>
              <w:jc w:val="left"/>
              <w:rPr/>
            </w:pPr>
            <w:r>
              <w:rPr/>
              <w:t>Anand M. Kini</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Chief Financial Officer and Chief Operating Officer</w:t>
            </w:r>
          </w:p>
        </w:tc>
      </w:tr>
      <w:tr>
        <w:trPr/>
        <w:tc>
          <w:tcPr>
            <w:tcW w:w="3367" w:type="dxa"/>
            <w:tcBorders/>
          </w:tcPr>
          <w:p>
            <w:pPr>
              <w:pStyle w:val="TableContents"/>
              <w:bidi w:val="0"/>
              <w:spacing w:before="0" w:after="283"/>
              <w:jc w:val="left"/>
              <w:rPr/>
            </w:pPr>
            <w:r>
              <w:rPr/>
              <w:t>Jordan R. Fasbender</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General Counsel and 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discussed above, Versant is a newly formed Pennsylvania corporation that will hold, directly or indirectly through its subsidiaries, the assets and liabilities comprising the Spin Business. Historically, this business has not been operated as a distinct business unit or division of Comcast. Rather, in connection with the Transactions, the assets and liabilities comprising the Spin Business will be transferred to Versant or its subsidiaries in order to complete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Separation, our Compensation Committee will make all decisions with respect to our executive and director compensation programs, policies and practices, which will reflect Versants size, operating dynamics, industry peers, business segment, growth opportunities, compliance requirements and business strategy. </w:t>
      </w:r>
    </w:p>
    <w:p>
      <w:pPr>
        <w:pStyle w:val="TextBody"/>
        <w:bidi w:val="0"/>
        <w:spacing w:before="240" w:after="0"/>
        <w:jc w:val="left"/>
        <w:rPr>
          <w:rFonts w:ascii="Times New Roman" w:hAnsi="Times New Roman"/>
          <w:sz w:val="20"/>
        </w:rPr>
      </w:pPr>
      <w:r>
        <w:rPr>
          <w:rFonts w:ascii="Times New Roman" w:hAnsi="Times New Roman"/>
          <w:sz w:val="20"/>
        </w:rPr>
        <w:t xml:space="preserve">While we have engaged in preliminary discussions regarding our anticipated executive and director compensation programs and policies, we have generally not yet made any final determinations with respect to our executive compensation program following the Separation or the compensation of the individuals who will serve as our executive officers following the Separation, except as specifically noted below.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Program Overview </w:t>
      </w:r>
    </w:p>
    <w:p>
      <w:pPr>
        <w:pStyle w:val="TextBody"/>
        <w:bidi w:val="0"/>
        <w:spacing w:before="120" w:after="0"/>
        <w:jc w:val="left"/>
        <w:rPr>
          <w:rFonts w:ascii="Times New Roman" w:hAnsi="Times New Roman"/>
          <w:b/>
          <w:i/>
          <w:sz w:val="20"/>
        </w:rPr>
      </w:pPr>
      <w:r>
        <w:rPr>
          <w:rFonts w:ascii="Times New Roman" w:hAnsi="Times New Roman"/>
          <w:b/>
          <w:i/>
          <w:sz w:val="20"/>
        </w:rPr>
        <w:t xml:space="preserve">Approach to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has not yet been established and therefore has not established a specific set of objectives or principles for our executive compensation program. In designing our executive compensation program, we anticipate that our Compensation Committee will evaluate both our business objectives and the need to attract and retain uniquely talented and experienced individuals who think strategically for the long term, particularly in light of the challenging and evolving competitive and technological environments in which Versant will operate. We anticipate that we will employ a variety of elements that further our shareholders interests by securing our executives services in an exceedingly competitive talent market and aligning the long-term interests of the executives with the creation of shareholder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Elements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Immediately after the Separation, we anticipate that the primary elements of our executive compensation program will be base salary, annual performance-based cash bonus opportunities, long-term equity incentive compensation and participation in other executive compensation and retirement programs.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Governance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Compensation Committee Charter </w:t>
      </w:r>
    </w:p>
    <w:p>
      <w:pPr>
        <w:pStyle w:val="TextBody"/>
        <w:bidi w:val="0"/>
        <w:spacing w:before="120" w:after="0"/>
        <w:jc w:val="left"/>
        <w:rPr>
          <w:rFonts w:ascii="Times New Roman" w:hAnsi="Times New Roman"/>
          <w:sz w:val="20"/>
        </w:rPr>
      </w:pPr>
      <w:r>
        <w:rPr>
          <w:rFonts w:ascii="Times New Roman" w:hAnsi="Times New Roman"/>
          <w:sz w:val="20"/>
        </w:rPr>
        <w:t xml:space="preserve">In anticipation of the Separation, our Board will adopt a written charter for the Compensation Committee that establishes, among other things, the Compensation Committees purpose and its responsibilities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to executive compensation. The charter will provide that the Compensation Committee, among other things, must review and approve executive officer performance and compensation, management development and succession and executive compensation disclosure. See ManagementBoard of Directors Committees.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Role of Compensation Consultants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an outside compensation consultant will advise on the design of compensation programs for Versant in connection with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After the Separation, we expect that our Compensation Committee will engage an independent compensation consultant to advise on compensation program design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Agreements with Our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Separation, it is anticipated that each of Messrs. Lazarus and Kini and Ms. Fasbender will enter into a new employment agreement with NBCUniversal, a wholly-owned subsidiary of Comcast, which agreement will be assigned to Versant Media, LLC, a newly formed company that is currently a wholly-owned subsidiary of Comcast but will become a wholly-owned subsidiary of Versant effective on the Distribution Date. We anticipate that these agreements will generally provide for terms and conditions relating to each of our NEOs compensation and employment, including with respect to the payment of base salary, cash and equity incentive opportunities, participation in employee benefit programs, certain restrictive covenant obligations and severance benefits in the event of certain qualifying terminations of employment. We undertake to update the disclosure in this section in a subsequent amendment of this information statement once the terms of such employment agreements are finalized. </w:t>
      </w:r>
    </w:p>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Equity Incentive Plans </w:t>
      </w:r>
    </w:p>
    <w:p>
      <w:pPr>
        <w:pStyle w:val="TextBody"/>
        <w:bidi w:val="0"/>
        <w:spacing w:before="120" w:after="0"/>
        <w:jc w:val="left"/>
        <w:rPr>
          <w:rFonts w:ascii="Times New Roman" w:hAnsi="Times New Roman"/>
          <w:sz w:val="20"/>
        </w:rPr>
      </w:pPr>
      <w:r>
        <w:rPr>
          <w:rFonts w:ascii="Times New Roman" w:hAnsi="Times New Roman"/>
          <w:sz w:val="20"/>
        </w:rPr>
        <w:t xml:space="preserve">We intend to adopt the Versant Omnibus Equity Incentive Plan (the Omnibus Plan), a long-term equity incentive plan under which we expect to grant equity incentive awards (which may include awards of restricted stock units, performance stock units, stock options and other equity incentive awards) to our senior executives (including our NEOs), non-employee directors and other employees. The Compensation Committee, in consultation with its compensation consultant, will review performance metrics, vesting and other terms and conditions it determines are appropriate for us considering our business goals and objectives as well as practices at our peer group companies and the broader market. For a summary of the terms of the Omnibus Plan, see The Omnibus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Equity Awards Upon Separation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Separation, outstanding Comcast Equity Awards, including Comcast Equity Awards held by our NEOs, will be equitably adjusted in a manner that is intended to preserve the aggregate intrinsic value of such awards as of immediately before and after the Distribution. Specifically, we intend that, in connection with the Separation, outstanding Comcast Equity Awards will generally be adjusted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Comcast RSUs held by individuals who will continue to be employed by, or provide services to, Comcast or its subsidiaries following the Separation, as well as former employees of Comcast or its subsidiaries (including former employees of Comcast who last primarily provided services to the Spin Business), will be converted into an award of adjusted Comcast RSUs (the Adjusted Comcast RSUs), with the number of shares of Comcast Class A common stock subject to such Adjusted Comcast RSU being determined by multiplying (i) the number of shares of Comcast Class A common stock subject to the corresponding Comcast RSU immediately prior to the Distribution Date by (ii) a conversion ratio that will be determined by the Comcast Board prior to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 in a manner intended to preserve the aggregate intrinsic value of the Comcast RSUs (the Comcast Concentration Ratio), rounded down to the nearest whole share of Comcast Class A common stock. Such Adjusted Comcast RSUs will otherwise be subject to the same terms and conditions (including vesting and payment schedules and, if applicable, deferral elections) as applied to the corresponding Comcast RSU as of immediately prior to the Distribution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Excluded Comcast RSUs (as described below), outstanding Comcast RSUs held by any individual who is then-currently employed by or otherwise providing services to us or our subsidiaries (after giving effect to the Separation) or whose employment or engagement will otherwise be transferred to us or our subsidiaries prior to the Separation (such individuals, the Versant Participants) will be converted into an award of restricted stock units with respect to Versant Class A common stock (the Converted Versant RSUs), with the number of shares of Versant Class A common stock subject to such Converted Versant RSUs being determined by multiplying (i) the number of shares of Comcast Class A common stock subject to the corresponding Comcast RSU immediately prior to the Distribution Date by (ii) a conversion ratio that will be determined by the Comcast Board prior to the Distribution in a manner intended to preserve the aggregate intrinsic value of the Comcast RSUs (the Versant Concentration Ratio), rounded down to the nearest whole share of our Class A common stock. Such Converted Versant RSUs will otherwise be subject to the same terms and conditions (including vesting and payment schedules) as applied to the corresponding Comcast RSUs as of immediately prior to the Distribution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Comcast RSUs that are held by Versant Participants that are scheduled to vest during the period between the Distribution Date and March 3, 2026 (collectively, the Excluded Comcast RSUs) will be converted into an award of Adjusted Comcast RSUs, with the number of shares of Comcast Class A common stock subject to such Adjusted Comcast RSU being determined multiplying (i) the number of shares of Comcast Class A common stock subject to the corresponding Excluded Comcast RSU immediately prior to the Distribution Date by (ii) the Comcast Concentration Ratio, rounded down to the nearest whole share of Comcast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and unexercised Comcast Options (regardless of whom held by) will be converted into an award of adjusted Comcast Options (the Adjusted Comcast Options), with (i) the number of shares of Comcast Class A common stock subject to such Adjusted Comcast Options being determined by multiplying (a) the number of shares of Comcast Class A common stock subject to the corresponding Comcast Option of such corresponding Comcast Option, as applicable, immediately prior to the Distribution Date by (b) the Comcast Concentration Ratio, rounded down to the nearest whole share of Comcast Class A common stock and (ii) the exercise price applicable to such Adjusted Comcast Options being determined by dividing (a) the exercise price per share applicable to the corresponding Comcast Option as of immediately prior to the Distribution by (b) the Comcast Concentration Ratio, rounded up to the nearest whole cent. Such Adjusted Comcast Options will remain subject to the same terms and conditions (including vesting, exercise schedules, forfeiture and post-termination vesting and exercise periods) as applicable to the corresponding Comcast Option as of immediately prior to the Distribution Date, except that any service-based vesting conditions applicable to any Adjusted Comcast Options held by individuals who are then-currently employed by or otherwise providing services to us or our subsidiaries (after giving effect to the Separation) or whose employment or engagement will be transferred to us or our subsidiaries prior to the Separation will continue to be satisfied by service to us or any of our subsidiaries following the Distribution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Comcast Equity Awards held by employees who are intended to transfer to us or our subsidiaries following the Distribution Date (including in connection with any transition services) will be treated in the same manner as the Comcast Equity Awards held by other Comcast Equity Award holders on the Distribution Date as described above, and upon the transfer of their employment to Versant or its subsidiaries following the Separation, any Comcast Equity Awards held by such employees will be treated in accordance with the terms of the applicable award agreements evidencing such employees Comcast Equity Awards or any employment, separation or retirement agreements or arrangements by and between such employee and Comcast or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 2025, Versant Participants held Comcast RSUs with respect to approximately shares of Comcast Class A common stock that, to the extent outstanding as of the Separation, would be subject to conversion into Converted Versant RSUs in accordance with the adjustment methodology described above. However, the actual number of shares of Versant Class A common stock that may ultimately become issuable upon the vesting of Converted Versant RSUs will depend on a number of factors that are not presently determinable, including, without limitation, the number of outstanding Comcast RSUs (other than Excluded Comcast RSUs) held by Versant Participants as of the Separation, the Comcast Conversion Ratio and the Versant Conversion Ratio. </w:t>
      </w:r>
    </w:p>
    <w:p>
      <w:pPr>
        <w:pStyle w:val="TextBody"/>
        <w:bidi w:val="0"/>
        <w:spacing w:before="360" w:after="0"/>
        <w:jc w:val="left"/>
        <w:rPr>
          <w:rFonts w:ascii="Times New Roman" w:hAnsi="Times New Roman"/>
          <w:b/>
          <w:sz w:val="20"/>
        </w:rPr>
      </w:pPr>
      <w:r>
        <w:rPr>
          <w:rFonts w:ascii="Times New Roman" w:hAnsi="Times New Roman"/>
          <w:b/>
          <w:sz w:val="20"/>
        </w:rPr>
        <w:t xml:space="preserve">Other Compensation Policies and Considerations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Clawbacks and Other Remedies for Potential Misconduct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Separation, Versant will adopt a clawback policy as required under stock exchange listing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Insider Trading Policy and Prohibitions on Hedging and Pledging </w:t>
      </w:r>
    </w:p>
    <w:p>
      <w:pPr>
        <w:pStyle w:val="TextBody"/>
        <w:bidi w:val="0"/>
        <w:spacing w:before="120" w:after="0"/>
        <w:jc w:val="left"/>
        <w:rPr>
          <w:rFonts w:ascii="Times New Roman" w:hAnsi="Times New Roman"/>
          <w:sz w:val="20"/>
        </w:rPr>
      </w:pPr>
      <w:r>
        <w:rPr>
          <w:rFonts w:ascii="Times New Roman" w:hAnsi="Times New Roman"/>
          <w:sz w:val="20"/>
        </w:rPr>
        <w:t xml:space="preserve">To help ensure that our executive officers and directors will not trade in our securities at a time when they may be aware of material, nonpublic information, we intend to adopt a policy requiring that trading by executive officers and directors may occur only outside of specified blackout periods and consistent with specified procedures. We also intend to adopt policies that would prohibit our executive officers and directors from using any strategies or products to hedge against potential changes in the value of our stock and holding our stock in margin accounts or pledging our stock as collateral for a loan.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Benefit Plans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Separation, we anticipate that the Compensation Committee and our management team will determine the appropriate employee benefit plans and arrangements, including qualified retirement plans and health and welfare benefit plans for us to adopt as a newly established, stand-alone public company. </w:t>
      </w:r>
    </w:p>
    <w:p>
      <w:pPr>
        <w:pStyle w:val="TextBody"/>
        <w:bidi w:val="0"/>
        <w:spacing w:before="360" w:after="0"/>
        <w:jc w:val="left"/>
        <w:rPr>
          <w:rFonts w:ascii="Times New Roman" w:hAnsi="Times New Roman"/>
          <w:b/>
          <w:sz w:val="20"/>
        </w:rPr>
      </w:pPr>
      <w:r>
        <w:rPr>
          <w:rFonts w:ascii="Times New Roman" w:hAnsi="Times New Roman"/>
          <w:b/>
          <w:sz w:val="20"/>
        </w:rPr>
        <w:t xml:space="preserve">Tax and Accounting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When reviewing compensation matters, the Compensation Committee will consider the anticipated tax and accounting consequences to us of payments under our executive compensation program. Section 162(m) of the Code generally limits the tax deductibility of annual compensation paid by public companies for certain executive officers to $1 million. In the exercise of its business judgment and in accordance with its compensation philosophy, the Compensation Committee will have the flexibility to award compensation that is not tax deductible if it determines that such award is in our shareholders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The Omnibus Plan </w:t>
      </w:r>
    </w:p>
    <w:p>
      <w:pPr>
        <w:pStyle w:val="TextBody"/>
        <w:bidi w:val="0"/>
        <w:spacing w:before="120" w:after="0"/>
        <w:jc w:val="left"/>
        <w:rPr>
          <w:rFonts w:ascii="Times New Roman" w:hAnsi="Times New Roman"/>
          <w:sz w:val="20"/>
        </w:rPr>
      </w:pPr>
      <w:r>
        <w:rPr>
          <w:rFonts w:ascii="Times New Roman" w:hAnsi="Times New Roman"/>
          <w:sz w:val="20"/>
        </w:rPr>
        <w:t xml:space="preserve">Prior to the Separation, we intend to adopt the Omnibus Plan, subject to approval of our Board and Comcast, as our sole stockholder.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Omnibus Plan is set forth below. This summary does not purport to be complete and is intended only to provide a general description of certain material terms of the Omnibus Plan. Capitalized terms used in this summary that are not otherwise defined have the respective meanings given such terms in the Omnibus Plan. </w:t>
      </w:r>
    </w:p>
    <w:p>
      <w:pPr>
        <w:pStyle w:val="TextBody"/>
        <w:bidi w:val="0"/>
        <w:spacing w:before="240" w:after="0"/>
        <w:jc w:val="left"/>
        <w:rPr>
          <w:rFonts w:ascii="Times New Roman" w:hAnsi="Times New Roman"/>
          <w:sz w:val="20"/>
        </w:rPr>
      </w:pPr>
      <w:r>
        <w:rPr>
          <w:rFonts w:ascii="Times New Roman" w:hAnsi="Times New Roman"/>
          <w:b/>
          <w:i/>
          <w:sz w:val="20"/>
        </w:rPr>
        <w:t>Purpose</w:t>
      </w:r>
      <w:r>
        <w:rPr>
          <w:rFonts w:ascii="Times New Roman" w:hAnsi="Times New Roman"/>
          <w:sz w:val="20"/>
        </w:rPr>
        <w:t xml:space="preserve">. The purpose of the Omnibus Plan is to promote our ability to recruit and retain employees and other eligible service providers and enhance the growth and profitability of the Company by providing the incentive of long-term awards for continued employment or other service and the attainment of performance objectives.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Administration</w:t>
      </w:r>
      <w:r>
        <w:rPr>
          <w:rFonts w:ascii="Times New Roman" w:hAnsi="Times New Roman"/>
          <w:sz w:val="20"/>
        </w:rPr>
        <w:t xml:space="preserve">. The Omnibus Plan will be administered by the Compensation Committee or any other committee or subcommittee that may be designated by our Board (the Administrator). The Administrator will have full power, authority and discretion to administer the Omnibus Plan, subject to the provisions of the Omnibus Plan, including the authority to designate participants, grant awards and determine the terms thereof, amend the terms and conditions of outstanding awards, interpret and administer the Omnibus Plan and establish, amend, suspend or waive rules and regulations for the proper administration of the Omnibus Plan. All determinations made by the Administrator will be final and binding. The Administrator may delegate its authority under the Omnibus Plan to one or more persons or committees, subject to the terms of the Omnibus Plan and applicable law. </w:t>
      </w:r>
    </w:p>
    <w:p>
      <w:pPr>
        <w:pStyle w:val="TextBody"/>
        <w:bidi w:val="0"/>
        <w:spacing w:before="240" w:after="0"/>
        <w:jc w:val="left"/>
        <w:rPr>
          <w:rFonts w:ascii="Times New Roman" w:hAnsi="Times New Roman"/>
          <w:sz w:val="20"/>
        </w:rPr>
      </w:pPr>
      <w:r>
        <w:rPr>
          <w:rFonts w:ascii="Times New Roman" w:hAnsi="Times New Roman"/>
          <w:b/>
          <w:i/>
          <w:sz w:val="20"/>
        </w:rPr>
        <w:t>Eligibility</w:t>
      </w:r>
      <w:r>
        <w:rPr>
          <w:rFonts w:ascii="Times New Roman" w:hAnsi="Times New Roman"/>
          <w:sz w:val="20"/>
        </w:rPr>
        <w:t xml:space="preserve">. Employees (including prospective employees who have accepted offers of employment), nonemployee directors and other advisors and service providers of the Company and its subsidiaries will be eligible to receive awards under the Omnibus Plan. From time to time, the Administrator will determine who will be granted awards, the number of shares subject to such grants and all other terms of awards. The basis for participation in the Omnibus Plan is the Administrators (or its authorized delegates) decision, in its sole discretion, that an award to an eligible participant will further the Omnibus Plans purposes as described above. In exercising its discretion, the Administrator (or its delegate) will consider the recommendations of management and the purposes of the Omnibus Plan. </w:t>
      </w:r>
    </w:p>
    <w:p>
      <w:pPr>
        <w:pStyle w:val="TextBody"/>
        <w:bidi w:val="0"/>
        <w:spacing w:before="240" w:after="0"/>
        <w:jc w:val="left"/>
        <w:rPr>
          <w:rFonts w:ascii="Times New Roman" w:hAnsi="Times New Roman"/>
          <w:sz w:val="20"/>
        </w:rPr>
      </w:pPr>
      <w:r>
        <w:rPr>
          <w:rFonts w:ascii="Times New Roman" w:hAnsi="Times New Roman"/>
          <w:b/>
          <w:i/>
          <w:sz w:val="20"/>
        </w:rPr>
        <w:t>Shares Available for Issuance</w:t>
      </w:r>
      <w:r>
        <w:rPr>
          <w:rFonts w:ascii="Times New Roman" w:hAnsi="Times New Roman"/>
          <w:sz w:val="20"/>
        </w:rPr>
        <w:t xml:space="preserve">. Subject to adjustment as described below and except for substitute awards (i.e., awards granted in assumption or substitution of awards previously granted by an acquired company), the maximum number of shares of Versant Class A common stock available for issuance under the Omnibus Plan will be equal to     % of the total outstanding shares of Versant Class A common stock on a fully-diluted basis as of the Distribution Date (the Share Pool) plus shares of Versant Class A common stock issuable upon the settlement of converted awards (i.e., Comcast RSUs that are converted into Converted Versant RSUs under the Omnibus Plan in connection with the Distribution in accordance with the terms of the Employee Matters Agreement). The maximum number of shares of Versant Class A common stock available for issuance with respect to incentive stock options (ISOs) will be equal to the Share Pool. </w:t>
      </w:r>
    </w:p>
    <w:p>
      <w:pPr>
        <w:pStyle w:val="TextBody"/>
        <w:bidi w:val="0"/>
        <w:spacing w:before="240" w:after="0"/>
        <w:jc w:val="left"/>
        <w:rPr>
          <w:rFonts w:ascii="Times New Roman" w:hAnsi="Times New Roman"/>
          <w:sz w:val="20"/>
        </w:rPr>
      </w:pPr>
      <w:r>
        <w:rPr>
          <w:rFonts w:ascii="Times New Roman" w:hAnsi="Times New Roman"/>
          <w:sz w:val="20"/>
        </w:rPr>
        <w:t xml:space="preserve">Shares covered by awards which are forfeited, expired, terminated or lapsed and shares withheld to satisfy tax withholding obligations or stock option exercise prices will again be available for grant under the Omnibus Plan, in each case, except for converted awards and substitute awards. </w:t>
      </w:r>
    </w:p>
    <w:p>
      <w:pPr>
        <w:pStyle w:val="TextBody"/>
        <w:bidi w:val="0"/>
        <w:spacing w:before="240" w:after="0"/>
        <w:jc w:val="left"/>
        <w:rPr>
          <w:rFonts w:ascii="Times New Roman" w:hAnsi="Times New Roman"/>
          <w:sz w:val="20"/>
        </w:rPr>
      </w:pPr>
      <w:r>
        <w:rPr>
          <w:rFonts w:ascii="Times New Roman" w:hAnsi="Times New Roman"/>
          <w:b/>
          <w:i/>
          <w:sz w:val="20"/>
        </w:rPr>
        <w:t>Adjustments</w:t>
      </w:r>
      <w:r>
        <w:rPr>
          <w:rFonts w:ascii="Times New Roman" w:hAnsi="Times New Roman"/>
          <w:sz w:val="20"/>
        </w:rPr>
        <w:t xml:space="preserve">. In the event of certain corporate transactions or events affecting the shares, or of changes in applicable laws, regulations or accounting principles where the Administrator determines, as a result of such circumstance, an adjustment is necessary in order to prevent dilution or enlargement of the benefits or potential benefits intended to be made available under the Omnibus Plan, then the Administrator will, subject to applicable law and so as to ensure no undue enrichment or harm (including by payment of cash), adjust equitably any or all of: (i) the number and type of shares (or other securities) which thereafter may be made the subject of awards, including the aggregate limits on shares and ISOs available for issuance under the Omnibus Plan; (ii) the number and type of shares (or other securities) subject to outstanding awards; (iii) the exercise price with respect to any stock option award; and (iv) the terms and conditions of any outstanding awards, including the performance criteria of any performance awards. </w:t>
      </w:r>
    </w:p>
    <w:p>
      <w:pPr>
        <w:pStyle w:val="TextBody"/>
        <w:bidi w:val="0"/>
        <w:spacing w:before="240" w:after="0"/>
        <w:jc w:val="left"/>
        <w:rPr>
          <w:rFonts w:ascii="Times New Roman" w:hAnsi="Times New Roman"/>
          <w:sz w:val="20"/>
        </w:rPr>
      </w:pPr>
      <w:r>
        <w:rPr>
          <w:rFonts w:ascii="Times New Roman" w:hAnsi="Times New Roman"/>
          <w:b/>
          <w:i/>
          <w:sz w:val="20"/>
        </w:rPr>
        <w:t>Summary of Award Types</w:t>
      </w:r>
      <w:r>
        <w:rPr>
          <w:rFonts w:ascii="Times New Roman" w:hAnsi="Times New Roman"/>
          <w:sz w:val="20"/>
        </w:rPr>
        <w:t xml:space="preserve">. The Omnibus Plan permits the grant of nonqualified stock options and ISOs (stock options), stock appreciation rights (SARs), restricted stock, restricted stock units (RSUs), performance awards and other stock-based awards. In addition, the Omnibus Plan provides for the grant of converted awards as a result of the adjustment and conversion of Comcast RSUs into Converted Versant RSUs at the Distribution pursuant to the Employee Matters Agreement. The Omnibus Plan also provides for the grant of replacement awards granted in replacement for Comcast Equity Awards that are forfeited by certain service providers who transfer to Versant following the Distribution Date pursuant to the Employee Matters Agreement. The terms and conditions of the Omnibus Plan will apply to Converted Versant RSUs and replacement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only to the extent that such terms and conditions are not inconsistent with the terms of the Employee Matters Agreement and the terms of the applicable Converted Versant RSUs and replacement awards, as contemplated by the Employee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of stock options and SARs (other than with respect to substitute awards) may not be less than the fair market value of a share on the grant date. Any outstanding and vested stock options and SARs with an exercise or strike price that exceeds the fair market value of a share will be automatically deemed exercised on the last day of the term of such stock option or SAR in accordance with the terms and conditions of the Omnibus Plan.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may grant other share-based awards, subject to the provisions of the Omnibus Plan and limitations imposed under applicable law. Other share-based awards may include rights convertible into shares, purchase rights, dividend rights or dividend equivalents or awards with value and payment contingent upon performance. </w:t>
      </w:r>
    </w:p>
    <w:p>
      <w:pPr>
        <w:pStyle w:val="TextBody"/>
        <w:bidi w:val="0"/>
        <w:spacing w:before="240" w:after="0"/>
        <w:jc w:val="left"/>
        <w:rPr>
          <w:rFonts w:ascii="Times New Roman" w:hAnsi="Times New Roman"/>
          <w:sz w:val="20"/>
        </w:rPr>
      </w:pPr>
      <w:r>
        <w:rPr>
          <w:rFonts w:ascii="Times New Roman" w:hAnsi="Times New Roman"/>
          <w:b/>
          <w:i/>
          <w:sz w:val="20"/>
        </w:rPr>
        <w:t>Dividends and Dividend Equivalents</w:t>
      </w:r>
      <w:r>
        <w:rPr>
          <w:rFonts w:ascii="Times New Roman" w:hAnsi="Times New Roman"/>
          <w:i/>
          <w:sz w:val="20"/>
        </w:rPr>
        <w:t>.</w:t>
      </w:r>
      <w:r>
        <w:rPr>
          <w:rFonts w:ascii="Times New Roman" w:hAnsi="Times New Roman"/>
          <w:sz w:val="20"/>
        </w:rPr>
        <w:t xml:space="preserve"> The Administrator may provide for the payment of dividends, dividend equivalents or other distributions on awards of restricted stock or RSUs, including performance-based RSUs, provided that no such distributions will be paid with respect to any award that has not vested. No stock option or SAR may be accompanied by an award of dividend equivalents or provide for the payment of dividends or dividend equivalents on such award. </w:t>
      </w:r>
    </w:p>
    <w:p>
      <w:pPr>
        <w:pStyle w:val="TextBody"/>
        <w:bidi w:val="0"/>
        <w:spacing w:before="240" w:after="0"/>
        <w:jc w:val="left"/>
        <w:rPr>
          <w:rFonts w:ascii="Times New Roman" w:hAnsi="Times New Roman"/>
          <w:sz w:val="20"/>
        </w:rPr>
      </w:pPr>
      <w:r>
        <w:rPr>
          <w:rFonts w:ascii="Times New Roman" w:hAnsi="Times New Roman"/>
          <w:b/>
          <w:i/>
          <w:sz w:val="20"/>
        </w:rPr>
        <w:t>Change in Control</w:t>
      </w:r>
      <w:r>
        <w:rPr>
          <w:rFonts w:ascii="Times New Roman" w:hAnsi="Times New Roman"/>
          <w:sz w:val="20"/>
        </w:rPr>
        <w:t xml:space="preserve">. Under the Omnibus Plan, in the event of a change in control (as such term will be defined under the Omnibus Plan) the Administrator may take any one or more of the following actions, as described in more detail in the Omnibus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continuation, assumption, substitution or replacement of an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 the vesting of an award either (i) immediately prior to the date of the change in control, (ii) upon the participants involuntary termination of service within a specified period following the change in control or (iii) upon the failure of the surviving entity to continue or assume such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awards subject to performance-related vesting conditions, determine the level of attainment of the applicable performance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such award in consideration for a payment (subject to the terms and conditions of the Omnibus Plan), including cancelling any underwater stock options or SARs for no consideration. </w:t>
            </w:r>
          </w:p>
        </w:tc>
      </w:tr>
    </w:tbl>
    <w:p>
      <w:pPr>
        <w:pStyle w:val="TextBody"/>
        <w:bidi w:val="0"/>
        <w:spacing w:before="240" w:after="0"/>
        <w:jc w:val="left"/>
        <w:rPr>
          <w:rFonts w:ascii="Times New Roman" w:hAnsi="Times New Roman"/>
          <w:sz w:val="20"/>
        </w:rPr>
      </w:pPr>
      <w:r>
        <w:rPr>
          <w:rFonts w:ascii="Times New Roman" w:hAnsi="Times New Roman"/>
          <w:b/>
          <w:i/>
          <w:sz w:val="20"/>
        </w:rPr>
        <w:t>Transferability of Awards</w:t>
      </w:r>
      <w:r>
        <w:rPr>
          <w:rFonts w:ascii="Times New Roman" w:hAnsi="Times New Roman"/>
          <w:sz w:val="20"/>
        </w:rPr>
        <w:t xml:space="preserve">. No award will be transferable by a participant other than by will or to the participants designated beneficiaries, and during a participants lifetime each award will be exercisable only by such participant or, subject to applicable law, by such participants guardian or legal representative, provided that the Administrator may permit transfers of awards without consideration to a participants family members. </w:t>
      </w:r>
    </w:p>
    <w:p>
      <w:pPr>
        <w:pStyle w:val="TextBody"/>
        <w:bidi w:val="0"/>
        <w:spacing w:before="240" w:after="0"/>
        <w:jc w:val="left"/>
        <w:rPr>
          <w:rFonts w:ascii="Times New Roman" w:hAnsi="Times New Roman"/>
          <w:sz w:val="20"/>
        </w:rPr>
      </w:pPr>
      <w:r>
        <w:rPr>
          <w:rFonts w:ascii="Times New Roman" w:hAnsi="Times New Roman"/>
          <w:b/>
          <w:i/>
          <w:sz w:val="20"/>
        </w:rPr>
        <w:t>Clawback</w:t>
      </w:r>
      <w:r>
        <w:rPr>
          <w:rFonts w:ascii="Times New Roman" w:hAnsi="Times New Roman"/>
          <w:sz w:val="20"/>
        </w:rPr>
        <w:t xml:space="preserve">. Awards granted under the Omnibus Plan will be subject to any clawback or recoupment arrangement or policy we have in place, including any clawback policy adopted to comply with the SECs recent clawback rules implementing Section 10D of the Exchange Act. </w:t>
      </w:r>
    </w:p>
    <w:p>
      <w:pPr>
        <w:pStyle w:val="TextBody"/>
        <w:bidi w:val="0"/>
        <w:spacing w:before="240" w:after="0"/>
        <w:jc w:val="left"/>
        <w:rPr>
          <w:rFonts w:ascii="Times New Roman" w:hAnsi="Times New Roman"/>
          <w:sz w:val="20"/>
        </w:rPr>
      </w:pPr>
      <w:r>
        <w:rPr>
          <w:rFonts w:ascii="Times New Roman" w:hAnsi="Times New Roman"/>
          <w:b/>
          <w:i/>
          <w:sz w:val="20"/>
        </w:rPr>
        <w:t>No Repricing</w:t>
      </w:r>
      <w:r>
        <w:rPr>
          <w:rFonts w:ascii="Times New Roman" w:hAnsi="Times New Roman"/>
          <w:sz w:val="20"/>
        </w:rPr>
        <w:t xml:space="preserve">. Except in the event of certain corporate transactions (as described above), the Administrator may not, without shareholder approval, reprice any previously granted underwater stock option, SAR or similar award, including by cancellation and regrant or any other method. </w:t>
      </w:r>
    </w:p>
    <w:p>
      <w:pPr>
        <w:pStyle w:val="TextBody"/>
        <w:bidi w:val="0"/>
        <w:spacing w:before="240" w:after="0"/>
        <w:jc w:val="left"/>
        <w:rPr>
          <w:rFonts w:ascii="Times New Roman" w:hAnsi="Times New Roman"/>
          <w:sz w:val="20"/>
        </w:rPr>
      </w:pPr>
      <w:r>
        <w:rPr>
          <w:rFonts w:ascii="Times New Roman" w:hAnsi="Times New Roman"/>
          <w:b/>
          <w:i/>
          <w:sz w:val="20"/>
        </w:rPr>
        <w:t>Amendment and Termination of the Omnibus Plan</w:t>
      </w:r>
      <w:r>
        <w:rPr>
          <w:rFonts w:ascii="Times New Roman" w:hAnsi="Times New Roman"/>
          <w:sz w:val="20"/>
        </w:rPr>
        <w:t xml:space="preserve">. Except to the extent prohibited by applicable law and unless otherwise expressly provided in an award agreement or in the Omnibus Plan, our Board or the Compensation Committee may amend or terminate the Omnibus Plan or any portion thereof at any time. However, no such amendment or termination will be made without (i) shareholder approval if such approval is required by applicable law or the rules of an applicable stock market or exchange or (ii) subject to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provisions of the Omnibus Plan, the consent of the affected participant if such action would materially adversely affect the rights of such participant under any outstanding award. The Administrator may waive any conditions or rights under, amend any terms of, or terminate any award without the consent of any relevant participant; provided, however, that, subject to certain provisions of the Omnibus Plan, no such action will materially adversely affect the rights of any affected participant under such award. </w:t>
      </w:r>
    </w:p>
    <w:p>
      <w:pPr>
        <w:pStyle w:val="TextBody"/>
        <w:bidi w:val="0"/>
        <w:spacing w:before="240" w:after="0"/>
        <w:jc w:val="left"/>
        <w:rPr>
          <w:rFonts w:ascii="Times New Roman" w:hAnsi="Times New Roman"/>
          <w:sz w:val="20"/>
        </w:rPr>
      </w:pPr>
      <w:r>
        <w:rPr>
          <w:rFonts w:ascii="Times New Roman" w:hAnsi="Times New Roman"/>
          <w:b/>
          <w:i/>
          <w:sz w:val="20"/>
        </w:rPr>
        <w:t>Term of the Omnibus Plan</w:t>
      </w:r>
      <w:r>
        <w:rPr>
          <w:rFonts w:ascii="Times New Roman" w:hAnsi="Times New Roman"/>
          <w:sz w:val="20"/>
        </w:rPr>
        <w:t xml:space="preserve">. The Omnibus Plan will terminate on the tenth anniversary of its effective date, unless earlier terminated by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7" w:name="tx894612_13"/>
      <w:bookmarkEnd w:id="17"/>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describe below transactions and series of similar transactions, during our last three fiscal years or currently proposed, to which we were a party or will be a party,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$120,000;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beneficial holders of more than 5% of any class of our capital stock had or will have a direct or indirect material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ManagementBoard of Directors Structure, ManagementCompensation of Directors and Compensation Discussion and Analysis. </w:t>
      </w:r>
    </w:p>
    <w:p>
      <w:pPr>
        <w:pStyle w:val="TextBody"/>
        <w:bidi w:val="0"/>
        <w:spacing w:before="360" w:after="0"/>
        <w:jc w:val="left"/>
        <w:rPr>
          <w:rFonts w:ascii="Times New Roman" w:hAnsi="Times New Roman"/>
          <w:b/>
          <w:sz w:val="20"/>
        </w:rPr>
      </w:pPr>
      <w:r>
        <w:rPr>
          <w:rFonts w:ascii="Times New Roman" w:hAnsi="Times New Roman"/>
          <w:b/>
          <w:sz w:val="20"/>
        </w:rPr>
        <w:t xml:space="preserve">The Separation from Comcast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will be accomplished by Comcast distributing all of its shares of Versant common stock to holders of Comcast common stock entitled to such distribution, as described in The Separation included elsewhere in this information statement. Completion of the Separation will be subject to satisfaction or waiver by Comcast of the conditions to the Distribution described under The SeparationConditions to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Separation, we will enter into a Separation and Distribution Agreement and several other agreements with Comcast and certain of its subsidiaries to effect the Separation and provide a framework for our relationship with Comcast after the Separation. See The SeparationAgreements with Comcast for information regarding these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As a current business of Comcast, we engage in related party transactions with Comcast. Those transactions are described in more detail in Note 10 to the accompanying audited combined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Review, Approval or Ratification of Transactions with Related Persons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our Board will adopt procedures for the review of any transactions in which we and any of our directors, nominees for director or executive officers, or any of their immediate family members, are participants, to determine whether any of these individuals have a direct or indirect material interest in any such transaction. We intend to develop and implement processes and controls to obtain information from the directors and executive officers about related person transactions, and for determining, based on the facts and circumstances, whether a related person has a direct or indirect material interest in any such transaction. Transactions that are determined to be directly or indirectly material to a related person will be disclosed by us as required. Pursuant to these processes, we expect that all directors and executive officers will annually complete, sign and submit a Director and Executive Officer Questionnaire designed to identify related person transactions and both actual and potential 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8" w:name="tx894612_14"/>
      <w:bookmarkEnd w:id="18"/>
      <w:r>
        <w:rPr>
          <w:rFonts w:ascii="Times New Roman" w:hAnsi="Times New Roman"/>
          <w:b/>
          <w:sz w:val="20"/>
        </w:rPr>
        <w:t xml:space="preserve">OWNERSHIP OF COMMON STOCK BY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information statement, all of the outstanding shares of Versant common stock are owned by Comcast. After the Separation, Comcast will not directly or indirectly own any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tables below show the number of shares of our Class A common stock and Class B common stock, and the percentage of shares of our Class A common stock and our Class B common stock, that would be owned of record and beneficially at the time of the Distribution, calculated based on information available as of    , 2025 (the Reference Date) by (i) persons beneficially owning more than five percent (5%) of any class at the time of Distribution and (ii) each director and executive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To the extent our directors and executive officers own Comcast common stock at the record date for the Distribution, they will participate in the Distribution on the same terms as other holders of Comcast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beneficially owned by each shareholder, director or officer is determined according to the rules of the SEC and the information is not necessarily indicative of beneficial ownership for any other purpose.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Shareholders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information statement, all of the outstanding shares of Versant common stock are owned by Comcast. The following table sets forth information regarding each shareholder (other than any director or executive officer) who is expected to beneficially own more than five percent (5%) of our common stock immediately following the Distribution. The table is based upon an assumption that, for every    share(s) of Comcast Class A common stock or Comcast Class B common stock held by such persons, they will receive    share(s) of Versant Class A common stock or Versant Class B common stock, respectively.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4"/>
        <w:gridCol w:w="203"/>
        <w:gridCol w:w="2347"/>
        <w:gridCol w:w="204"/>
        <w:gridCol w:w="2347"/>
        <w:gridCol w:w="203"/>
        <w:gridCol w:w="2247"/>
      </w:tblGrid>
      <w:tr>
        <w:trPr/>
        <w:tc>
          <w:tcPr>
            <w:tcW w:w="265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r>
      <w:tr>
        <w:trPr/>
        <w:tc>
          <w:tcPr>
            <w:tcW w:w="265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 OF VOTING CLASS</w:t>
            </w:r>
          </w:p>
        </w:tc>
        <w:tc>
          <w:tcPr>
            <w:tcW w:w="203" w:type="dxa"/>
            <w:tcBorders/>
            <w:vAlign w:val="bottom"/>
          </w:tcPr>
          <w:p>
            <w:pPr>
              <w:pStyle w:val="TableContents"/>
              <w:bidi w:val="0"/>
              <w:spacing w:before="0" w:after="283"/>
              <w:jc w:val="left"/>
              <w:rPr/>
            </w:pPr>
            <w:r>
              <w:rPr/>
              <w:t>  </w:t>
            </w:r>
          </w:p>
        </w:tc>
        <w:tc>
          <w:tcPr>
            <w:tcW w:w="23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AND ADDRESS OF</w:t>
              <w:br/>
              <w:t>BENEFICIAL OWNER</w:t>
            </w:r>
          </w:p>
        </w:tc>
        <w:tc>
          <w:tcPr>
            <w:tcW w:w="204" w:type="dxa"/>
            <w:tcBorders/>
            <w:vAlign w:val="bottom"/>
          </w:tcPr>
          <w:p>
            <w:pPr>
              <w:pStyle w:val="TableContents"/>
              <w:bidi w:val="0"/>
              <w:spacing w:before="0" w:after="283"/>
              <w:jc w:val="left"/>
              <w:rPr/>
            </w:pPr>
            <w:r>
              <w:rPr/>
              <w:t>  </w:t>
            </w:r>
          </w:p>
        </w:tc>
        <w:tc>
          <w:tcPr>
            <w:tcW w:w="234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w:t>
            </w:r>
          </w:p>
          <w:p>
            <w:pPr>
              <w:pStyle w:val="TableContents"/>
              <w:bidi w:val="0"/>
              <w:spacing w:before="0" w:after="0"/>
              <w:jc w:val="center"/>
              <w:rPr>
                <w:rFonts w:ascii="Times New Roman" w:hAnsi="Times New Roman"/>
                <w:b/>
                <w:sz w:val="16"/>
              </w:rPr>
            </w:pPr>
            <w:r>
              <w:rPr>
                <w:rFonts w:ascii="Times New Roman" w:hAnsi="Times New Roman"/>
                <w:b/>
                <w:sz w:val="16"/>
              </w:rPr>
              <w:t>BENEFICIALLY</w:t>
            </w:r>
          </w:p>
          <w:p>
            <w:pPr>
              <w:pStyle w:val="TableContents"/>
              <w:bidi w:val="0"/>
              <w:spacing w:before="0" w:after="20"/>
              <w:jc w:val="center"/>
              <w:rPr>
                <w:rFonts w:ascii="Times New Roman" w:hAnsi="Times New Roman"/>
                <w:b/>
                <w:sz w:val="16"/>
              </w:rPr>
            </w:pPr>
            <w:r>
              <w:rPr>
                <w:rFonts w:ascii="Times New Roman" w:hAnsi="Times New Roman"/>
                <w:b/>
                <w:sz w:val="16"/>
              </w:rPr>
              <w:t>OWNED(1)</w:t>
            </w:r>
          </w:p>
        </w:tc>
        <w:tc>
          <w:tcPr>
            <w:tcW w:w="203" w:type="dxa"/>
            <w:tcBorders/>
            <w:vAlign w:val="bottom"/>
          </w:tcPr>
          <w:p>
            <w:pPr>
              <w:pStyle w:val="TableContents"/>
              <w:bidi w:val="0"/>
              <w:spacing w:before="0" w:after="283"/>
              <w:jc w:val="left"/>
              <w:rPr/>
            </w:pPr>
            <w:r>
              <w:rPr/>
              <w:t>  </w:t>
            </w:r>
          </w:p>
        </w:tc>
        <w:tc>
          <w:tcPr>
            <w:tcW w:w="22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PERCENT OF CLASS</w:t>
            </w:r>
          </w:p>
        </w:tc>
      </w:tr>
      <w:tr>
        <w:trPr/>
        <w:tc>
          <w:tcPr>
            <w:tcW w:w="2654" w:type="dxa"/>
            <w:tcBorders/>
          </w:tcPr>
          <w:p>
            <w:pPr>
              <w:pStyle w:val="TableContents"/>
              <w:bidi w:val="0"/>
              <w:spacing w:before="0" w:after="0"/>
              <w:jc w:val="left"/>
              <w:rPr>
                <w:rFonts w:ascii="Times New Roman" w:hAnsi="Times New Roman"/>
                <w:sz w:val="20"/>
              </w:rPr>
            </w:pPr>
            <w:r>
              <w:rPr>
                <w:rFonts w:ascii="Times New Roman" w:hAnsi="Times New Roman"/>
                <w:sz w:val="20"/>
              </w:rPr>
              <w:t>Class A common stock</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247" w:type="dxa"/>
            <w:tcBorders/>
            <w:vAlign w:val="bottom"/>
          </w:tcPr>
          <w:p>
            <w:pPr>
              <w:pStyle w:val="TableContents"/>
              <w:bidi w:val="0"/>
              <w:spacing w:before="0" w:after="283"/>
              <w:jc w:val="left"/>
              <w:rPr>
                <w:sz w:val="4"/>
                <w:szCs w:val="4"/>
              </w:rPr>
            </w:pPr>
            <w:r>
              <w:rPr>
                <w:sz w:val="4"/>
                <w:szCs w:val="4"/>
              </w:rPr>
            </w:r>
          </w:p>
        </w:tc>
      </w:tr>
      <w:tr>
        <w:trPr/>
        <w:tc>
          <w:tcPr>
            <w:tcW w:w="2654" w:type="dxa"/>
            <w:tcBorders/>
          </w:tcPr>
          <w:p>
            <w:pPr>
              <w:pStyle w:val="TableContents"/>
              <w:bidi w:val="0"/>
              <w:spacing w:before="0" w:after="0"/>
              <w:jc w:val="left"/>
              <w:rPr>
                <w:rFonts w:ascii="Times New Roman" w:hAnsi="Times New Roman"/>
                <w:sz w:val="20"/>
              </w:rPr>
            </w:pPr>
            <w:r>
              <w:rPr>
                <w:rFonts w:ascii="Times New Roman" w:hAnsi="Times New Roman"/>
                <w:sz w:val="20"/>
              </w:rPr>
              <w:t>Class B common stock</w:t>
            </w:r>
          </w:p>
        </w:tc>
        <w:tc>
          <w:tcPr>
            <w:tcW w:w="203" w:type="dxa"/>
            <w:tcBorders/>
            <w:vAlign w:val="bottom"/>
          </w:tcPr>
          <w:p>
            <w:pPr>
              <w:pStyle w:val="TableContents"/>
              <w:bidi w:val="0"/>
              <w:spacing w:before="0" w:after="283"/>
              <w:jc w:val="left"/>
              <w:rPr/>
            </w:pPr>
            <w:r>
              <w:rPr/>
              <w:t>  </w:t>
            </w:r>
          </w:p>
        </w:tc>
        <w:tc>
          <w:tcPr>
            <w:tcW w:w="2347" w:type="dxa"/>
            <w:tcBorders/>
          </w:tcPr>
          <w:p>
            <w:pPr>
              <w:pStyle w:val="TableContents"/>
              <w:bidi w:val="0"/>
              <w:spacing w:before="0" w:after="0"/>
              <w:jc w:val="center"/>
              <w:rPr>
                <w:rFonts w:ascii="Times New Roman" w:hAnsi="Times New Roman"/>
                <w:sz w:val="20"/>
              </w:rPr>
            </w:pPr>
            <w:r>
              <w:rPr>
                <w:rFonts w:ascii="Times New Roman" w:hAnsi="Times New Roman"/>
                <w:sz w:val="20"/>
              </w:rPr>
              <w:t>Brian L. Roberts</w:t>
            </w:r>
          </w:p>
          <w:p>
            <w:pPr>
              <w:pStyle w:val="TableContents"/>
              <w:bidi w:val="0"/>
              <w:spacing w:before="0" w:after="0"/>
              <w:jc w:val="center"/>
              <w:rPr>
                <w:rFonts w:ascii="Times New Roman" w:hAnsi="Times New Roman"/>
                <w:sz w:val="20"/>
              </w:rPr>
            </w:pPr>
            <w:r>
              <w:rPr>
                <w:rFonts w:ascii="Times New Roman" w:hAnsi="Times New Roman"/>
                <w:sz w:val="20"/>
              </w:rPr>
              <w:t>One Comcast Center,</w:t>
            </w:r>
          </w:p>
          <w:p>
            <w:pPr>
              <w:pStyle w:val="TableContents"/>
              <w:bidi w:val="0"/>
              <w:spacing w:before="0" w:after="20"/>
              <w:jc w:val="center"/>
              <w:rPr>
                <w:rFonts w:ascii="Times New Roman" w:hAnsi="Times New Roman"/>
                <w:sz w:val="20"/>
              </w:rPr>
            </w:pPr>
            <w:r>
              <w:rPr>
                <w:rFonts w:ascii="Times New Roman" w:hAnsi="Times New Roman"/>
                <w:sz w:val="20"/>
              </w:rPr>
              <w:t>Philadelphia, PA 19103</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247" w:type="dxa"/>
            <w:tcBorders/>
          </w:tcPr>
          <w:p>
            <w:pPr>
              <w:pStyle w:val="TableContents"/>
              <w:bidi w:val="0"/>
              <w:spacing w:before="0" w:after="283"/>
              <w:jc w:val="center"/>
              <w:rPr/>
            </w:pPr>
            <w:r>
              <w:rPr/>
              <w:t>100%</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of a security consists of sole or shared voting power (including the power to vote or direct the vote) and/or sole or shared investment power (including the power to dispose or direct the disposition) with respect to the security through any contract, arrangement, understanding and relationship or otherwise. Unless indicated, beneficial ownership disclosed consists of sole voting and investment power. Beneficial ownership of Class A common stock is exclusive of the shares of Class A common stock that are issuable upon conversion of shares of Class B common stock. Share ownership reflects rounding for share-based compensation in the aggregate, not by specific tranche or award.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Security Ownership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information statement, all of the outstanding shares of Versant common stock are owned by Comcast. The following table sets forth the number of shares of our common stock beneficially owned, based on the presentation previously described, by each of the identified directors of Versant, the individuals we expect will become our named executive officers following the Separation and all Versant executive officers and directors identified to date as a group as of    , 2025. The table is based upon an assumption that, for every    share(s) of Comcast Class A common stock or Comcast Class B common stock held by such persons, they will receive    share(s) of Versant Class A common stock or Versant Class B common stock,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table, shares are considered to be beneficially owned if the person, directly or indirectly, has sole or shared voting or investment power with respect to such shares. In addition, a person is deemed to beneficially own shares if that person has the right to acquire such shares within 60 days of the date of the Distribution. No executive officer or director holds any class of equity securities other than Comcast common stock or Comcast Equity Awards that may give them the right to acquire beneficial ownership of Comcast common stock, and it is not expected that any of them will own any class of equity securities of Versant other than common stock following the Distribution.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53"/>
        <w:gridCol w:w="205"/>
        <w:gridCol w:w="99"/>
        <w:gridCol w:w="1284"/>
        <w:gridCol w:w="99"/>
        <w:gridCol w:w="275"/>
        <w:gridCol w:w="99"/>
        <w:gridCol w:w="1287"/>
        <w:gridCol w:w="60"/>
        <w:gridCol w:w="205"/>
        <w:gridCol w:w="79"/>
        <w:gridCol w:w="992"/>
        <w:gridCol w:w="275"/>
        <w:gridCol w:w="152"/>
        <w:gridCol w:w="78"/>
        <w:gridCol w:w="981"/>
        <w:gridCol w:w="282"/>
      </w:tblGrid>
      <w:tr>
        <w:trPr/>
        <w:tc>
          <w:tcPr>
            <w:tcW w:w="3753"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75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31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Amount Beneficially Owned(1)</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25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Percent of Class</w:t>
            </w:r>
          </w:p>
        </w:tc>
        <w:tc>
          <w:tcPr>
            <w:tcW w:w="282" w:type="dxa"/>
            <w:tcBorders/>
            <w:vAlign w:val="bottom"/>
          </w:tcPr>
          <w:p>
            <w:pPr>
              <w:pStyle w:val="TableContents"/>
              <w:bidi w:val="0"/>
              <w:spacing w:before="0" w:after="283"/>
              <w:jc w:val="left"/>
              <w:rPr/>
            </w:pPr>
            <w:r>
              <w:rPr/>
              <w:t> </w:t>
            </w:r>
          </w:p>
        </w:tc>
      </w:tr>
      <w:tr>
        <w:trPr/>
        <w:tc>
          <w:tcPr>
            <w:tcW w:w="375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 of Beneficial Owner</w:t>
            </w:r>
          </w:p>
        </w:tc>
        <w:tc>
          <w:tcPr>
            <w:tcW w:w="205"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99"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27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282" w:type="dxa"/>
            <w:tcBorders/>
            <w:vAlign w:val="bottom"/>
          </w:tcPr>
          <w:p>
            <w:pPr>
              <w:pStyle w:val="TableContents"/>
              <w:bidi w:val="0"/>
              <w:spacing w:before="0" w:after="283"/>
              <w:jc w:val="left"/>
              <w:rPr/>
            </w:pPr>
            <w:r>
              <w:rPr/>
              <w:t> </w:t>
            </w:r>
          </w:p>
        </w:tc>
      </w:tr>
      <w:tr>
        <w:trPr/>
        <w:tc>
          <w:tcPr>
            <w:tcW w:w="3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Lazarus</w:t>
            </w:r>
          </w:p>
        </w:tc>
        <w:tc>
          <w:tcPr>
            <w:tcW w:w="20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753" w:type="dxa"/>
            <w:tcBorders/>
          </w:tcPr>
          <w:p>
            <w:pPr>
              <w:pStyle w:val="TableContents"/>
              <w:bidi w:val="0"/>
              <w:spacing w:before="0" w:after="0"/>
              <w:jc w:val="left"/>
              <w:rPr>
                <w:rFonts w:ascii="Times New Roman" w:hAnsi="Times New Roman"/>
                <w:sz w:val="20"/>
              </w:rPr>
            </w:pPr>
            <w:r>
              <w:rPr>
                <w:rFonts w:ascii="Times New Roman" w:hAnsi="Times New Roman"/>
                <w:sz w:val="20"/>
              </w:rPr>
              <w:t>Anand M. Kini</w:t>
            </w:r>
          </w:p>
        </w:tc>
        <w:tc>
          <w:tcPr>
            <w:tcW w:w="20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Jordan R. Fasbender</w:t>
            </w:r>
          </w:p>
        </w:tc>
        <w:tc>
          <w:tcPr>
            <w:tcW w:w="20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753" w:type="dxa"/>
            <w:tcBorders/>
          </w:tcPr>
          <w:p>
            <w:pPr>
              <w:pStyle w:val="TableContents"/>
              <w:bidi w:val="0"/>
              <w:spacing w:before="0" w:after="0"/>
              <w:jc w:val="left"/>
              <w:rPr>
                <w:rFonts w:ascii="Times New Roman" w:hAnsi="Times New Roman"/>
                <w:sz w:val="20"/>
              </w:rPr>
            </w:pPr>
            <w:r>
              <w:rPr>
                <w:rFonts w:ascii="Times New Roman" w:hAnsi="Times New Roman"/>
                <w:sz w:val="20"/>
              </w:rPr>
              <w:t>David Novak</w:t>
            </w:r>
          </w:p>
        </w:tc>
        <w:tc>
          <w:tcPr>
            <w:tcW w:w="20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w:t>
            </w:r>
          </w:p>
        </w:tc>
        <w:tc>
          <w:tcPr>
            <w:tcW w:w="20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of Class A common stock is exclusive of the shares of Class A common stock that are issuable upon conversion of shares of Class B common stock. Share ownership reflects rounding for share-based compensation in the aggregate, not by specific tranche or award.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9" w:name="tx894612_15"/>
      <w:bookmarkEnd w:id="19"/>
      <w:r>
        <w:rPr>
          <w:rFonts w:ascii="Times New Roman" w:hAnsi="Times New Roman"/>
          <w:b/>
          <w:sz w:val="20"/>
        </w:rPr>
        <w:t xml:space="preserve">DESCRIPTION OF MATERIAL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Separation, we intend to enter into new financing arrangements in anticipation of the Separation. We expect to incur approximately $    of new debt. We currently intend to use all of the net proceeds from these borrowings to    . We undertake to update the disclosure in this section in a subsequent amendment of this information statement once the terms of such indebtedness are reasonably known.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20" w:name="tx894612_16"/>
      <w:bookmarkEnd w:id="20"/>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descriptions are summaries of the material terms of our capital stock based on the applicable provisions of Pennsylvania law and our amended and restated articles of incorporation (articles of incorporation) and our amended and restated bylaws (bylaws) that will be in effect at the time of the Separation. The summaries and descriptions below do not purport to be complete statements of the relevant provisions of the applicable provisions of Pennsylvania law or of our articles of incorporation or our bylaws to be in effect at the time of the Separation. The summary is qualified in its entirety by reference to those articles of incorporation and our bylaws, which we recommend that you read (along with the applicable provisions of Pennsylvania law) for additional information on our capital stock as of the time of the Separation. Copies of our articles of incorporation and bylaws that will be in effect at the time of the Separation will be filed as exhibits to the registration statement of which this information statement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Common stock</w:t>
      </w:r>
      <w:r>
        <w:rPr>
          <w:rFonts w:ascii="Times New Roman" w:hAnsi="Times New Roman"/>
          <w:sz w:val="20"/>
        </w:rPr>
        <w:t xml:space="preserve">. Upon completion of the Separation, we will have two classes of common stock outstanding: Class A common stock, par value $0.01 per share, and Class B common stock, par value $0.01 per share. Under our articles of incorporation, there are authorized     shares of Class A common stock,    shares of Class B common stock and    shares of preferred stock. Upon completion of the Separation, we estimate that we will have outstanding an aggregate of approximately    shares of our Class A common stock and    shares of our Class B common stock (based on    shares of Comcast Class A common stock and    shares of Comcast Class B common stock outstanding on    , 2025). The actual number of shares to be distributed will be determined on the record date. All outstanding shares of Class A common stock and Class B common stock are fully paid and non-assessable, and the shares of Class A common stock and Class B common stock to be issued upon completion of the Distribution will be fully paid and non-assessable.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subject to adjustment in specified situations. The issuance of additional shares of Class A common stock and stock dividends payable on the Class B common stock in the form of Class B common stock do not decrease the non-dilutable voting power of the Class B common stock.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Subject to the preferential rights of any preferred stock then outstanding, holders of our Class A common stock and Class B common 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 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 See Dividend Policy above. </w:t>
      </w:r>
    </w:p>
    <w:p>
      <w:pPr>
        <w:pStyle w:val="TextBody"/>
        <w:bidi w:val="0"/>
        <w:spacing w:before="240" w:after="0"/>
        <w:jc w:val="left"/>
        <w:rPr>
          <w:rFonts w:ascii="Times New Roman" w:hAnsi="Times New Roman"/>
          <w:sz w:val="20"/>
        </w:rPr>
      </w:pPr>
      <w:r>
        <w:rPr>
          <w:rFonts w:ascii="Times New Roman" w:hAnsi="Times New Roman"/>
          <w:i/>
          <w:sz w:val="20"/>
        </w:rPr>
        <w:t>Conversion of Class</w:t>
      </w:r>
      <w:r>
        <w:rPr>
          <w:rFonts w:ascii="Times New Roman" w:hAnsi="Times New Roman"/>
          <w:sz w:val="20"/>
        </w:rPr>
        <w:t> </w:t>
      </w:r>
      <w:r>
        <w:rPr>
          <w:rFonts w:ascii="Times New Roman" w:hAnsi="Times New Roman"/>
          <w:i/>
          <w:sz w:val="20"/>
        </w:rPr>
        <w:t>B common stock</w:t>
      </w:r>
      <w:r>
        <w:rPr>
          <w:rFonts w:ascii="Times New Roman" w:hAnsi="Times New Roman"/>
          <w:sz w:val="20"/>
        </w:rPr>
        <w:t xml:space="preserve">. The Class B common stock is convertible share for share into Class A common stock, subject to certain restrictions. </w:t>
      </w:r>
    </w:p>
    <w:p>
      <w:pPr>
        <w:pStyle w:val="TextBody"/>
        <w:bidi w:val="0"/>
        <w:spacing w:before="240" w:after="0"/>
        <w:jc w:val="left"/>
        <w:rPr>
          <w:rFonts w:ascii="Times New Roman" w:hAnsi="Times New Roman"/>
          <w:sz w:val="20"/>
        </w:rPr>
      </w:pPr>
      <w:r>
        <w:rPr>
          <w:rFonts w:ascii="Times New Roman" w:hAnsi="Times New Roman"/>
          <w:i/>
          <w:sz w:val="20"/>
        </w:rPr>
        <w:t>Approval rights</w:t>
      </w:r>
      <w:r>
        <w:rPr>
          <w:rFonts w:ascii="Times New Roman" w:hAnsi="Times New Roman"/>
          <w:sz w:val="20"/>
        </w:rPr>
        <w:t xml:space="preserve">. Except as required by law, holders of Class A common stock have no specific approval rights over any corporate actions. Holders of our Class B common stock have an approval right over (1)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would limit the rights of holders of our Class B common stock or any subsequent transferee of our Class B common stock to transfer, vote or otherwise exercise rights with respect to our capital stock. </w:t>
      </w:r>
    </w:p>
    <w:p>
      <w:pPr>
        <w:pStyle w:val="TextBody"/>
        <w:bidi w:val="0"/>
        <w:spacing w:before="240" w:after="0"/>
        <w:jc w:val="left"/>
        <w:rPr>
          <w:rFonts w:ascii="Times New Roman" w:hAnsi="Times New Roman"/>
          <w:sz w:val="20"/>
        </w:rPr>
      </w:pPr>
      <w:r>
        <w:rPr>
          <w:rFonts w:ascii="Times New Roman" w:hAnsi="Times New Roman"/>
          <w:i/>
          <w:sz w:val="20"/>
        </w:rPr>
        <w:t>Preferences on liquidation</w:t>
      </w:r>
      <w:r>
        <w:rPr>
          <w:rFonts w:ascii="Times New Roman" w:hAnsi="Times New Roman"/>
          <w:sz w:val="20"/>
        </w:rPr>
        <w:t xml:space="preserve">. In the event of our liquidation, dissolution or winding-up,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 </w:t>
      </w:r>
    </w:p>
    <w:p>
      <w:pPr>
        <w:pStyle w:val="TextBody"/>
        <w:bidi w:val="0"/>
        <w:spacing w:before="240" w:after="0"/>
        <w:jc w:val="left"/>
        <w:rPr>
          <w:rFonts w:ascii="Times New Roman" w:hAnsi="Times New Roman"/>
          <w:sz w:val="20"/>
        </w:rPr>
      </w:pPr>
      <w:r>
        <w:rPr>
          <w:rFonts w:ascii="Times New Roman" w:hAnsi="Times New Roman"/>
          <w:i/>
          <w:sz w:val="20"/>
        </w:rPr>
        <w:t xml:space="preserve">Mergers, consolidations, etc. </w:t>
      </w:r>
      <w:r>
        <w:rPr>
          <w:rFonts w:ascii="Times New Roman" w:hAnsi="Times New Roman"/>
          <w:sz w:val="20"/>
        </w:rPr>
        <w:t xml:space="preserve">Our articles of incorporation provide that if in a transaction such as a merger, consolidation, share exchange or recapitalization, pursuant to which the holders of each class of our common stock outstanding would be entitled to receive equity interests of one or more corporations or other entities, or rights to acquire such equity interests, the Board may decide that in lieu of holders of each class of our common stock outstanding receiving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 </w:t>
      </w:r>
    </w:p>
    <w:p>
      <w:pPr>
        <w:pStyle w:val="TextBody"/>
        <w:bidi w:val="0"/>
        <w:spacing w:before="240" w:after="0"/>
        <w:jc w:val="left"/>
        <w:rPr>
          <w:rFonts w:ascii="Times New Roman" w:hAnsi="Times New Roman"/>
          <w:sz w:val="20"/>
        </w:rPr>
      </w:pPr>
      <w:r>
        <w:rPr>
          <w:rFonts w:ascii="Times New Roman" w:hAnsi="Times New Roman"/>
          <w:i/>
          <w:sz w:val="20"/>
        </w:rPr>
        <w:t xml:space="preserve">Miscellaneous. </w:t>
      </w:r>
      <w:r>
        <w:rPr>
          <w:rFonts w:ascii="Times New Roman" w:hAnsi="Times New Roman"/>
          <w:sz w:val="20"/>
        </w:rPr>
        <w:t xml:space="preserve">The holders of Class A common stock and Class B common stock do not have any preemptive rights to acquire a proportionate percentage of any securities we may issue. We have been advised that the Class A common stock is exempt from existing Pennsylvania personal property tax.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Shareholder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Distribution, Brian L. Roberts will beneficially own all outstanding shares of our Class B common stock, which has a non-dilutable 33 1/3% of the combined voting power of our stock and which also has separate approval rights over certain material transactions, as described under Common StockApproval Rights. Accordingly, Mr. Roberts will have considerable influence over our operations. The Class B common stock is convertible on a share-for-share basis into Class A common stock. After the consummation of the Separation, if Mr. Roberts were to convert the Class B common stock he beneficially owns into Class A common stock, he would beneficially own approximately     % of the Class A common stock that would be outstanding after the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will have the authority to issue up to   shares of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 subject to the limitations prescribed by Pennsylvania law and our articles of incorporation The issuance of preferred stock could adversely affect the voting power of the holders of the Class A common stock and the likelihood that such holders will receive dividend payments and payments upon liquidation. In addition, the issuance of preferred stock may have the effect of delaying, deferring or preventing a change in control of Versant without further action by our shareholders and may adversely affect the voting and other rights of the holders of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Election and 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our Board of Directors will initially consist of   directors. Except as set forth in our articles of incorporation, the number of directors will be fixed exclusively by our Board of Directors from time to time. Each director shall be elected by a plurality of the votes cast by holders of all shares entitled to vote in the election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our bylaws, our directors will be removable, only for cause, by a majority of the votes cast at the meeting by the holders of shares entitled to vote in the election of directors, voting together as a single class. Except as set forth in our articles of incorporation, any vacancy occurring on the Board of Directors and any newly created directorship may be filled by a majority of the remaining directors in office (although less than a quorum) or by a sole remaining director, or if there are no remaining directors, then by the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Annual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Directors will be elected annually by the shareholders at each annual meeting of shareholders for a term expiring at the next annual meeting of shareholders. See ManagementBoard of Directors Following the Separation. </w:t>
      </w:r>
    </w:p>
    <w:p>
      <w:pPr>
        <w:pStyle w:val="TextBody"/>
        <w:bidi w:val="0"/>
        <w:spacing w:before="360" w:after="0"/>
        <w:jc w:val="left"/>
        <w:rPr>
          <w:rFonts w:ascii="Times New Roman" w:hAnsi="Times New Roman"/>
          <w:b/>
          <w:sz w:val="20"/>
        </w:rPr>
      </w:pPr>
      <w:r>
        <w:rPr>
          <w:rFonts w:ascii="Times New Roman" w:hAnsi="Times New Roman"/>
          <w:b/>
          <w:sz w:val="20"/>
        </w:rPr>
        <w:t xml:space="preserve">Limits on Shareholder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articles of incorporation and bylaws will provide that our shareholders are not permitted to act by written consent in lieu of a meeting, provided that holders of a majority of our Class B common stock may act by written consent in lieu of a meeting in the exercise of certain approval rights over specified material transactions under our articles of incorporation.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Special Meetings </w:t>
      </w:r>
    </w:p>
    <w:p>
      <w:pPr>
        <w:pStyle w:val="TextBody"/>
        <w:bidi w:val="0"/>
        <w:spacing w:before="120" w:after="0"/>
        <w:jc w:val="left"/>
        <w:rPr>
          <w:rFonts w:ascii="Times New Roman" w:hAnsi="Times New Roman"/>
          <w:sz w:val="20"/>
        </w:rPr>
      </w:pPr>
      <w:r>
        <w:rPr>
          <w:rFonts w:ascii="Times New Roman" w:hAnsi="Times New Roman"/>
          <w:sz w:val="20"/>
        </w:rPr>
        <w:t xml:space="preserve">Our articles of incorporation and bylaws will provide that special meetings of shareholders may be called by our Board of Directors and not by our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Articles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Our articles of incorporation may be amended by resolution of our Board of Directors and the affirmative vote of a majority of the votes cast by all shareholders entitled to vote thereon, provided that any amendment to our articles of incorporation that would, in any such case, limit the rights of the holders of our Class B common stock or any subsequent transferee of Class B common stock to transfer, vote or otherwise exercise rights with respect to capital stock of Versant will require the approval of the holders of Class B common stock, voting separately as a class. In addition, the approval of the holder of any class or series of shares of Versant will be necessary to approve any amendment to our articles of incorporation which would make any change in the preferences, limitations or rights of the shares of such class or series adverse to such class or series.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Bylaws </w:t>
      </w:r>
    </w:p>
    <w:p>
      <w:pPr>
        <w:pStyle w:val="TextBody"/>
        <w:bidi w:val="0"/>
        <w:spacing w:before="120" w:after="0"/>
        <w:jc w:val="left"/>
        <w:rPr>
          <w:rFonts w:ascii="Times New Roman" w:hAnsi="Times New Roman"/>
          <w:sz w:val="20"/>
        </w:rPr>
      </w:pPr>
      <w:r>
        <w:rPr>
          <w:rFonts w:ascii="Times New Roman" w:hAnsi="Times New Roman"/>
          <w:sz w:val="20"/>
        </w:rPr>
        <w:t xml:space="preserve">Our articles of incorporation and bylaws grant our Board of Directors the power to alter, amend and repeal our bylaws regardless of a prior shareholder vote except on any subject that is expressly committed to the shareholders by the express terms in our bylaws, subject to applicable law. Any amendment to the bylaws approved by our shareholders will not be deemed to have been adopted unless it has been previously approved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our articles of incorporation, including the approval by the Board of Directors noted above, our bylaws grant our shareholders the power to alter, amend or repeal our bylaws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affirmative vote of a majority of votes cast by all shareholders entitled to vote thereon, except that any repeal or amendment affecting the provision of our bylaws governing the indemnification of directors, officers and other persons in a manner so as either to reduce or limit indemnification or the advancement of expenses in any manner also requires either a unanimous vote of the directors then-serving, or the affirmative vote of at least 80% of the votes cast by all shareholders entitled to vote in an election of directors, provided that no such amendment may have a retroactive effect to reduce or limit the rights of an indemnitee to indemnification or the advancement of expenses with respect to any action or failure to act occurring prior to the time of such repeal or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Advance Notification of Shareholder Nomination and Proposals </w:t>
      </w:r>
    </w:p>
    <w:p>
      <w:pPr>
        <w:pStyle w:val="TextBody"/>
        <w:bidi w:val="0"/>
        <w:spacing w:before="120" w:after="0"/>
        <w:jc w:val="left"/>
        <w:rPr>
          <w:rFonts w:ascii="Times New Roman" w:hAnsi="Times New Roman"/>
          <w:sz w:val="20"/>
        </w:rPr>
      </w:pPr>
      <w:r>
        <w:rPr>
          <w:rFonts w:ascii="Times New Roman" w:hAnsi="Times New Roman"/>
          <w:sz w:val="20"/>
        </w:rPr>
        <w:t xml:space="preserve">Under our bylaws, shareholders of record will be able to nominate persons for election to our Board of Directors or bring other business constituting a proper matter for shareholder action only by providing proper notice. Proper notice must generally be received, (i) in the case of an annual meeting that is called for a date that is within 30 days before or after the anniversary date of the immediately preceding annual meeting of shareholders, not less than 90 days, and not more than 120 days, prior to such anniversary date; and (ii) in the case of an annual meeting that is called for a date that is not within 30 days before or after the anniversary date of the immediately preceding annual meeting (or if no annual meeting was held in the preceding year), not later than the date of the meeting is first announced by Versant. For the purposes of these advance notice provisions of our bylaws, the first anniversary date of our 2025 annual meeting will be deemed to be   , 2026. </w:t>
      </w:r>
    </w:p>
    <w:p>
      <w:pPr>
        <w:pStyle w:val="TextBody"/>
        <w:bidi w:val="0"/>
        <w:spacing w:before="360" w:after="0"/>
        <w:jc w:val="left"/>
        <w:rPr>
          <w:rFonts w:ascii="Times New Roman" w:hAnsi="Times New Roman"/>
          <w:b/>
          <w:sz w:val="20"/>
        </w:rPr>
      </w:pPr>
      <w:r>
        <w:rPr>
          <w:rFonts w:ascii="Times New Roman" w:hAnsi="Times New Roman"/>
          <w:b/>
          <w:sz w:val="20"/>
        </w:rPr>
        <w:t xml:space="preserve">Proxy Access </w:t>
      </w:r>
    </w:p>
    <w:p>
      <w:pPr>
        <w:pStyle w:val="TextBody"/>
        <w:bidi w:val="0"/>
        <w:spacing w:before="120" w:after="0"/>
        <w:jc w:val="left"/>
        <w:rPr>
          <w:rFonts w:ascii="Times New Roman" w:hAnsi="Times New Roman"/>
          <w:sz w:val="20"/>
        </w:rPr>
      </w:pPr>
      <w:r>
        <w:rPr>
          <w:rFonts w:ascii="Times New Roman" w:hAnsi="Times New Roman"/>
          <w:sz w:val="20"/>
        </w:rPr>
        <w:t xml:space="preserve">Under our bylaws, up to 20 shareholders owning 3% or more of the aggregate number of shares outstanding of either class of our common stock continuously for at least three years may nominate the greater of two directors or up to 20% of our Board of Directors and include those nominees in our proxy materials. Notice of shareholder nominations for persons for election as a director that are to be included in our proxy statement must be delivered or mailed and received at our principal executive offices, not less than 120 days nor more than 150 days prior to the first anniversary of the date that we first distributed our proxy statement to shareholders for the immediately preceding annual meeting of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and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Sections 1741 through 1750 of Subchapter D, Chapter 17, of the Pennsylvania Business Corporation Law of 1988, as amended (PBCL), contain provisions for mandatory and discretionary indemnification of a corporations directors, officers and other personnel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Under Section 1743 of the PBCL, indemnification is mandatory to the extent that the officer or director has been successful on the merits or otherwise in defense of any action or proceeding referred to in Section 1741 or 1742 of the PBCL. </w:t>
      </w:r>
    </w:p>
    <w:p>
      <w:pPr>
        <w:pStyle w:val="TextBody"/>
        <w:bidi w:val="0"/>
        <w:spacing w:before="240" w:after="0"/>
        <w:jc w:val="left"/>
        <w:rPr>
          <w:rFonts w:ascii="Times New Roman" w:hAnsi="Times New Roman"/>
          <w:sz w:val="20"/>
        </w:rPr>
      </w:pPr>
      <w:r>
        <w:rPr>
          <w:rFonts w:ascii="Times New Roman" w:hAnsi="Times New Roman"/>
          <w:sz w:val="20"/>
        </w:rPr>
        <w:t xml:space="preserve">Section 1744 of the PBCL provides that, unless ordered by a court, any indemnification under Section 1741 or 1742 of the PBCL will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will ultimately be determined that he or she is not entitled to be indemnified by the corporation. Except as otherwise provided in the corporations bylaws, advancement of expenses must be authorized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1746 of the PBCL provides generally that the indemnification and advancement of expenses provided by Subchapter D of Chapter 17 of the PBCL is not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 </w:t>
      </w:r>
    </w:p>
    <w:p>
      <w:pPr>
        <w:pStyle w:val="TextBody"/>
        <w:bidi w:val="0"/>
        <w:spacing w:before="240" w:after="0"/>
        <w:jc w:val="left"/>
        <w:rPr>
          <w:rFonts w:ascii="Times New Roman" w:hAnsi="Times New Roman"/>
          <w:sz w:val="20"/>
        </w:rPr>
      </w:pPr>
      <w:r>
        <w:rPr>
          <w:rFonts w:ascii="Times New Roman" w:hAnsi="Times New Roman"/>
          <w:sz w:val="20"/>
        </w:rPr>
        <w:t xml:space="preserve">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 </w:t>
      </w:r>
    </w:p>
    <w:p>
      <w:pPr>
        <w:pStyle w:val="TextBody"/>
        <w:bidi w:val="0"/>
        <w:spacing w:before="240" w:after="0"/>
        <w:jc w:val="left"/>
        <w:rPr>
          <w:rFonts w:ascii="Times New Roman" w:hAnsi="Times New Roman"/>
          <w:sz w:val="20"/>
        </w:rPr>
      </w:pPr>
      <w:r>
        <w:rPr>
          <w:rFonts w:ascii="Times New Roman" w:hAnsi="Times New Roman"/>
          <w:sz w:val="20"/>
        </w:rPr>
        <w:t xml:space="preserve">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1750 of the PBCL provides that the indemnification and advancement of expenses provided by, or granted pursuant to, Subchapter D of Chapter 17 of the PBCL will, unless otherwise provided when authorized or ratified, continue as to a person who has ceased to be a director or officer and will inure to the benefit of the heirs and personal representatives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Article Eleventh of our articles of incorporation provides that no person who is or was a director of Versant will be personally liable, as such, for monetary damages (other than under criminal statutes and under laws imposing such liability on directors for the payment of taxes) unless such persons conduct constitutes self-dealing, willful misconduct or recklessness. Article Twelfth of Versants articles of incorporation extends such protection to any person who is or was an officer of Versant. </w:t>
      </w:r>
    </w:p>
    <w:p>
      <w:pPr>
        <w:pStyle w:val="TextBody"/>
        <w:bidi w:val="0"/>
        <w:spacing w:before="240" w:after="0"/>
        <w:jc w:val="left"/>
        <w:rPr>
          <w:rFonts w:ascii="Times New Roman" w:hAnsi="Times New Roman"/>
          <w:sz w:val="20"/>
        </w:rPr>
      </w:pPr>
      <w:r>
        <w:rPr>
          <w:rFonts w:ascii="Times New Roman" w:hAnsi="Times New Roman"/>
          <w:sz w:val="20"/>
        </w:rPr>
        <w:t xml:space="preserve">Article 7 of Versants bylaws provides that each current and, if applicable, former, officer and director of Versant will be indemnified and held harmless by Versant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Versant), whether civil, criminal, administrative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investigative, including any appeal therefrom (a Proceeding) arising out of or related to such directors or officers (x) service at any time in his or her capacity as a director or officer of Versant or (y) service at any time in his or her capacity at the request or for the benefit of Versant as a director, officer, employee, agent, partner, or fiduciary of, or in any other capacity for, another entity (such services described in clauses (x) and (y), the Covered Services). No indemnification will be made pursuant to Versants bylaws,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under Article 7 of Versants bylaws), unless the Proceeding (or part of the Proceeding) was authorized by the Board of Directors. The right to indemnification under Versants bylaws includes the right to have the expenses incurred by such director or officer in participating in any Proceeding paid by Versant in advance of the final disposition of the Proceeding arising out of or related to such directors or officers Covered Services automatically and without any action or approval required by the Board of Directors, provided that, if Pennsylvania law requires, the payment of such expenses incurred by such director or officer in advance of the final disposition of a Proceeding shall be made only upon delivery to Versant of an undertaking, by or on behalf of such director or officer, to repay all advanced amounts without interest if it is ultimately determined that such director or officer is not entitled to be so indemnified. </w:t>
      </w:r>
    </w:p>
    <w:p>
      <w:pPr>
        <w:pStyle w:val="TextBody"/>
        <w:bidi w:val="0"/>
        <w:spacing w:before="240" w:after="0"/>
        <w:jc w:val="left"/>
        <w:rPr>
          <w:rFonts w:ascii="Times New Roman" w:hAnsi="Times New Roman"/>
          <w:sz w:val="20"/>
        </w:rPr>
      </w:pPr>
      <w:r>
        <w:rPr>
          <w:rFonts w:ascii="Times New Roman" w:hAnsi="Times New Roman"/>
          <w:sz w:val="20"/>
        </w:rPr>
        <w:t xml:space="preserve">Article 7 of Versants bylaws also provides that Versant may purchase and maintain insurance, at its expense, for the benefit of any person on behalf of whom insurance is permitted to be purchased by Pennsylvania law against any expense, liability or loss, whether or not Versant would have the power to indemnify such person under Pennsylvania or any other law. Versant may also purchase and maintain insurance to insure its indemnification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Versant will enter into indemnification agreements with all of its directors, to indemnify the directors to the fullest extent permitted by applicable law. Versant will maintain directors and officers insurance to insure such persons against certain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statements are subject to the detailed provisions of the PBCL and to the applicable provisions of Versants articles of incorporation, bylaws and indemnification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Articles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Some of the provisions of our articles of incorporation and bylaws (as described above), including the rights of holders of our Class B common stock, could make the following more difficult: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 of control of us by means of a proxy contest or otherwise;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removal of our incumbent officers and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including our ability to issue preferred stock, may discourage coercive takeover practices and inadequate takeover bids. These provisions may also encourage persons seeking to acquire control of us to first negotiate with our Board of Directors. We believe that the benefits of increased protection will give us the potential ability to negotiate with the proponent of an unfriendly or unsolicited proposal to acquire or restructure us, and that the benefits of this increased protection will outweigh the disadvantages of discouraging those proposals, because negotiation of those proposals could result in an improvement of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Pennsylvania Anti-Takeover Statutes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1712 of the PBCL, which is applicable to Versant,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Under Section 1715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PBCL,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 (iii) take any action solely because of the effect it may have on a proposed acquisition or the consideration to be received by shareholders in such a transaction. </w:t>
      </w:r>
    </w:p>
    <w:p>
      <w:pPr>
        <w:pStyle w:val="TextBody"/>
        <w:bidi w:val="0"/>
        <w:spacing w:before="240" w:after="0"/>
        <w:jc w:val="left"/>
        <w:rPr>
          <w:rFonts w:ascii="Times New Roman" w:hAnsi="Times New Roman"/>
          <w:sz w:val="20"/>
        </w:rPr>
      </w:pPr>
      <w:r>
        <w:rPr>
          <w:rFonts w:ascii="Times New Roman" w:hAnsi="Times New Roman"/>
          <w:sz w:val="20"/>
        </w:rPr>
        <w:t xml:space="preserve">Versant has opted out of Subchapters E, F, G, H, I and J and Section 2538 of Subchapter D of the PBCL. Subchapter E of Chapter 25 of the PBCL requires a person who acquires 20% or more of the shares of a publicly 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Versant was formed on May 1, 2025, and since its formation, it has not sold any securities, including sales of reacquired securities, new issues (other than to Comcast pursuant to Section 4(a)(2) of the Securities Act in connection with its formation), securities issued in exchange for property, services or other securities and new securities resulting from the modification of outstanding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but unissued shares of common stock and preferred stock will be available for future issuance without your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Versant by means of a proxy contest, tender offer, merger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Class A common stock is    . Its telephone number is     .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Versant intends to apply to have its shares of Class A common stock listed on        under the ticker symbol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21" w:name="tx894612_17"/>
      <w:bookmarkEnd w:id="2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on Form 10 with the SEC with respect to the shares of our Class A common stock being distributed in the Separation as contemplated by this information statement. This information statement is a part of, and does not contain all of the information set forth in, the registration statement and the exhibits to the registration statement. For further information with respect to Versant, please refer to the registration statement, including its exhibits. Statements made in this information statement relating to any contract or other document are not necessarily complete, and you should refer to the exhibits attached to the registration statement for the full text of the actual contract or document. You may review a copy of the registration statement, including its exhibits, at the Internet website maintained by the SEC at www.sec.gov. Information contained on any website referenced in this information statement is not incorporated by reference into this information statement or the registration statement of which this information statement forms a part. </w:t>
      </w:r>
    </w:p>
    <w:p>
      <w:pPr>
        <w:pStyle w:val="TextBody"/>
        <w:bidi w:val="0"/>
        <w:spacing w:before="240" w:after="0"/>
        <w:jc w:val="left"/>
        <w:rPr>
          <w:rFonts w:ascii="Times New Roman" w:hAnsi="Times New Roman"/>
          <w:sz w:val="20"/>
        </w:rPr>
      </w:pPr>
      <w:r>
        <w:rPr>
          <w:rFonts w:ascii="Times New Roman" w:hAnsi="Times New Roman"/>
          <w:sz w:val="20"/>
        </w:rPr>
        <w:t xml:space="preserve">After the Separation, we will become subject to the information and reporting requirements of the Exchange Act, and, in accordance with the Exchange Act, we will file periodic reports, proxy statements and other information with the SEC. Our future filings will be available from the SEC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22" w:name="fin894612_18"/>
      <w:bookmarkEnd w:id="22"/>
      <w:r>
        <w:rPr>
          <w:rFonts w:ascii="Times New Roman" w:hAnsi="Times New Roman"/>
          <w:b/>
          <w:sz w:val="20"/>
        </w:rPr>
        <w:t xml:space="preserve">VERSANT BUSINESSES OF COMCAST CORPORATION </w:t>
      </w:r>
    </w:p>
    <w:p>
      <w:pPr>
        <w:pStyle w:val="TextBody"/>
        <w:bidi w:val="0"/>
        <w:spacing w:before="120" w:after="0"/>
        <w:jc w:val="center"/>
        <w:rPr>
          <w:rFonts w:ascii="Times New Roman" w:hAnsi="Times New Roman"/>
          <w:b/>
          <w:sz w:val="20"/>
        </w:rPr>
      </w:pPr>
      <w:bookmarkStart w:id="23" w:name="tx894612_18"/>
      <w:bookmarkEnd w:id="23"/>
      <w:r>
        <w:rPr>
          <w:rFonts w:ascii="Times New Roman" w:hAnsi="Times New Roman"/>
          <w:b/>
          <w:sz w:val="20"/>
        </w:rPr>
        <w:t xml:space="preserve">INDEX TO AUDITED COMBINED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Years Ended December 31, 2024, 2023 and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6"/>
        <w:gridCol w:w="252"/>
        <w:gridCol w:w="75"/>
        <w:gridCol w:w="440"/>
        <w:gridCol w:w="62"/>
      </w:tblGrid>
      <w:tr>
        <w:trPr/>
        <w:tc>
          <w:tcPr>
            <w:tcW w:w="9376"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6"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894612_1">
              <w:r>
                <w:rPr>
                  <w:rStyle w:val="InternetLink"/>
                  <w:rFonts w:ascii="Times New Roman" w:hAnsi="Times New Roman"/>
                  <w:sz w:val="20"/>
                </w:rPr>
                <w:t>Report of Independent Registered Public Accounting Firm</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894612_2">
              <w:r>
                <w:rPr>
                  <w:rStyle w:val="InternetLink"/>
                  <w:rFonts w:ascii="Times New Roman" w:hAnsi="Times New Roman"/>
                  <w:sz w:val="20"/>
                </w:rPr>
                <w:t>Combined Statements of Income for the years ended 2024, 2023 and 2022</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894612_3">
              <w:r>
                <w:rPr>
                  <w:rStyle w:val="InternetLink"/>
                  <w:rFonts w:ascii="Times New Roman" w:hAnsi="Times New Roman"/>
                  <w:sz w:val="20"/>
                </w:rPr>
                <w:t>Combined Statements of Comprehensive Income for the years ended 2024, 2023 and 2022</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894612_4">
              <w:r>
                <w:rPr>
                  <w:rStyle w:val="InternetLink"/>
                  <w:rFonts w:ascii="Times New Roman" w:hAnsi="Times New Roman"/>
                  <w:sz w:val="20"/>
                </w:rPr>
                <w:t>Combined Statements of Cash Flows for the years ended 2024, 2023 and 2022</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894612_5">
              <w:r>
                <w:rPr>
                  <w:rStyle w:val="InternetLink"/>
                  <w:rFonts w:ascii="Times New Roman" w:hAnsi="Times New Roman"/>
                  <w:sz w:val="20"/>
                </w:rPr>
                <w:t>Combined Balance Sheets as of December 31, 2024 and 2023</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894612_6">
              <w:r>
                <w:rPr>
                  <w:rStyle w:val="InternetLink"/>
                  <w:rFonts w:ascii="Times New Roman" w:hAnsi="Times New Roman"/>
                  <w:sz w:val="20"/>
                </w:rPr>
                <w:t>Combined Statements of Changes in Equity for the years ended 2024, 2023 and 2022</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894612_7">
              <w:r>
                <w:rPr>
                  <w:rStyle w:val="InternetLink"/>
                  <w:rFonts w:ascii="Times New Roman" w:hAnsi="Times New Roman"/>
                  <w:sz w:val="20"/>
                </w:rPr>
                <w:t>Notes to Combined Financial Statements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24" w:name="fin894612_1"/>
      <w:bookmarkEnd w:id="24"/>
      <w:r>
        <w:rPr>
          <w:rFonts w:ascii="Times New Roman" w:hAnsi="Times New Roman"/>
          <w:b/>
          <w:sz w:val="20"/>
        </w:rPr>
        <w:t xml:space="preserve">REPORT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To the Shareholders and the Board of Directors of Comcast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combined balance sheets of the Versant businesses of Comcast Corporation, (the Company) as of December 31, 2024 and 2023, the related combined statements of income, comprehensive income,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 Refer to Notes 1 and 7 to the financial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Critical Audit Matter Description </w:t>
      </w:r>
    </w:p>
    <w:p>
      <w:pPr>
        <w:pStyle w:val="TextBody"/>
        <w:bidi w:val="0"/>
        <w:spacing w:before="120" w:after="0"/>
        <w:jc w:val="left"/>
        <w:rPr>
          <w:rFonts w:ascii="Times New Roman" w:hAnsi="Times New Roman"/>
          <w:sz w:val="20"/>
        </w:rPr>
      </w:pPr>
      <w:r>
        <w:rPr>
          <w:rFonts w:ascii="Times New Roman" w:hAnsi="Times New Roman"/>
          <w:sz w:val="20"/>
        </w:rPr>
        <w:t xml:space="preserve">Comcast Corporation (Comcast) intends to execute a spin-off of the Company into a standalone, publicly traded company. As the Companys businesses were operated as a part of Comcasts Media segment, the Companys combined balance sheets include an allocated amount of goodwill of $7.7 billion from Comcasts Media segment, which was determined using a relative fair value analysis as of July 1, 2024, the date of Comcasts most recent annual goodwill impairment assessment.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used the discounted cash flow model to estimate fair value, which requires management to make significant judgments related to discount rates and forecasts of expected cash flows. Changes in these assumptions could have a significant impact on the fair value. </w:t>
      </w:r>
    </w:p>
    <w:p>
      <w:pPr>
        <w:pStyle w:val="TextBody"/>
        <w:bidi w:val="0"/>
        <w:spacing w:before="240" w:after="0"/>
        <w:jc w:val="left"/>
        <w:rPr>
          <w:rFonts w:ascii="Times New Roman" w:hAnsi="Times New Roman"/>
          <w:sz w:val="20"/>
        </w:rPr>
      </w:pPr>
      <w:r>
        <w:rPr>
          <w:rFonts w:ascii="Times New Roman" w:hAnsi="Times New Roman"/>
          <w:sz w:val="20"/>
        </w:rPr>
        <w:t xml:space="preserve">We identified the goodwill relative fair value analysis of the Companys allocated goodwill as a critical audit matter because of the significant judgments made by management to estimate the fair values used in the analysis. This required a high degree of auditor judgment and an increased extent of effort, when performing audit procedures to evaluate the reasonableness of managements estimates and assumptions related to the selection of the discount rates, revenue growth rates and Adjusted EBITDA margins included in future expected cash flows used in the analysis. </w:t>
      </w:r>
    </w:p>
    <w:p>
      <w:pPr>
        <w:pStyle w:val="TextBody"/>
        <w:bidi w:val="0"/>
        <w:spacing w:before="360" w:after="0"/>
        <w:jc w:val="left"/>
        <w:rPr>
          <w:rFonts w:ascii="Times New Roman" w:hAnsi="Times New Roman"/>
          <w:i/>
          <w:sz w:val="20"/>
        </w:rPr>
      </w:pPr>
      <w:r>
        <w:rPr>
          <w:rFonts w:ascii="Times New Roman" w:hAnsi="Times New Roman"/>
          <w:i/>
          <w:sz w:val="20"/>
        </w:rPr>
        <w:t xml:space="preserve">How the Critical Audit Matter Was Addressed in the Audit </w:t>
      </w:r>
    </w:p>
    <w:p>
      <w:pPr>
        <w:pStyle w:val="TextBody"/>
        <w:bidi w:val="0"/>
        <w:spacing w:before="120" w:after="0"/>
        <w:jc w:val="left"/>
        <w:rPr>
          <w:rFonts w:ascii="Times New Roman" w:hAnsi="Times New Roman"/>
          <w:sz w:val="20"/>
        </w:rPr>
      </w:pPr>
      <w:r>
        <w:rPr>
          <w:rFonts w:ascii="Times New Roman" w:hAnsi="Times New Roman"/>
          <w:sz w:val="20"/>
        </w:rPr>
        <w:t xml:space="preserve">Our audit procedures to evaluate the reasonableness of managements estimates and assumptions related to the selection of the discount rates, revenue growth rates and Adjusted EBITDA margins included in future expected cash flows used by management to estimate the fair values included the following,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assistance of our fair value specialists, we evaluated the reasonableness of the (1) valuation methodology and (2) discount rates, including testing the source information underlying the determination of the discount rates, testing the mathematical accuracy of the calculation, and developing a range of independent estimates and comparing those to the discount rates selected by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evaluated managements ability to accurately forecast future revenue growth rates and Adjusted EBITDA margins by comparing prior year forecasts to actual results in the respective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evaluated the reasonableness of managements current forecasts of future revenue growth rates and Adjusted EBITDA margins by comparing such forecasts to historical results and to forecasted information included in analyst and industry reports of the Company and companies in its peer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Philadelphia, Pennsylvania </w:t>
      </w:r>
    </w:p>
    <w:p>
      <w:pPr>
        <w:pStyle w:val="TextBody"/>
        <w:bidi w:val="0"/>
        <w:spacing w:before="240" w:after="0"/>
        <w:jc w:val="left"/>
        <w:rPr>
          <w:rFonts w:ascii="Times New Roman" w:hAnsi="Times New Roman"/>
          <w:sz w:val="20"/>
        </w:rPr>
      </w:pPr>
      <w:r>
        <w:rPr>
          <w:rFonts w:ascii="Times New Roman" w:hAnsi="Times New Roman"/>
          <w:sz w:val="20"/>
        </w:rPr>
        <w:t xml:space="preserve">May 30, 2025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25" w:name="fin894612_2"/>
      <w:bookmarkEnd w:id="25"/>
      <w:r>
        <w:rPr>
          <w:rFonts w:ascii="Times New Roman" w:hAnsi="Times New Roman"/>
          <w:b/>
          <w:sz w:val="20"/>
        </w:rPr>
        <w:t xml:space="preserve">VERSANT BUSINESSES OF COMCAST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COMBINED STATEMENTS OF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8"/>
        <w:gridCol w:w="229"/>
        <w:gridCol w:w="140"/>
        <w:gridCol w:w="567"/>
        <w:gridCol w:w="155"/>
        <w:gridCol w:w="193"/>
        <w:gridCol w:w="140"/>
        <w:gridCol w:w="567"/>
        <w:gridCol w:w="155"/>
        <w:gridCol w:w="193"/>
        <w:gridCol w:w="140"/>
        <w:gridCol w:w="567"/>
        <w:gridCol w:w="161"/>
      </w:tblGrid>
      <w:tr>
        <w:trPr/>
        <w:tc>
          <w:tcPr>
            <w:tcW w:w="6998"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9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81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817" w:type="dxa"/>
            <w:gridSpan w:val="10"/>
            <w:tcBorders/>
            <w:vAlign w:val="bottom"/>
          </w:tcPr>
          <w:p>
            <w:pPr>
              <w:pStyle w:val="TableContents"/>
              <w:bidi w:val="0"/>
              <w:spacing w:before="0" w:after="283"/>
              <w:jc w:val="center"/>
              <w:rPr>
                <w:b/>
              </w:rPr>
            </w:pPr>
            <w:r>
              <w:rPr>
                <w:b/>
              </w:rPr>
              <w:t>(in millions)</w:t>
            </w:r>
          </w:p>
        </w:tc>
        <w:tc>
          <w:tcPr>
            <w:tcW w:w="161" w:type="dxa"/>
            <w:tcBorders/>
            <w:vAlign w:val="bottom"/>
          </w:tcPr>
          <w:p>
            <w:pPr>
              <w:pStyle w:val="TableContents"/>
              <w:bidi w:val="0"/>
              <w:spacing w:before="0" w:after="283"/>
              <w:jc w:val="left"/>
              <w:rPr/>
            </w:pPr>
            <w:r>
              <w:rPr/>
              <w:t> </w:t>
            </w:r>
          </w:p>
        </w:tc>
      </w:tr>
      <w:tr>
        <w:trPr/>
        <w:tc>
          <w:tcPr>
            <w:tcW w:w="699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7" w:type="dxa"/>
            <w:tcBorders/>
            <w:shd w:fill="CCEEFF" w:val="clear"/>
            <w:vAlign w:val="bottom"/>
          </w:tcPr>
          <w:p>
            <w:pPr>
              <w:pStyle w:val="TableContents"/>
              <w:bidi w:val="0"/>
              <w:spacing w:before="0" w:after="283"/>
              <w:jc w:val="right"/>
              <w:rPr>
                <w:b/>
              </w:rPr>
            </w:pPr>
            <w:r>
              <w:rPr>
                <w:b/>
              </w:rPr>
              <w:t>7,062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7" w:type="dxa"/>
            <w:tcBorders/>
            <w:shd w:fill="CCEEFF" w:val="clear"/>
            <w:vAlign w:val="bottom"/>
          </w:tcPr>
          <w:p>
            <w:pPr>
              <w:pStyle w:val="TableContents"/>
              <w:bidi w:val="0"/>
              <w:spacing w:before="0" w:after="283"/>
              <w:jc w:val="right"/>
              <w:rPr>
                <w:b/>
              </w:rPr>
            </w:pPr>
            <w:r>
              <w:rPr>
                <w:b/>
              </w:rPr>
              <w:t>7,445</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7" w:type="dxa"/>
            <w:tcBorders/>
            <w:shd w:fill="CCEEFF" w:val="clear"/>
            <w:vAlign w:val="bottom"/>
          </w:tcPr>
          <w:p>
            <w:pPr>
              <w:pStyle w:val="TableContents"/>
              <w:bidi w:val="0"/>
              <w:spacing w:before="0" w:after="283"/>
              <w:jc w:val="right"/>
              <w:rPr>
                <w:b/>
              </w:rPr>
            </w:pPr>
            <w:r>
              <w:rPr>
                <w:b/>
              </w:rPr>
              <w:t>7,834</w:t>
            </w:r>
          </w:p>
        </w:tc>
        <w:tc>
          <w:tcPr>
            <w:tcW w:w="161"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of revenue (exclusive of depreciation and amortization)</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3,064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3,154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3,161</w:t>
            </w:r>
          </w:p>
        </w:tc>
        <w:tc>
          <w:tcPr>
            <w:tcW w:w="161"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1,167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1,231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1,271</w:t>
            </w:r>
          </w:p>
        </w:tc>
        <w:tc>
          <w:tcPr>
            <w:tcW w:w="161"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989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991</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992</w:t>
            </w:r>
          </w:p>
        </w:tc>
        <w:tc>
          <w:tcPr>
            <w:tcW w:w="161" w:type="dxa"/>
            <w:tcBorders/>
            <w:shd w:fill="CCEEFF" w:val="clear"/>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5,220</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5,375</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5,424</w:t>
            </w:r>
          </w:p>
        </w:tc>
        <w:tc>
          <w:tcPr>
            <w:tcW w:w="161" w:type="dxa"/>
            <w:tcBorders/>
            <w:vAlign w:val="bottom"/>
          </w:tcPr>
          <w:p>
            <w:pPr>
              <w:pStyle w:val="TableContents"/>
              <w:bidi w:val="0"/>
              <w:spacing w:before="0" w:after="283"/>
              <w:jc w:val="left"/>
              <w:rPr/>
            </w:pPr>
            <w:r>
              <w:rPr/>
              <w:t> </w:t>
            </w:r>
          </w:p>
        </w:tc>
      </w:tr>
      <w:tr>
        <w:trPr/>
        <w:tc>
          <w:tcPr>
            <w:tcW w:w="699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b/>
              </w:rPr>
            </w:pPr>
            <w:r>
              <w:rPr>
                <w:b/>
              </w:rPr>
              <w:t>1,841</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b/>
              </w:rPr>
            </w:pPr>
            <w:r>
              <w:rPr>
                <w:b/>
              </w:rPr>
              <w:t>2,069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b/>
              </w:rPr>
            </w:pPr>
            <w:r>
              <w:rPr>
                <w:b/>
              </w:rPr>
              <w:t>2,410</w:t>
            </w:r>
          </w:p>
        </w:tc>
        <w:tc>
          <w:tcPr>
            <w:tcW w:w="161"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Investment and other income (loss),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(61</w:t>
            </w:r>
          </w:p>
        </w:tc>
        <w:tc>
          <w:tcPr>
            <w:tcW w:w="161"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1,843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2,069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2,349</w:t>
            </w:r>
          </w:p>
        </w:tc>
        <w:tc>
          <w:tcPr>
            <w:tcW w:w="161"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(478</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(530</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(591</w:t>
            </w:r>
          </w:p>
        </w:tc>
        <w:tc>
          <w:tcPr>
            <w:tcW w:w="161"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1,365</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1,540</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1,758</w:t>
            </w:r>
          </w:p>
        </w:tc>
        <w:tc>
          <w:tcPr>
            <w:tcW w:w="161"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Less: Net income (loss) attributable to noncontrolling interests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(6</w:t>
            </w:r>
          </w:p>
        </w:tc>
        <w:tc>
          <w:tcPr>
            <w:tcW w:w="161"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99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Versant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7" w:type="dxa"/>
            <w:tcBorders/>
            <w:shd w:fill="CCEEFF" w:val="clear"/>
            <w:vAlign w:val="bottom"/>
          </w:tcPr>
          <w:p>
            <w:pPr>
              <w:pStyle w:val="TableContents"/>
              <w:bidi w:val="0"/>
              <w:spacing w:before="0" w:after="283"/>
              <w:jc w:val="right"/>
              <w:rPr>
                <w:b/>
              </w:rPr>
            </w:pPr>
            <w:r>
              <w:rPr>
                <w:b/>
              </w:rPr>
              <w:t>1,363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7" w:type="dxa"/>
            <w:tcBorders/>
            <w:shd w:fill="CCEEFF" w:val="clear"/>
            <w:vAlign w:val="bottom"/>
          </w:tcPr>
          <w:p>
            <w:pPr>
              <w:pStyle w:val="TableContents"/>
              <w:bidi w:val="0"/>
              <w:spacing w:before="0" w:after="283"/>
              <w:jc w:val="right"/>
              <w:rPr>
                <w:b/>
              </w:rPr>
            </w:pPr>
            <w:r>
              <w:rPr>
                <w:b/>
              </w:rPr>
              <w:t>1,539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7" w:type="dxa"/>
            <w:tcBorders/>
            <w:shd w:fill="CCEEFF" w:val="clear"/>
            <w:vAlign w:val="bottom"/>
          </w:tcPr>
          <w:p>
            <w:pPr>
              <w:pStyle w:val="TableContents"/>
              <w:bidi w:val="0"/>
              <w:spacing w:before="0" w:after="283"/>
              <w:jc w:val="right"/>
              <w:rPr>
                <w:b/>
              </w:rPr>
            </w:pPr>
            <w:r>
              <w:rPr>
                <w:b/>
              </w:rPr>
              <w:t>1,764</w:t>
            </w:r>
          </w:p>
        </w:tc>
        <w:tc>
          <w:tcPr>
            <w:tcW w:w="161" w:type="dxa"/>
            <w:tcBorders/>
            <w:shd w:fill="CCEEFF" w:val="clear"/>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See accompanying notes to combined financial statements, including Note 10 for amounts of related party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VERSANT BUSINESSES OF COMCAST CORPORATION </w:t>
      </w:r>
    </w:p>
    <w:p>
      <w:pPr>
        <w:pStyle w:val="TextBody"/>
        <w:bidi w:val="0"/>
        <w:spacing w:before="0" w:after="0"/>
        <w:jc w:val="center"/>
        <w:rPr>
          <w:rFonts w:ascii="Times New Roman" w:hAnsi="Times New Roman"/>
          <w:b/>
          <w:sz w:val="20"/>
        </w:rPr>
      </w:pPr>
      <w:bookmarkStart w:id="26" w:name="fin894612_3"/>
      <w:bookmarkEnd w:id="26"/>
      <w:r>
        <w:rPr>
          <w:rFonts w:ascii="Times New Roman" w:hAnsi="Times New Roman"/>
          <w:b/>
          <w:sz w:val="20"/>
        </w:rPr>
        <w:t xml:space="preserve">COMBINED STATEMENTS OF COMPREHENSIVE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83"/>
        <w:gridCol w:w="228"/>
        <w:gridCol w:w="140"/>
        <w:gridCol w:w="560"/>
        <w:gridCol w:w="155"/>
        <w:gridCol w:w="193"/>
        <w:gridCol w:w="140"/>
        <w:gridCol w:w="560"/>
        <w:gridCol w:w="60"/>
        <w:gridCol w:w="228"/>
        <w:gridCol w:w="140"/>
        <w:gridCol w:w="560"/>
        <w:gridCol w:w="158"/>
      </w:tblGrid>
      <w:tr>
        <w:trPr/>
        <w:tc>
          <w:tcPr>
            <w:tcW w:w="7083"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73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708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708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736" w:type="dxa"/>
            <w:gridSpan w:val="10"/>
            <w:tcBorders/>
            <w:vAlign w:val="bottom"/>
          </w:tcPr>
          <w:p>
            <w:pPr>
              <w:pStyle w:val="TableContents"/>
              <w:bidi w:val="0"/>
              <w:spacing w:before="0" w:after="283"/>
              <w:jc w:val="center"/>
              <w:rPr>
                <w:b/>
              </w:rPr>
            </w:pPr>
            <w:r>
              <w:rPr>
                <w:b/>
              </w:rPr>
              <w:t>(in millions)</w:t>
            </w:r>
          </w:p>
        </w:tc>
        <w:tc>
          <w:tcPr>
            <w:tcW w:w="158" w:type="dxa"/>
            <w:tcBorders/>
            <w:vAlign w:val="bottom"/>
          </w:tcPr>
          <w:p>
            <w:pPr>
              <w:pStyle w:val="TableContents"/>
              <w:bidi w:val="0"/>
              <w:spacing w:before="0" w:after="283"/>
              <w:jc w:val="left"/>
              <w:rPr/>
            </w:pPr>
            <w:r>
              <w:rPr/>
              <w:t> </w:t>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1,365</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1,540</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1,758</w:t>
            </w:r>
          </w:p>
        </w:tc>
        <w:tc>
          <w:tcPr>
            <w:tcW w:w="158" w:type="dxa"/>
            <w:tcBorders/>
            <w:shd w:fill="CCEEFF" w:val="clear"/>
            <w:vAlign w:val="bottom"/>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net of tax (expense) benefit: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Currency translation adjustments, net of deferred taxes of $0 for each period</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21</w:t>
            </w:r>
          </w:p>
        </w:tc>
        <w:tc>
          <w:tcPr>
            <w:tcW w:w="158" w:type="dxa"/>
            <w:tcBorders/>
            <w:shd w:fill="CCEEFF" w:val="clear"/>
            <w:vAlign w:val="bottom"/>
          </w:tcPr>
          <w:p>
            <w:pPr>
              <w:pStyle w:val="TableContents"/>
              <w:bidi w:val="0"/>
              <w:spacing w:before="0" w:after="283"/>
              <w:jc w:val="left"/>
              <w:rPr/>
            </w:pPr>
            <w:r>
              <w:rPr/>
              <w:t> </w:t>
            </w:r>
          </w:p>
        </w:tc>
      </w:tr>
      <w:tr>
        <w:trPr/>
        <w:tc>
          <w:tcPr>
            <w:tcW w:w="708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 (loss)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1,364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1,541</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1,779</w:t>
            </w:r>
          </w:p>
        </w:tc>
        <w:tc>
          <w:tcPr>
            <w:tcW w:w="158" w:type="dxa"/>
            <w:tcBorders/>
            <w:vAlign w:val="bottom"/>
          </w:tcPr>
          <w:p>
            <w:pPr>
              <w:pStyle w:val="TableContents"/>
              <w:bidi w:val="0"/>
              <w:spacing w:before="0" w:after="283"/>
              <w:jc w:val="left"/>
              <w:rPr/>
            </w:pPr>
            <w:r>
              <w:rPr/>
              <w:t> </w:t>
            </w:r>
          </w:p>
        </w:tc>
      </w:tr>
      <w:tr>
        <w:trPr/>
        <w:tc>
          <w:tcPr>
            <w:tcW w:w="7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(loss) attributable to noncontrolling interests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7083" w:type="dxa"/>
            <w:tcBorders/>
          </w:tcPr>
          <w:p>
            <w:pPr>
              <w:pStyle w:val="TableContents"/>
              <w:bidi w:val="0"/>
              <w:spacing w:before="0" w:after="0"/>
              <w:jc w:val="left"/>
              <w:rPr>
                <w:rFonts w:ascii="Times New Roman" w:hAnsi="Times New Roman"/>
                <w:sz w:val="20"/>
              </w:rPr>
            </w:pPr>
            <w:r>
              <w:rPr>
                <w:rFonts w:ascii="Times New Roman" w:hAnsi="Times New Roman"/>
                <w:sz w:val="20"/>
              </w:rPr>
              <w:t>Less: Other comprehensive income (loss) attributable to noncontrolling interests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708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income attributable to Versant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1,363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1,541</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1,779</w:t>
            </w:r>
          </w:p>
        </w:tc>
        <w:tc>
          <w:tcPr>
            <w:tcW w:w="158" w:type="dxa"/>
            <w:tcBorders/>
            <w:shd w:fill="CCEEFF" w:val="clear"/>
            <w:vAlign w:val="bottom"/>
          </w:tcPr>
          <w:p>
            <w:pPr>
              <w:pStyle w:val="TableContents"/>
              <w:bidi w:val="0"/>
              <w:spacing w:before="0" w:after="283"/>
              <w:jc w:val="left"/>
              <w:rPr/>
            </w:pPr>
            <w:r>
              <w:rPr/>
              <w:t> </w:t>
            </w:r>
          </w:p>
        </w:tc>
      </w:tr>
      <w:tr>
        <w:trPr/>
        <w:tc>
          <w:tcPr>
            <w:tcW w:w="708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See accompanying notes to combined financial statements, including Note 10 for amounts of related party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VERSANT BUSINESSES OF COMCAST CORPORATION </w:t>
      </w:r>
    </w:p>
    <w:p>
      <w:pPr>
        <w:pStyle w:val="TextBody"/>
        <w:bidi w:val="0"/>
        <w:spacing w:before="0" w:after="0"/>
        <w:jc w:val="center"/>
        <w:rPr>
          <w:rFonts w:ascii="Times New Roman" w:hAnsi="Times New Roman"/>
          <w:b/>
          <w:sz w:val="20"/>
        </w:rPr>
      </w:pPr>
      <w:bookmarkStart w:id="27" w:name="fin894612_4"/>
      <w:bookmarkEnd w:id="27"/>
      <w:r>
        <w:rPr>
          <w:rFonts w:ascii="Times New Roman" w:hAnsi="Times New Roman"/>
          <w:b/>
          <w:sz w:val="20"/>
        </w:rPr>
        <w:t xml:space="preserve">COMBINED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45"/>
        <w:gridCol w:w="306"/>
        <w:gridCol w:w="140"/>
        <w:gridCol w:w="643"/>
        <w:gridCol w:w="155"/>
        <w:gridCol w:w="267"/>
        <w:gridCol w:w="140"/>
        <w:gridCol w:w="643"/>
        <w:gridCol w:w="155"/>
        <w:gridCol w:w="267"/>
        <w:gridCol w:w="140"/>
        <w:gridCol w:w="643"/>
        <w:gridCol w:w="161"/>
      </w:tblGrid>
      <w:tr>
        <w:trPr/>
        <w:tc>
          <w:tcPr>
            <w:tcW w:w="654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4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319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654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654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3193" w:type="dxa"/>
            <w:gridSpan w:val="10"/>
            <w:tcBorders/>
            <w:vAlign w:val="bottom"/>
          </w:tcPr>
          <w:p>
            <w:pPr>
              <w:pStyle w:val="TableContents"/>
              <w:bidi w:val="0"/>
              <w:spacing w:before="0" w:after="283"/>
              <w:jc w:val="center"/>
              <w:rPr>
                <w:b/>
              </w:rPr>
            </w:pPr>
            <w:r>
              <w:rPr>
                <w:b/>
              </w:rPr>
              <w:t>(in millions)</w:t>
            </w:r>
          </w:p>
        </w:tc>
        <w:tc>
          <w:tcPr>
            <w:tcW w:w="161" w:type="dxa"/>
            <w:tcBorders/>
            <w:vAlign w:val="bottom"/>
          </w:tcPr>
          <w:p>
            <w:pPr>
              <w:pStyle w:val="TableContents"/>
              <w:bidi w:val="0"/>
              <w:spacing w:before="0" w:after="283"/>
              <w:jc w:val="left"/>
              <w:rPr/>
            </w:pPr>
            <w:r>
              <w:rPr/>
              <w:t> </w:t>
            </w:r>
          </w:p>
        </w:tc>
      </w:tr>
      <w:tr>
        <w:trPr/>
        <w:tc>
          <w:tcPr>
            <w:tcW w:w="65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54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3" w:type="dxa"/>
            <w:tcBorders/>
            <w:vAlign w:val="bottom"/>
          </w:tcPr>
          <w:p>
            <w:pPr>
              <w:pStyle w:val="TableContents"/>
              <w:bidi w:val="0"/>
              <w:spacing w:before="0" w:after="283"/>
              <w:jc w:val="right"/>
              <w:rPr/>
            </w:pPr>
            <w:r>
              <w:rPr/>
              <w:t>1,365</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3" w:type="dxa"/>
            <w:tcBorders/>
            <w:vAlign w:val="bottom"/>
          </w:tcPr>
          <w:p>
            <w:pPr>
              <w:pStyle w:val="TableContents"/>
              <w:bidi w:val="0"/>
              <w:spacing w:before="0" w:after="283"/>
              <w:jc w:val="right"/>
              <w:rPr/>
            </w:pPr>
            <w:r>
              <w:rPr/>
              <w:t>1,540</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3" w:type="dxa"/>
            <w:tcBorders/>
            <w:vAlign w:val="bottom"/>
          </w:tcPr>
          <w:p>
            <w:pPr>
              <w:pStyle w:val="TableContents"/>
              <w:bidi w:val="0"/>
              <w:spacing w:before="0" w:after="283"/>
              <w:jc w:val="right"/>
              <w:rPr/>
            </w:pPr>
            <w:r>
              <w:rPr/>
              <w:t>1,758</w:t>
            </w:r>
          </w:p>
        </w:tc>
        <w:tc>
          <w:tcPr>
            <w:tcW w:w="161" w:type="dxa"/>
            <w:tcBorders/>
            <w:vAlign w:val="bottom"/>
          </w:tcPr>
          <w:p>
            <w:pPr>
              <w:pStyle w:val="TableContents"/>
              <w:bidi w:val="0"/>
              <w:spacing w:before="0" w:after="283"/>
              <w:jc w:val="left"/>
              <w:rPr/>
            </w:pPr>
            <w:r>
              <w:rPr/>
              <w:t> </w:t>
            </w:r>
          </w:p>
        </w:tc>
      </w:tr>
      <w:tr>
        <w:trPr/>
        <w:tc>
          <w:tcPr>
            <w:tcW w:w="6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54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989</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991</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992</w:t>
            </w:r>
          </w:p>
        </w:tc>
        <w:tc>
          <w:tcPr>
            <w:tcW w:w="161" w:type="dxa"/>
            <w:tcBorders/>
            <w:vAlign w:val="bottom"/>
          </w:tcPr>
          <w:p>
            <w:pPr>
              <w:pStyle w:val="TableContents"/>
              <w:bidi w:val="0"/>
              <w:spacing w:before="0" w:after="283"/>
              <w:jc w:val="left"/>
              <w:rPr/>
            </w:pPr>
            <w:r>
              <w:rPr/>
              <w:t> </w:t>
            </w:r>
          </w:p>
        </w:tc>
      </w:tr>
      <w:tr>
        <w:trPr/>
        <w:tc>
          <w:tcPr>
            <w:tcW w:w="6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17</w:t>
            </w:r>
          </w:p>
        </w:tc>
        <w:tc>
          <w:tcPr>
            <w:tcW w:w="161" w:type="dxa"/>
            <w:tcBorders/>
            <w:shd w:fill="CCEEFF" w:val="clear"/>
            <w:vAlign w:val="bottom"/>
          </w:tcPr>
          <w:p>
            <w:pPr>
              <w:pStyle w:val="TableContents"/>
              <w:bidi w:val="0"/>
              <w:spacing w:before="0" w:after="283"/>
              <w:jc w:val="left"/>
              <w:rPr/>
            </w:pPr>
            <w:r>
              <w:rPr/>
              <w:t> </w:t>
            </w:r>
          </w:p>
        </w:tc>
      </w:tr>
      <w:tr>
        <w:trPr/>
        <w:tc>
          <w:tcPr>
            <w:tcW w:w="6545" w:type="dxa"/>
            <w:tcBorders/>
          </w:tcPr>
          <w:p>
            <w:pPr>
              <w:pStyle w:val="TableContents"/>
              <w:bidi w:val="0"/>
              <w:spacing w:before="0" w:after="0"/>
              <w:jc w:val="left"/>
              <w:rPr>
                <w:rFonts w:ascii="Times New Roman" w:hAnsi="Times New Roman"/>
                <w:sz w:val="20"/>
              </w:rPr>
            </w:pPr>
            <w:r>
              <w:rPr>
                <w:rFonts w:ascii="Times New Roman" w:hAnsi="Times New Roman"/>
                <w:sz w:val="20"/>
              </w:rPr>
              <w:t>Net (gain) loss on investment activity and other</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62</w:t>
            </w:r>
          </w:p>
        </w:tc>
        <w:tc>
          <w:tcPr>
            <w:tcW w:w="161" w:type="dxa"/>
            <w:tcBorders/>
            <w:vAlign w:val="bottom"/>
          </w:tcPr>
          <w:p>
            <w:pPr>
              <w:pStyle w:val="TableContents"/>
              <w:bidi w:val="0"/>
              <w:spacing w:before="0" w:after="283"/>
              <w:jc w:val="left"/>
              <w:rPr/>
            </w:pPr>
            <w:r>
              <w:rPr/>
              <w:t> </w:t>
            </w:r>
          </w:p>
        </w:tc>
      </w:tr>
      <w:tr>
        <w:trPr/>
        <w:tc>
          <w:tcPr>
            <w:tcW w:w="6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(135</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(151</w:t>
            </w:r>
          </w:p>
        </w:tc>
        <w:tc>
          <w:tcPr>
            <w:tcW w:w="161" w:type="dxa"/>
            <w:tcBorders/>
            <w:shd w:fill="CCEEFF" w:val="clear"/>
            <w:vAlign w:val="bottom"/>
          </w:tcPr>
          <w:p>
            <w:pPr>
              <w:pStyle w:val="TableContents"/>
              <w:bidi w:val="0"/>
              <w:spacing w:before="0" w:after="283"/>
              <w:jc w:val="left"/>
              <w:rPr/>
            </w:pPr>
            <w:r>
              <w:rPr/>
              <w:t>) </w:t>
            </w:r>
          </w:p>
        </w:tc>
      </w:tr>
      <w:tr>
        <w:trPr/>
        <w:tc>
          <w:tcPr>
            <w:tcW w:w="654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and noncurrent receivables, net</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(62</w:t>
            </w:r>
          </w:p>
        </w:tc>
        <w:tc>
          <w:tcPr>
            <w:tcW w:w="161" w:type="dxa"/>
            <w:tcBorders/>
            <w:shd w:fill="CCEEFF" w:val="clear"/>
            <w:vAlign w:val="bottom"/>
          </w:tcPr>
          <w:p>
            <w:pPr>
              <w:pStyle w:val="TableContents"/>
              <w:bidi w:val="0"/>
              <w:spacing w:before="0" w:after="283"/>
              <w:jc w:val="left"/>
              <w:rPr/>
            </w:pPr>
            <w:r>
              <w:rPr/>
              <w:t>) </w:t>
            </w:r>
          </w:p>
        </w:tc>
      </w:tr>
      <w:tr>
        <w:trPr/>
        <w:tc>
          <w:tcPr>
            <w:tcW w:w="6545" w:type="dxa"/>
            <w:tcBorders/>
          </w:tcPr>
          <w:p>
            <w:pPr>
              <w:pStyle w:val="TableContents"/>
              <w:bidi w:val="0"/>
              <w:spacing w:before="0" w:after="0"/>
              <w:jc w:val="left"/>
              <w:rPr>
                <w:rFonts w:ascii="Times New Roman" w:hAnsi="Times New Roman"/>
                <w:sz w:val="20"/>
              </w:rPr>
            </w:pPr>
            <w:r>
              <w:rPr>
                <w:rFonts w:ascii="Times New Roman" w:hAnsi="Times New Roman"/>
                <w:sz w:val="20"/>
              </w:rPr>
              <w:t>Content costs, net</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155</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(42</w:t>
            </w:r>
          </w:p>
        </w:tc>
        <w:tc>
          <w:tcPr>
            <w:tcW w:w="161" w:type="dxa"/>
            <w:tcBorders/>
            <w:vAlign w:val="bottom"/>
          </w:tcPr>
          <w:p>
            <w:pPr>
              <w:pStyle w:val="TableContents"/>
              <w:bidi w:val="0"/>
              <w:spacing w:before="0" w:after="283"/>
              <w:jc w:val="left"/>
              <w:rPr/>
            </w:pPr>
            <w:r>
              <w:rPr/>
              <w:t>) </w:t>
            </w:r>
          </w:p>
        </w:tc>
      </w:tr>
      <w:tr>
        <w:trPr/>
        <w:tc>
          <w:tcPr>
            <w:tcW w:w="65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(48</w:t>
            </w:r>
          </w:p>
        </w:tc>
        <w:tc>
          <w:tcPr>
            <w:tcW w:w="161" w:type="dxa"/>
            <w:tcBorders/>
            <w:shd w:fill="CCEEFF" w:val="clear"/>
            <w:vAlign w:val="bottom"/>
          </w:tcPr>
          <w:p>
            <w:pPr>
              <w:pStyle w:val="TableContents"/>
              <w:bidi w:val="0"/>
              <w:spacing w:before="0" w:after="283"/>
              <w:jc w:val="left"/>
              <w:rPr/>
            </w:pPr>
            <w:r>
              <w:rPr/>
              <w:t>) </w:t>
            </w:r>
          </w:p>
        </w:tc>
      </w:tr>
      <w:tr>
        <w:trPr/>
        <w:tc>
          <w:tcPr>
            <w:tcW w:w="65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operating assets and liabilities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(179</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(167</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(15</w:t>
            </w:r>
          </w:p>
        </w:tc>
        <w:tc>
          <w:tcPr>
            <w:tcW w:w="161" w:type="dxa"/>
            <w:tcBorders/>
            <w:vAlign w:val="bottom"/>
          </w:tcPr>
          <w:p>
            <w:pPr>
              <w:pStyle w:val="TableContents"/>
              <w:bidi w:val="0"/>
              <w:spacing w:before="0" w:after="283"/>
              <w:jc w:val="left"/>
              <w:rPr/>
            </w:pPr>
            <w:r>
              <w:rPr/>
              <w:t>) </w:t>
            </w:r>
          </w:p>
        </w:tc>
      </w:tr>
      <w:tr>
        <w:trPr/>
        <w:tc>
          <w:tcPr>
            <w:tcW w:w="654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b/>
              </w:rPr>
            </w:pPr>
            <w:r>
              <w:rPr>
                <w:b/>
              </w:rPr>
              <w:t>2,211</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b/>
              </w:rPr>
            </w:pPr>
            <w:r>
              <w:rPr>
                <w:b/>
              </w:rPr>
              <w:t>2,428</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b/>
              </w:rPr>
            </w:pPr>
            <w:r>
              <w:rPr>
                <w:b/>
              </w:rPr>
              <w:t>2,509</w:t>
            </w:r>
          </w:p>
        </w:tc>
        <w:tc>
          <w:tcPr>
            <w:tcW w:w="161" w:type="dxa"/>
            <w:tcBorders/>
            <w:shd w:fill="CCEEFF" w:val="clear"/>
            <w:vAlign w:val="bottom"/>
          </w:tcPr>
          <w:p>
            <w:pPr>
              <w:pStyle w:val="TableContents"/>
              <w:bidi w:val="0"/>
              <w:spacing w:before="0" w:after="283"/>
              <w:jc w:val="left"/>
              <w:rPr/>
            </w:pPr>
            <w:r>
              <w:rPr/>
              <w:t> </w:t>
            </w:r>
          </w:p>
        </w:tc>
      </w:tr>
      <w:tr>
        <w:trPr/>
        <w:tc>
          <w:tcPr>
            <w:tcW w:w="654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45"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5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(65</w:t>
            </w:r>
          </w:p>
        </w:tc>
        <w:tc>
          <w:tcPr>
            <w:tcW w:w="161" w:type="dxa"/>
            <w:tcBorders/>
            <w:shd w:fill="CCEEFF" w:val="clear"/>
            <w:vAlign w:val="bottom"/>
          </w:tcPr>
          <w:p>
            <w:pPr>
              <w:pStyle w:val="TableContents"/>
              <w:bidi w:val="0"/>
              <w:spacing w:before="0" w:after="283"/>
              <w:jc w:val="left"/>
              <w:rPr/>
            </w:pPr>
            <w:r>
              <w:rPr/>
              <w:t>) </w:t>
            </w:r>
          </w:p>
        </w:tc>
      </w:tr>
      <w:tr>
        <w:trPr/>
        <w:tc>
          <w:tcPr>
            <w:tcW w:w="65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27</w:t>
            </w:r>
          </w:p>
        </w:tc>
        <w:tc>
          <w:tcPr>
            <w:tcW w:w="161" w:type="dxa"/>
            <w:tcBorders/>
            <w:vAlign w:val="bottom"/>
          </w:tcPr>
          <w:p>
            <w:pPr>
              <w:pStyle w:val="TableContents"/>
              <w:bidi w:val="0"/>
              <w:spacing w:before="0" w:after="283"/>
              <w:jc w:val="left"/>
              <w:rPr/>
            </w:pPr>
            <w:r>
              <w:rPr/>
              <w:t> </w:t>
            </w:r>
          </w:p>
        </w:tc>
      </w:tr>
      <w:tr>
        <w:trPr/>
        <w:tc>
          <w:tcPr>
            <w:tcW w:w="654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investing activities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b/>
              </w:rPr>
            </w:pPr>
            <w:r>
              <w:rPr>
                <w:b/>
              </w:rPr>
              <w:t>(71</w:t>
            </w:r>
          </w:p>
        </w:tc>
        <w:tc>
          <w:tcPr>
            <w:tcW w:w="155" w:type="dxa"/>
            <w:tcBorders/>
            <w:shd w:fill="CCEEFF" w:val="clear"/>
            <w:vAlign w:val="bottom"/>
          </w:tcPr>
          <w:p>
            <w:pPr>
              <w:pStyle w:val="TableContents"/>
              <w:bidi w:val="0"/>
              <w:spacing w:before="0" w:after="283"/>
              <w:jc w:val="left"/>
              <w:rPr>
                <w:b/>
              </w:rPr>
            </w:pPr>
            <w:r>
              <w:rPr>
                <w:b/>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b/>
              </w:rPr>
            </w:pPr>
            <w:r>
              <w:rPr>
                <w:b/>
              </w:rPr>
              <w:t>(60</w:t>
            </w:r>
          </w:p>
        </w:tc>
        <w:tc>
          <w:tcPr>
            <w:tcW w:w="155" w:type="dxa"/>
            <w:tcBorders/>
            <w:shd w:fill="CCEEFF" w:val="clear"/>
            <w:vAlign w:val="bottom"/>
          </w:tcPr>
          <w:p>
            <w:pPr>
              <w:pStyle w:val="TableContents"/>
              <w:bidi w:val="0"/>
              <w:spacing w:before="0" w:after="283"/>
              <w:jc w:val="left"/>
              <w:rPr>
                <w:b/>
              </w:rPr>
            </w:pPr>
            <w:r>
              <w:rPr>
                <w:b/>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b/>
              </w:rPr>
            </w:pPr>
            <w:r>
              <w:rPr>
                <w:b/>
              </w:rPr>
              <w:t>(39</w:t>
            </w:r>
          </w:p>
        </w:tc>
        <w:tc>
          <w:tcPr>
            <w:tcW w:w="161" w:type="dxa"/>
            <w:tcBorders/>
            <w:shd w:fill="CCEEFF" w:val="clear"/>
            <w:vAlign w:val="bottom"/>
          </w:tcPr>
          <w:p>
            <w:pPr>
              <w:pStyle w:val="TableContents"/>
              <w:bidi w:val="0"/>
              <w:spacing w:before="0" w:after="283"/>
              <w:jc w:val="left"/>
              <w:rPr>
                <w:b/>
              </w:rPr>
            </w:pPr>
            <w:r>
              <w:rPr>
                <w:b/>
              </w:rPr>
              <w:t>) </w:t>
            </w:r>
          </w:p>
        </w:tc>
      </w:tr>
      <w:tr>
        <w:trPr/>
        <w:tc>
          <w:tcPr>
            <w:tcW w:w="654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45"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5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Change in net Parent investment</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(2,142</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(2,359</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(2,492</w:t>
            </w:r>
          </w:p>
        </w:tc>
        <w:tc>
          <w:tcPr>
            <w:tcW w:w="161" w:type="dxa"/>
            <w:tcBorders/>
            <w:shd w:fill="CCEEFF" w:val="clear"/>
            <w:vAlign w:val="bottom"/>
          </w:tcPr>
          <w:p>
            <w:pPr>
              <w:pStyle w:val="TableContents"/>
              <w:bidi w:val="0"/>
              <w:spacing w:before="0" w:after="283"/>
              <w:jc w:val="left"/>
              <w:rPr/>
            </w:pPr>
            <w:r>
              <w:rPr/>
              <w:t>) </w:t>
            </w:r>
          </w:p>
        </w:tc>
      </w:tr>
      <w:tr>
        <w:trPr/>
        <w:tc>
          <w:tcPr>
            <w:tcW w:w="65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6</w:t>
            </w:r>
          </w:p>
        </w:tc>
        <w:tc>
          <w:tcPr>
            <w:tcW w:w="161" w:type="dxa"/>
            <w:tcBorders/>
            <w:vAlign w:val="bottom"/>
          </w:tcPr>
          <w:p>
            <w:pPr>
              <w:pStyle w:val="TableContents"/>
              <w:bidi w:val="0"/>
              <w:spacing w:before="0" w:after="283"/>
              <w:jc w:val="left"/>
              <w:rPr/>
            </w:pPr>
            <w:r>
              <w:rPr/>
              <w:t> </w:t>
            </w:r>
          </w:p>
        </w:tc>
      </w:tr>
      <w:tr>
        <w:trPr/>
        <w:tc>
          <w:tcPr>
            <w:tcW w:w="654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financing activities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b/>
              </w:rPr>
            </w:pPr>
            <w:r>
              <w:rPr>
                <w:b/>
              </w:rPr>
              <w:t>(2,155</w:t>
            </w:r>
          </w:p>
        </w:tc>
        <w:tc>
          <w:tcPr>
            <w:tcW w:w="155" w:type="dxa"/>
            <w:tcBorders/>
            <w:shd w:fill="CCEEFF" w:val="clear"/>
            <w:vAlign w:val="bottom"/>
          </w:tcPr>
          <w:p>
            <w:pPr>
              <w:pStyle w:val="TableContents"/>
              <w:bidi w:val="0"/>
              <w:spacing w:before="0" w:after="283"/>
              <w:jc w:val="left"/>
              <w:rPr>
                <w:b/>
              </w:rPr>
            </w:pPr>
            <w:r>
              <w:rPr>
                <w:b/>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b/>
              </w:rPr>
            </w:pPr>
            <w:r>
              <w:rPr>
                <w:b/>
              </w:rPr>
              <w:t>(2,355</w:t>
            </w:r>
          </w:p>
        </w:tc>
        <w:tc>
          <w:tcPr>
            <w:tcW w:w="155" w:type="dxa"/>
            <w:tcBorders/>
            <w:shd w:fill="CCEEFF" w:val="clear"/>
            <w:vAlign w:val="bottom"/>
          </w:tcPr>
          <w:p>
            <w:pPr>
              <w:pStyle w:val="TableContents"/>
              <w:bidi w:val="0"/>
              <w:spacing w:before="0" w:after="283"/>
              <w:jc w:val="left"/>
              <w:rPr>
                <w:b/>
              </w:rPr>
            </w:pPr>
            <w:r>
              <w:rPr>
                <w:b/>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b/>
              </w:rPr>
            </w:pPr>
            <w:r>
              <w:rPr>
                <w:b/>
              </w:rPr>
              <w:t>(2,486</w:t>
            </w:r>
          </w:p>
        </w:tc>
        <w:tc>
          <w:tcPr>
            <w:tcW w:w="161" w:type="dxa"/>
            <w:tcBorders/>
            <w:shd w:fill="CCEEFF" w:val="clear"/>
            <w:vAlign w:val="bottom"/>
          </w:tcPr>
          <w:p>
            <w:pPr>
              <w:pStyle w:val="TableContents"/>
              <w:bidi w:val="0"/>
              <w:spacing w:before="0" w:after="283"/>
              <w:jc w:val="left"/>
              <w:rPr>
                <w:b/>
              </w:rPr>
            </w:pPr>
            <w:r>
              <w:rPr>
                <w:b/>
              </w:rPr>
              <w:t>) </w:t>
            </w:r>
          </w:p>
        </w:tc>
      </w:tr>
      <w:tr>
        <w:trPr/>
        <w:tc>
          <w:tcPr>
            <w:tcW w:w="654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Increase (decrease) in cash, cash equivalents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(15</w:t>
            </w:r>
          </w:p>
        </w:tc>
        <w:tc>
          <w:tcPr>
            <w:tcW w:w="161" w:type="dxa"/>
            <w:tcBorders/>
            <w:vAlign w:val="bottom"/>
          </w:tcPr>
          <w:p>
            <w:pPr>
              <w:pStyle w:val="TableContents"/>
              <w:bidi w:val="0"/>
              <w:spacing w:before="0" w:after="283"/>
              <w:jc w:val="left"/>
              <w:rPr/>
            </w:pPr>
            <w:r>
              <w:rPr/>
              <w:t>) </w:t>
            </w:r>
          </w:p>
        </w:tc>
      </w:tr>
      <w:tr>
        <w:trPr/>
        <w:tc>
          <w:tcPr>
            <w:tcW w:w="65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year</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26</w:t>
            </w:r>
          </w:p>
        </w:tc>
        <w:tc>
          <w:tcPr>
            <w:tcW w:w="161" w:type="dxa"/>
            <w:tcBorders/>
            <w:shd w:fill="CCEEFF" w:val="clear"/>
            <w:vAlign w:val="bottom"/>
          </w:tcPr>
          <w:p>
            <w:pPr>
              <w:pStyle w:val="TableContents"/>
              <w:bidi w:val="0"/>
              <w:spacing w:before="0" w:after="283"/>
              <w:jc w:val="left"/>
              <w:rPr/>
            </w:pPr>
            <w:r>
              <w:rPr/>
              <w:t> </w:t>
            </w:r>
          </w:p>
        </w:tc>
      </w:tr>
      <w:tr>
        <w:trPr/>
        <w:tc>
          <w:tcPr>
            <w:tcW w:w="654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year</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43" w:type="dxa"/>
            <w:tcBorders/>
            <w:vAlign w:val="bottom"/>
          </w:tcPr>
          <w:p>
            <w:pPr>
              <w:pStyle w:val="TableContents"/>
              <w:bidi w:val="0"/>
              <w:spacing w:before="0" w:after="283"/>
              <w:jc w:val="right"/>
              <w:rPr>
                <w:b/>
              </w:rPr>
            </w:pPr>
            <w:r>
              <w:rPr>
                <w:b/>
              </w:rPr>
              <w:t>8</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43" w:type="dxa"/>
            <w:tcBorders/>
            <w:vAlign w:val="bottom"/>
          </w:tcPr>
          <w:p>
            <w:pPr>
              <w:pStyle w:val="TableContents"/>
              <w:bidi w:val="0"/>
              <w:spacing w:before="0" w:after="283"/>
              <w:jc w:val="right"/>
              <w:rPr>
                <w:b/>
              </w:rPr>
            </w:pPr>
            <w:r>
              <w:rPr>
                <w:b/>
              </w:rPr>
              <w:t>23</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43" w:type="dxa"/>
            <w:tcBorders/>
            <w:vAlign w:val="bottom"/>
          </w:tcPr>
          <w:p>
            <w:pPr>
              <w:pStyle w:val="TableContents"/>
              <w:bidi w:val="0"/>
              <w:spacing w:before="0" w:after="283"/>
              <w:jc w:val="right"/>
              <w:rPr>
                <w:b/>
              </w:rPr>
            </w:pPr>
            <w:r>
              <w:rPr>
                <w:b/>
              </w:rPr>
              <w:t>11</w:t>
            </w:r>
          </w:p>
        </w:tc>
        <w:tc>
          <w:tcPr>
            <w:tcW w:w="161" w:type="dxa"/>
            <w:tcBorders/>
            <w:vAlign w:val="bottom"/>
          </w:tcPr>
          <w:p>
            <w:pPr>
              <w:pStyle w:val="TableContents"/>
              <w:bidi w:val="0"/>
              <w:spacing w:before="0" w:after="283"/>
              <w:jc w:val="left"/>
              <w:rPr/>
            </w:pPr>
            <w:r>
              <w:rPr/>
              <w:t> </w:t>
            </w:r>
          </w:p>
        </w:tc>
      </w:tr>
      <w:tr>
        <w:trPr/>
        <w:tc>
          <w:tcPr>
            <w:tcW w:w="654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See accompanying notes to combined financial statements, including Note 10 for amounts of related party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VERSANT BUSINESSES OF COMCAST CORPORATION </w:t>
      </w:r>
    </w:p>
    <w:p>
      <w:pPr>
        <w:pStyle w:val="TextBody"/>
        <w:bidi w:val="0"/>
        <w:spacing w:before="0" w:after="0"/>
        <w:jc w:val="center"/>
        <w:rPr>
          <w:rFonts w:ascii="Times New Roman" w:hAnsi="Times New Roman"/>
          <w:b/>
          <w:sz w:val="20"/>
        </w:rPr>
      </w:pPr>
      <w:bookmarkStart w:id="28" w:name="fin894612_5"/>
      <w:bookmarkEnd w:id="28"/>
      <w:r>
        <w:rPr>
          <w:rFonts w:ascii="Times New Roman" w:hAnsi="Times New Roman"/>
          <w:b/>
          <w:sz w:val="20"/>
        </w:rPr>
        <w:t xml:space="preserve">COMBINED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20"/>
        <w:gridCol w:w="230"/>
        <w:gridCol w:w="140"/>
        <w:gridCol w:w="681"/>
        <w:gridCol w:w="155"/>
        <w:gridCol w:w="200"/>
        <w:gridCol w:w="140"/>
        <w:gridCol w:w="681"/>
        <w:gridCol w:w="158"/>
      </w:tblGrid>
      <w:tr>
        <w:trPr/>
        <w:tc>
          <w:tcPr>
            <w:tcW w:w="782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78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78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997" w:type="dxa"/>
            <w:gridSpan w:val="6"/>
            <w:tcBorders/>
            <w:vAlign w:val="bottom"/>
          </w:tcPr>
          <w:p>
            <w:pPr>
              <w:pStyle w:val="TableContents"/>
              <w:bidi w:val="0"/>
              <w:spacing w:before="0" w:after="283"/>
              <w:jc w:val="center"/>
              <w:rPr>
                <w:b/>
              </w:rPr>
            </w:pPr>
            <w:r>
              <w:rPr>
                <w:b/>
              </w:rPr>
              <w:t>(in millions)</w:t>
            </w:r>
          </w:p>
        </w:tc>
        <w:tc>
          <w:tcPr>
            <w:tcW w:w="158" w:type="dxa"/>
            <w:tcBorders/>
            <w:vAlign w:val="bottom"/>
          </w:tcPr>
          <w:p>
            <w:pPr>
              <w:pStyle w:val="TableContents"/>
              <w:bidi w:val="0"/>
              <w:spacing w:before="0" w:after="283"/>
              <w:jc w:val="left"/>
              <w:rPr/>
            </w:pPr>
            <w:r>
              <w:rPr/>
              <w:t> </w:t>
            </w:r>
          </w:p>
        </w:tc>
      </w:tr>
      <w:tr>
        <w:trPr/>
        <w:tc>
          <w:tcPr>
            <w:tcW w:w="78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82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23</w:t>
            </w:r>
          </w:p>
        </w:tc>
        <w:tc>
          <w:tcPr>
            <w:tcW w:w="158" w:type="dxa"/>
            <w:tcBorders/>
            <w:shd w:fill="CCEEFF" w:val="clear"/>
            <w:vAlign w:val="bottom"/>
          </w:tcPr>
          <w:p>
            <w:pPr>
              <w:pStyle w:val="TableContents"/>
              <w:bidi w:val="0"/>
              <w:spacing w:before="0" w:after="283"/>
              <w:jc w:val="left"/>
              <w:rPr/>
            </w:pPr>
            <w:r>
              <w:rPr/>
              <w:t> </w:t>
            </w:r>
          </w:p>
        </w:tc>
      </w:tr>
      <w:tr>
        <w:trPr/>
        <w:tc>
          <w:tcPr>
            <w:tcW w:w="7820" w:type="dxa"/>
            <w:tcBorders/>
          </w:tcPr>
          <w:p>
            <w:pPr>
              <w:pStyle w:val="TableContents"/>
              <w:bidi w:val="0"/>
              <w:spacing w:before="0" w:after="0"/>
              <w:jc w:val="left"/>
              <w:rPr>
                <w:rFonts w:ascii="Times New Roman" w:hAnsi="Times New Roman"/>
                <w:sz w:val="20"/>
              </w:rPr>
            </w:pPr>
            <w:r>
              <w:rPr>
                <w:rFonts w:ascii="Times New Roman" w:hAnsi="Times New Roman"/>
                <w:sz w:val="20"/>
              </w:rPr>
              <w:t>Receivables, net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1,245</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1,346</w:t>
            </w:r>
          </w:p>
        </w:tc>
        <w:tc>
          <w:tcPr>
            <w:tcW w:w="158" w:type="dxa"/>
            <w:tcBorders/>
            <w:vAlign w:val="bottom"/>
          </w:tcPr>
          <w:p>
            <w:pPr>
              <w:pStyle w:val="TableContents"/>
              <w:bidi w:val="0"/>
              <w:spacing w:before="0" w:after="283"/>
              <w:jc w:val="left"/>
              <w:rPr/>
            </w:pPr>
            <w:r>
              <w:rPr/>
              <w:t> </w:t>
            </w:r>
          </w:p>
        </w:tc>
      </w:tr>
      <w:tr>
        <w:trPr/>
        <w:tc>
          <w:tcPr>
            <w:tcW w:w="7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65</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52</w:t>
            </w:r>
          </w:p>
        </w:tc>
        <w:tc>
          <w:tcPr>
            <w:tcW w:w="158" w:type="dxa"/>
            <w:tcBorders/>
            <w:shd w:fill="CCEEFF" w:val="clear"/>
            <w:vAlign w:val="bottom"/>
          </w:tcPr>
          <w:p>
            <w:pPr>
              <w:pStyle w:val="TableContents"/>
              <w:bidi w:val="0"/>
              <w:spacing w:before="0" w:after="283"/>
              <w:jc w:val="left"/>
              <w:rPr/>
            </w:pPr>
            <w:r>
              <w:rPr/>
              <w:t> </w:t>
            </w:r>
          </w:p>
        </w:tc>
      </w:tr>
      <w:tr>
        <w:trPr/>
        <w:tc>
          <w:tcPr>
            <w:tcW w:w="782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20"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1,318</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1,422</w:t>
            </w:r>
          </w:p>
        </w:tc>
        <w:tc>
          <w:tcPr>
            <w:tcW w:w="158" w:type="dxa"/>
            <w:tcBorders/>
            <w:vAlign w:val="bottom"/>
          </w:tcPr>
          <w:p>
            <w:pPr>
              <w:pStyle w:val="TableContents"/>
              <w:bidi w:val="0"/>
              <w:spacing w:before="0" w:after="283"/>
              <w:jc w:val="left"/>
              <w:rPr/>
            </w:pPr>
            <w:r>
              <w:rPr/>
              <w:t> </w:t>
            </w:r>
          </w:p>
        </w:tc>
      </w:tr>
      <w:tr>
        <w:trPr/>
        <w:tc>
          <w:tcPr>
            <w:tcW w:w="7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Content costs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639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706</w:t>
            </w:r>
          </w:p>
        </w:tc>
        <w:tc>
          <w:tcPr>
            <w:tcW w:w="158" w:type="dxa"/>
            <w:tcBorders/>
            <w:shd w:fill="CCEEFF" w:val="clear"/>
            <w:vAlign w:val="bottom"/>
          </w:tcPr>
          <w:p>
            <w:pPr>
              <w:pStyle w:val="TableContents"/>
              <w:bidi w:val="0"/>
              <w:spacing w:before="0" w:after="283"/>
              <w:jc w:val="left"/>
              <w:rPr/>
            </w:pPr>
            <w:r>
              <w:rPr/>
              <w:t> </w:t>
            </w:r>
          </w:p>
        </w:tc>
      </w:tr>
      <w:tr>
        <w:trPr/>
        <w:tc>
          <w:tcPr>
            <w:tcW w:w="7820" w:type="dxa"/>
            <w:tcBorders/>
          </w:tcPr>
          <w:p>
            <w:pPr>
              <w:pStyle w:val="TableContents"/>
              <w:bidi w:val="0"/>
              <w:spacing w:before="0" w:after="0"/>
              <w:jc w:val="left"/>
              <w:rPr>
                <w:rFonts w:ascii="Times New Roman" w:hAnsi="Times New Roman"/>
                <w:sz w:val="20"/>
              </w:rPr>
            </w:pPr>
            <w:r>
              <w:rPr>
                <w:rFonts w:ascii="Times New Roman" w:hAnsi="Times New Roman"/>
                <w:sz w:val="20"/>
              </w:rPr>
              <w:t>Investments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254</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254</w:t>
            </w:r>
          </w:p>
        </w:tc>
        <w:tc>
          <w:tcPr>
            <w:tcW w:w="158" w:type="dxa"/>
            <w:tcBorders/>
            <w:vAlign w:val="bottom"/>
          </w:tcPr>
          <w:p>
            <w:pPr>
              <w:pStyle w:val="TableContents"/>
              <w:bidi w:val="0"/>
              <w:spacing w:before="0" w:after="283"/>
              <w:jc w:val="left"/>
              <w:rPr/>
            </w:pPr>
            <w:r>
              <w:rPr/>
              <w:t> </w:t>
            </w:r>
          </w:p>
        </w:tc>
      </w:tr>
      <w:tr>
        <w:trPr/>
        <w:tc>
          <w:tcPr>
            <w:tcW w:w="7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143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161</w:t>
            </w:r>
          </w:p>
        </w:tc>
        <w:tc>
          <w:tcPr>
            <w:tcW w:w="158" w:type="dxa"/>
            <w:tcBorders/>
            <w:shd w:fill="CCEEFF" w:val="clear"/>
            <w:vAlign w:val="bottom"/>
          </w:tcPr>
          <w:p>
            <w:pPr>
              <w:pStyle w:val="TableContents"/>
              <w:bidi w:val="0"/>
              <w:spacing w:before="0" w:after="283"/>
              <w:jc w:val="left"/>
              <w:rPr/>
            </w:pPr>
            <w:r>
              <w:rPr/>
              <w:t> </w:t>
            </w:r>
          </w:p>
        </w:tc>
      </w:tr>
      <w:tr>
        <w:trPr/>
        <w:tc>
          <w:tcPr>
            <w:tcW w:w="7820"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1,869</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2,795</w:t>
            </w:r>
          </w:p>
        </w:tc>
        <w:tc>
          <w:tcPr>
            <w:tcW w:w="158" w:type="dxa"/>
            <w:tcBorders/>
            <w:vAlign w:val="bottom"/>
          </w:tcPr>
          <w:p>
            <w:pPr>
              <w:pStyle w:val="TableContents"/>
              <w:bidi w:val="0"/>
              <w:spacing w:before="0" w:after="283"/>
              <w:jc w:val="left"/>
              <w:rPr/>
            </w:pPr>
            <w:r>
              <w:rPr/>
              <w:t> </w:t>
            </w:r>
          </w:p>
        </w:tc>
      </w:tr>
      <w:tr>
        <w:trPr/>
        <w:tc>
          <w:tcPr>
            <w:tcW w:w="7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7,732</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7,732</w:t>
            </w:r>
          </w:p>
        </w:tc>
        <w:tc>
          <w:tcPr>
            <w:tcW w:w="158" w:type="dxa"/>
            <w:tcBorders/>
            <w:shd w:fill="CCEEFF" w:val="clear"/>
            <w:vAlign w:val="bottom"/>
          </w:tcPr>
          <w:p>
            <w:pPr>
              <w:pStyle w:val="TableContents"/>
              <w:bidi w:val="0"/>
              <w:spacing w:before="0" w:after="283"/>
              <w:jc w:val="left"/>
              <w:rPr/>
            </w:pPr>
            <w:r>
              <w:rPr/>
              <w:t> </w:t>
            </w:r>
          </w:p>
        </w:tc>
      </w:tr>
      <w:tr>
        <w:trPr/>
        <w:tc>
          <w:tcPr>
            <w:tcW w:w="7820"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 net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94</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28</w:t>
            </w:r>
          </w:p>
        </w:tc>
        <w:tc>
          <w:tcPr>
            <w:tcW w:w="158" w:type="dxa"/>
            <w:tcBorders/>
            <w:vAlign w:val="bottom"/>
          </w:tcPr>
          <w:p>
            <w:pPr>
              <w:pStyle w:val="TableContents"/>
              <w:bidi w:val="0"/>
              <w:spacing w:before="0" w:after="283"/>
              <w:jc w:val="left"/>
              <w:rPr/>
            </w:pPr>
            <w:r>
              <w:rPr/>
              <w:t> </w:t>
            </w:r>
          </w:p>
        </w:tc>
      </w:tr>
      <w:tr>
        <w:trPr/>
        <w:tc>
          <w:tcPr>
            <w:tcW w:w="782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2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1" w:type="dxa"/>
            <w:tcBorders/>
            <w:shd w:fill="CCEEFF" w:val="clear"/>
            <w:vAlign w:val="bottom"/>
          </w:tcPr>
          <w:p>
            <w:pPr>
              <w:pStyle w:val="TableContents"/>
              <w:bidi w:val="0"/>
              <w:spacing w:before="0" w:after="283"/>
              <w:jc w:val="right"/>
              <w:rPr>
                <w:b/>
              </w:rPr>
            </w:pPr>
            <w:r>
              <w:rPr>
                <w:b/>
              </w:rPr>
              <w:t>12,049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1" w:type="dxa"/>
            <w:tcBorders/>
            <w:shd w:fill="CCEEFF" w:val="clear"/>
            <w:vAlign w:val="bottom"/>
          </w:tcPr>
          <w:p>
            <w:pPr>
              <w:pStyle w:val="TableContents"/>
              <w:bidi w:val="0"/>
              <w:spacing w:before="0" w:after="283"/>
              <w:jc w:val="right"/>
              <w:rPr>
                <w:b/>
              </w:rPr>
            </w:pPr>
            <w:r>
              <w:rPr>
                <w:b/>
              </w:rPr>
              <w:t>13,099</w:t>
            </w:r>
          </w:p>
        </w:tc>
        <w:tc>
          <w:tcPr>
            <w:tcW w:w="158" w:type="dxa"/>
            <w:tcBorders/>
            <w:shd w:fill="CCEEFF" w:val="clear"/>
            <w:vAlign w:val="bottom"/>
          </w:tcPr>
          <w:p>
            <w:pPr>
              <w:pStyle w:val="TableContents"/>
              <w:bidi w:val="0"/>
              <w:spacing w:before="0" w:after="283"/>
              <w:jc w:val="left"/>
              <w:rPr/>
            </w:pPr>
            <w:r>
              <w:rPr/>
              <w:t> </w:t>
            </w:r>
          </w:p>
        </w:tc>
      </w:tr>
      <w:tr>
        <w:trPr/>
        <w:tc>
          <w:tcPr>
            <w:tcW w:w="782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20"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82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105</w:t>
            </w:r>
          </w:p>
        </w:tc>
        <w:tc>
          <w:tcPr>
            <w:tcW w:w="158" w:type="dxa"/>
            <w:tcBorders/>
            <w:vAlign w:val="bottom"/>
          </w:tcPr>
          <w:p>
            <w:pPr>
              <w:pStyle w:val="TableContents"/>
              <w:bidi w:val="0"/>
              <w:spacing w:before="0" w:after="283"/>
              <w:jc w:val="left"/>
              <w:rPr/>
            </w:pPr>
            <w:r>
              <w:rPr/>
              <w:t> </w:t>
            </w:r>
          </w:p>
        </w:tc>
      </w:tr>
      <w:tr>
        <w:trPr/>
        <w:tc>
          <w:tcPr>
            <w:tcW w:w="7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135</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116</w:t>
            </w:r>
          </w:p>
        </w:tc>
        <w:tc>
          <w:tcPr>
            <w:tcW w:w="158" w:type="dxa"/>
            <w:tcBorders/>
            <w:shd w:fill="CCEEFF" w:val="clear"/>
            <w:vAlign w:val="bottom"/>
          </w:tcPr>
          <w:p>
            <w:pPr>
              <w:pStyle w:val="TableContents"/>
              <w:bidi w:val="0"/>
              <w:spacing w:before="0" w:after="283"/>
              <w:jc w:val="left"/>
              <w:rPr/>
            </w:pPr>
            <w:r>
              <w:rPr/>
              <w:t> </w:t>
            </w:r>
          </w:p>
        </w:tc>
      </w:tr>
      <w:tr>
        <w:trPr/>
        <w:tc>
          <w:tcPr>
            <w:tcW w:w="7820" w:type="dxa"/>
            <w:tcBorders/>
          </w:tcPr>
          <w:p>
            <w:pPr>
              <w:pStyle w:val="TableContents"/>
              <w:bidi w:val="0"/>
              <w:spacing w:before="0" w:after="0"/>
              <w:jc w:val="left"/>
              <w:rPr>
                <w:rFonts w:ascii="Times New Roman" w:hAnsi="Times New Roman"/>
                <w:sz w:val="20"/>
              </w:rPr>
            </w:pPr>
            <w:r>
              <w:rPr>
                <w:rFonts w:ascii="Times New Roman" w:hAnsi="Times New Roman"/>
                <w:sz w:val="20"/>
              </w:rPr>
              <w:t>Accrued content obligations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198</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233</w:t>
            </w:r>
          </w:p>
        </w:tc>
        <w:tc>
          <w:tcPr>
            <w:tcW w:w="158" w:type="dxa"/>
            <w:tcBorders/>
            <w:vAlign w:val="bottom"/>
          </w:tcPr>
          <w:p>
            <w:pPr>
              <w:pStyle w:val="TableContents"/>
              <w:bidi w:val="0"/>
              <w:spacing w:before="0" w:after="283"/>
              <w:jc w:val="left"/>
              <w:rPr/>
            </w:pPr>
            <w:r>
              <w:rPr/>
              <w:t> </w:t>
            </w:r>
          </w:p>
        </w:tc>
      </w:tr>
      <w:tr>
        <w:trPr/>
        <w:tc>
          <w:tcPr>
            <w:tcW w:w="7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employee costs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43</w:t>
            </w:r>
          </w:p>
        </w:tc>
        <w:tc>
          <w:tcPr>
            <w:tcW w:w="158" w:type="dxa"/>
            <w:tcBorders/>
            <w:shd w:fill="CCEEFF" w:val="clear"/>
            <w:vAlign w:val="bottom"/>
          </w:tcPr>
          <w:p>
            <w:pPr>
              <w:pStyle w:val="TableContents"/>
              <w:bidi w:val="0"/>
              <w:spacing w:before="0" w:after="283"/>
              <w:jc w:val="left"/>
              <w:rPr/>
            </w:pPr>
            <w:r>
              <w:rPr/>
              <w:t> </w:t>
            </w:r>
          </w:p>
        </w:tc>
      </w:tr>
      <w:tr>
        <w:trPr/>
        <w:tc>
          <w:tcPr>
            <w:tcW w:w="782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111</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118</w:t>
            </w:r>
          </w:p>
        </w:tc>
        <w:tc>
          <w:tcPr>
            <w:tcW w:w="158" w:type="dxa"/>
            <w:tcBorders/>
            <w:vAlign w:val="bottom"/>
          </w:tcPr>
          <w:p>
            <w:pPr>
              <w:pStyle w:val="TableContents"/>
              <w:bidi w:val="0"/>
              <w:spacing w:before="0" w:after="283"/>
              <w:jc w:val="left"/>
              <w:rPr/>
            </w:pPr>
            <w:r>
              <w:rPr/>
              <w:t> </w:t>
            </w:r>
          </w:p>
        </w:tc>
      </w:tr>
      <w:tr>
        <w:trPr/>
        <w:tc>
          <w:tcPr>
            <w:tcW w:w="782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590</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614</w:t>
            </w:r>
          </w:p>
        </w:tc>
        <w:tc>
          <w:tcPr>
            <w:tcW w:w="158" w:type="dxa"/>
            <w:tcBorders/>
            <w:shd w:fill="CCEEFF" w:val="clear"/>
            <w:vAlign w:val="bottom"/>
          </w:tcPr>
          <w:p>
            <w:pPr>
              <w:pStyle w:val="TableContents"/>
              <w:bidi w:val="0"/>
              <w:spacing w:before="0" w:after="283"/>
              <w:jc w:val="left"/>
              <w:rPr/>
            </w:pPr>
            <w:r>
              <w:rPr/>
              <w:t> </w:t>
            </w:r>
          </w:p>
        </w:tc>
      </w:tr>
      <w:tr>
        <w:trPr/>
        <w:tc>
          <w:tcPr>
            <w:tcW w:w="7820"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428</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572</w:t>
            </w:r>
          </w:p>
        </w:tc>
        <w:tc>
          <w:tcPr>
            <w:tcW w:w="158" w:type="dxa"/>
            <w:tcBorders/>
            <w:vAlign w:val="bottom"/>
          </w:tcPr>
          <w:p>
            <w:pPr>
              <w:pStyle w:val="TableContents"/>
              <w:bidi w:val="0"/>
              <w:spacing w:before="0" w:after="283"/>
              <w:jc w:val="left"/>
              <w:rPr/>
            </w:pPr>
            <w:r>
              <w:rPr/>
              <w:t> </w:t>
            </w:r>
          </w:p>
        </w:tc>
      </w:tr>
      <w:tr>
        <w:trPr/>
        <w:tc>
          <w:tcPr>
            <w:tcW w:w="7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content obligations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77</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191</w:t>
            </w:r>
          </w:p>
        </w:tc>
        <w:tc>
          <w:tcPr>
            <w:tcW w:w="158" w:type="dxa"/>
            <w:tcBorders/>
            <w:shd w:fill="CCEEFF" w:val="clear"/>
            <w:vAlign w:val="bottom"/>
          </w:tcPr>
          <w:p>
            <w:pPr>
              <w:pStyle w:val="TableContents"/>
              <w:bidi w:val="0"/>
              <w:spacing w:before="0" w:after="283"/>
              <w:jc w:val="left"/>
              <w:rPr/>
            </w:pPr>
            <w:r>
              <w:rPr/>
              <w:t> </w:t>
            </w:r>
          </w:p>
        </w:tc>
      </w:tr>
      <w:tr>
        <w:trPr/>
        <w:tc>
          <w:tcPr>
            <w:tcW w:w="7820"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46</w:t>
            </w:r>
          </w:p>
        </w:tc>
        <w:tc>
          <w:tcPr>
            <w:tcW w:w="158" w:type="dxa"/>
            <w:tcBorders/>
            <w:vAlign w:val="bottom"/>
          </w:tcPr>
          <w:p>
            <w:pPr>
              <w:pStyle w:val="TableContents"/>
              <w:bidi w:val="0"/>
              <w:spacing w:before="0" w:after="283"/>
              <w:jc w:val="left"/>
              <w:rPr/>
            </w:pPr>
            <w:r>
              <w:rPr/>
              <w:t> </w:t>
            </w:r>
          </w:p>
        </w:tc>
      </w:tr>
      <w:tr>
        <w:trPr/>
        <w:tc>
          <w:tcPr>
            <w:tcW w:w="78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b/>
              </w:rPr>
            </w:pPr>
            <w:r>
              <w:rPr>
                <w:b/>
              </w:rPr>
              <w:t> </w:t>
            </w:r>
          </w:p>
        </w:tc>
        <w:tc>
          <w:tcPr>
            <w:tcW w:w="158" w:type="dxa"/>
            <w:tcBorders/>
            <w:shd w:fill="CCEEFF" w:val="clear"/>
            <w:vAlign w:val="bottom"/>
          </w:tcPr>
          <w:p>
            <w:pPr>
              <w:pStyle w:val="TableContents"/>
              <w:bidi w:val="0"/>
              <w:spacing w:before="0" w:after="283"/>
              <w:jc w:val="left"/>
              <w:rPr/>
            </w:pPr>
            <w:r>
              <w:rPr/>
              <w:t> </w:t>
            </w:r>
          </w:p>
        </w:tc>
      </w:tr>
      <w:tr>
        <w:trPr/>
        <w:tc>
          <w:tcPr>
            <w:tcW w:w="7820"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Parent investment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10,805</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11,568</w:t>
            </w:r>
          </w:p>
        </w:tc>
        <w:tc>
          <w:tcPr>
            <w:tcW w:w="158" w:type="dxa"/>
            <w:tcBorders/>
            <w:shd w:fill="CCEEFF" w:val="clear"/>
            <w:vAlign w:val="bottom"/>
          </w:tcPr>
          <w:p>
            <w:pPr>
              <w:pStyle w:val="TableContents"/>
              <w:bidi w:val="0"/>
              <w:spacing w:before="0" w:after="283"/>
              <w:jc w:val="left"/>
              <w:rPr/>
            </w:pPr>
            <w:r>
              <w:rPr/>
              <w:t> </w:t>
            </w:r>
          </w:p>
        </w:tc>
      </w:tr>
      <w:tr>
        <w:trPr/>
        <w:tc>
          <w:tcPr>
            <w:tcW w:w="782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(8</w:t>
            </w:r>
          </w:p>
        </w:tc>
        <w:tc>
          <w:tcPr>
            <w:tcW w:w="158" w:type="dxa"/>
            <w:tcBorders/>
            <w:vAlign w:val="bottom"/>
          </w:tcPr>
          <w:p>
            <w:pPr>
              <w:pStyle w:val="TableContents"/>
              <w:bidi w:val="0"/>
              <w:spacing w:before="0" w:after="283"/>
              <w:jc w:val="left"/>
              <w:rPr/>
            </w:pPr>
            <w:r>
              <w:rPr/>
              <w:t>) </w:t>
            </w:r>
          </w:p>
        </w:tc>
      </w:tr>
      <w:tr>
        <w:trPr/>
        <w:tc>
          <w:tcPr>
            <w:tcW w:w="782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Comcast equity</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10,797</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11,560</w:t>
            </w:r>
          </w:p>
        </w:tc>
        <w:tc>
          <w:tcPr>
            <w:tcW w:w="158" w:type="dxa"/>
            <w:tcBorders/>
            <w:shd w:fill="CCEEFF" w:val="clear"/>
            <w:vAlign w:val="bottom"/>
          </w:tcPr>
          <w:p>
            <w:pPr>
              <w:pStyle w:val="TableContents"/>
              <w:bidi w:val="0"/>
              <w:spacing w:before="0" w:after="283"/>
              <w:jc w:val="left"/>
              <w:rPr/>
            </w:pPr>
            <w:r>
              <w:rPr/>
              <w:t> </w:t>
            </w:r>
          </w:p>
        </w:tc>
      </w:tr>
      <w:tr>
        <w:trPr/>
        <w:tc>
          <w:tcPr>
            <w:tcW w:w="7820"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117</w:t>
            </w:r>
          </w:p>
        </w:tc>
        <w:tc>
          <w:tcPr>
            <w:tcW w:w="158" w:type="dxa"/>
            <w:tcBorders/>
            <w:vAlign w:val="bottom"/>
          </w:tcPr>
          <w:p>
            <w:pPr>
              <w:pStyle w:val="TableContents"/>
              <w:bidi w:val="0"/>
              <w:spacing w:before="0" w:after="283"/>
              <w:jc w:val="left"/>
              <w:rPr/>
            </w:pPr>
            <w:r>
              <w:rPr/>
              <w:t> </w:t>
            </w:r>
          </w:p>
        </w:tc>
      </w:tr>
      <w:tr>
        <w:trPr/>
        <w:tc>
          <w:tcPr>
            <w:tcW w:w="782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10,915</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11,677</w:t>
            </w:r>
          </w:p>
        </w:tc>
        <w:tc>
          <w:tcPr>
            <w:tcW w:w="158" w:type="dxa"/>
            <w:tcBorders/>
            <w:shd w:fill="CCEEFF" w:val="clear"/>
            <w:vAlign w:val="bottom"/>
          </w:tcPr>
          <w:p>
            <w:pPr>
              <w:pStyle w:val="TableContents"/>
              <w:bidi w:val="0"/>
              <w:spacing w:before="0" w:after="283"/>
              <w:jc w:val="left"/>
              <w:rPr/>
            </w:pPr>
            <w:r>
              <w:rPr/>
              <w:t> </w:t>
            </w:r>
          </w:p>
        </w:tc>
      </w:tr>
      <w:tr>
        <w:trPr/>
        <w:tc>
          <w:tcPr>
            <w:tcW w:w="782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1" w:type="dxa"/>
            <w:tcBorders/>
            <w:vAlign w:val="bottom"/>
          </w:tcPr>
          <w:p>
            <w:pPr>
              <w:pStyle w:val="TableContents"/>
              <w:bidi w:val="0"/>
              <w:spacing w:before="0" w:after="283"/>
              <w:jc w:val="right"/>
              <w:rPr>
                <w:b/>
              </w:rPr>
            </w:pPr>
            <w:r>
              <w:rPr>
                <w:b/>
              </w:rPr>
              <w:t>12,049</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1" w:type="dxa"/>
            <w:tcBorders/>
            <w:vAlign w:val="bottom"/>
          </w:tcPr>
          <w:p>
            <w:pPr>
              <w:pStyle w:val="TableContents"/>
              <w:bidi w:val="0"/>
              <w:spacing w:before="0" w:after="283"/>
              <w:jc w:val="right"/>
              <w:rPr>
                <w:b/>
              </w:rPr>
            </w:pPr>
            <w:r>
              <w:rPr>
                <w:b/>
              </w:rPr>
              <w:t>13,099</w:t>
            </w:r>
          </w:p>
        </w:tc>
        <w:tc>
          <w:tcPr>
            <w:tcW w:w="158" w:type="dxa"/>
            <w:tcBorders/>
            <w:vAlign w:val="bottom"/>
          </w:tcPr>
          <w:p>
            <w:pPr>
              <w:pStyle w:val="TableContents"/>
              <w:bidi w:val="0"/>
              <w:spacing w:before="0" w:after="283"/>
              <w:jc w:val="left"/>
              <w:rPr/>
            </w:pPr>
            <w:r>
              <w:rPr/>
              <w:t> </w:t>
            </w:r>
          </w:p>
        </w:tc>
      </w:tr>
      <w:tr>
        <w:trPr/>
        <w:tc>
          <w:tcPr>
            <w:tcW w:w="782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See accompanying notes to combined financial statements, including Note 10 for amounts of related party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VERSANT BUSINESSES OF COMCAST CORPORATION </w:t>
      </w:r>
    </w:p>
    <w:p>
      <w:pPr>
        <w:pStyle w:val="TextBody"/>
        <w:bidi w:val="0"/>
        <w:spacing w:before="0" w:after="0"/>
        <w:jc w:val="center"/>
        <w:rPr>
          <w:rFonts w:ascii="Times New Roman" w:hAnsi="Times New Roman"/>
          <w:b/>
          <w:sz w:val="20"/>
        </w:rPr>
      </w:pPr>
      <w:bookmarkStart w:id="29" w:name="fin894612_6"/>
      <w:bookmarkEnd w:id="29"/>
      <w:r>
        <w:rPr>
          <w:rFonts w:ascii="Times New Roman" w:hAnsi="Times New Roman"/>
          <w:b/>
          <w:sz w:val="20"/>
        </w:rPr>
        <w:t xml:space="preserve">COMBINED STATEMENTS OF CHANGES IN EQUITY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62"/>
        <w:gridCol w:w="221"/>
        <w:gridCol w:w="140"/>
        <w:gridCol w:w="685"/>
        <w:gridCol w:w="155"/>
        <w:gridCol w:w="188"/>
        <w:gridCol w:w="140"/>
        <w:gridCol w:w="685"/>
        <w:gridCol w:w="155"/>
        <w:gridCol w:w="188"/>
        <w:gridCol w:w="140"/>
        <w:gridCol w:w="685"/>
        <w:gridCol w:w="161"/>
      </w:tblGrid>
      <w:tr>
        <w:trPr/>
        <w:tc>
          <w:tcPr>
            <w:tcW w:w="6662"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316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666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666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3161" w:type="dxa"/>
            <w:gridSpan w:val="10"/>
            <w:tcBorders/>
            <w:vAlign w:val="bottom"/>
          </w:tcPr>
          <w:p>
            <w:pPr>
              <w:pStyle w:val="TableContents"/>
              <w:bidi w:val="0"/>
              <w:spacing w:before="0" w:after="283"/>
              <w:jc w:val="center"/>
              <w:rPr>
                <w:b/>
              </w:rPr>
            </w:pPr>
            <w:r>
              <w:rPr>
                <w:b/>
              </w:rPr>
              <w:t>(in millions)</w:t>
            </w:r>
          </w:p>
        </w:tc>
        <w:tc>
          <w:tcPr>
            <w:tcW w:w="161" w:type="dxa"/>
            <w:tcBorders/>
            <w:vAlign w:val="bottom"/>
          </w:tcPr>
          <w:p>
            <w:pPr>
              <w:pStyle w:val="TableContents"/>
              <w:bidi w:val="0"/>
              <w:spacing w:before="0" w:after="283"/>
              <w:jc w:val="left"/>
              <w:rPr/>
            </w:pPr>
            <w:r>
              <w:rPr/>
              <w:t> </w:t>
            </w:r>
          </w:p>
        </w:tc>
      </w:tr>
      <w:tr>
        <w:trPr/>
        <w:tc>
          <w:tcPr>
            <w:tcW w:w="66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Parent Investment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662" w:type="dxa"/>
            <w:tcBorders/>
          </w:tcPr>
          <w:p>
            <w:pPr>
              <w:pStyle w:val="TableContents"/>
              <w:bidi w:val="0"/>
              <w:spacing w:before="0" w:after="0"/>
              <w:jc w:val="left"/>
              <w:rPr>
                <w:rFonts w:ascii="Times New Roman" w:hAnsi="Times New Roman"/>
                <w:sz w:val="20"/>
              </w:rPr>
            </w:pPr>
            <w:r>
              <w:rPr>
                <w:rFonts w:ascii="Times New Roman" w:hAnsi="Times New Roman"/>
                <w:sz w:val="20"/>
              </w:rPr>
              <w:t>Balance, beginning of year</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11,568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12,373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13,078</w:t>
            </w:r>
          </w:p>
        </w:tc>
        <w:tc>
          <w:tcPr>
            <w:tcW w:w="161" w:type="dxa"/>
            <w:tcBorders/>
            <w:vAlign w:val="bottom"/>
          </w:tcPr>
          <w:p>
            <w:pPr>
              <w:pStyle w:val="TableContents"/>
              <w:bidi w:val="0"/>
              <w:spacing w:before="0" w:after="283"/>
              <w:jc w:val="left"/>
              <w:rPr/>
            </w:pPr>
            <w:r>
              <w:rPr/>
              <w:t> </w:t>
            </w:r>
          </w:p>
        </w:tc>
      </w:tr>
      <w:tr>
        <w:trPr/>
        <w:tc>
          <w:tcPr>
            <w:tcW w:w="66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Transactions with Parent company, net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(2,126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(2,344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(2,469</w:t>
            </w:r>
          </w:p>
        </w:tc>
        <w:tc>
          <w:tcPr>
            <w:tcW w:w="161" w:type="dxa"/>
            <w:tcBorders/>
            <w:shd w:fill="CCEEFF" w:val="clear"/>
            <w:vAlign w:val="bottom"/>
          </w:tcPr>
          <w:p>
            <w:pPr>
              <w:pStyle w:val="TableContents"/>
              <w:bidi w:val="0"/>
              <w:spacing w:before="0" w:after="283"/>
              <w:jc w:val="left"/>
              <w:rPr/>
            </w:pPr>
            <w:r>
              <w:rPr/>
              <w:t>) </w:t>
            </w:r>
          </w:p>
        </w:tc>
      </w:tr>
      <w:tr>
        <w:trPr/>
        <w:tc>
          <w:tcPr>
            <w:tcW w:w="666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1,363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1,539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1,764</w:t>
            </w:r>
          </w:p>
        </w:tc>
        <w:tc>
          <w:tcPr>
            <w:tcW w:w="161" w:type="dxa"/>
            <w:tcBorders/>
            <w:vAlign w:val="bottom"/>
          </w:tcPr>
          <w:p>
            <w:pPr>
              <w:pStyle w:val="TableContents"/>
              <w:bidi w:val="0"/>
              <w:spacing w:before="0" w:after="283"/>
              <w:jc w:val="left"/>
              <w:rPr/>
            </w:pPr>
            <w:r>
              <w:rPr/>
              <w:t> </w:t>
            </w:r>
          </w:p>
        </w:tc>
      </w:tr>
      <w:tr>
        <w:trPr/>
        <w:tc>
          <w:tcPr>
            <w:tcW w:w="666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end of year</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5" w:type="dxa"/>
            <w:tcBorders/>
            <w:shd w:fill="CCEEFF" w:val="clear"/>
            <w:vAlign w:val="bottom"/>
          </w:tcPr>
          <w:p>
            <w:pPr>
              <w:pStyle w:val="TableContents"/>
              <w:bidi w:val="0"/>
              <w:spacing w:before="0" w:after="283"/>
              <w:jc w:val="right"/>
              <w:rPr>
                <w:b/>
              </w:rPr>
            </w:pPr>
            <w:r>
              <w:rPr>
                <w:b/>
              </w:rPr>
              <w:t>10,805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5" w:type="dxa"/>
            <w:tcBorders/>
            <w:shd w:fill="CCEEFF" w:val="clear"/>
            <w:vAlign w:val="bottom"/>
          </w:tcPr>
          <w:p>
            <w:pPr>
              <w:pStyle w:val="TableContents"/>
              <w:bidi w:val="0"/>
              <w:spacing w:before="0" w:after="283"/>
              <w:jc w:val="right"/>
              <w:rPr>
                <w:b/>
              </w:rPr>
            </w:pPr>
            <w:r>
              <w:rPr>
                <w:b/>
              </w:rPr>
              <w:t>11,568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5" w:type="dxa"/>
            <w:tcBorders/>
            <w:shd w:fill="CCEEFF" w:val="clear"/>
            <w:vAlign w:val="bottom"/>
          </w:tcPr>
          <w:p>
            <w:pPr>
              <w:pStyle w:val="TableContents"/>
              <w:bidi w:val="0"/>
              <w:spacing w:before="0" w:after="283"/>
              <w:jc w:val="right"/>
              <w:rPr>
                <w:b/>
              </w:rPr>
            </w:pPr>
            <w:r>
              <w:rPr>
                <w:b/>
              </w:rPr>
              <w:t>12,373</w:t>
            </w:r>
          </w:p>
        </w:tc>
        <w:tc>
          <w:tcPr>
            <w:tcW w:w="161" w:type="dxa"/>
            <w:tcBorders/>
            <w:shd w:fill="CCEEFF" w:val="clear"/>
            <w:vAlign w:val="bottom"/>
          </w:tcPr>
          <w:p>
            <w:pPr>
              <w:pStyle w:val="TableContents"/>
              <w:bidi w:val="0"/>
              <w:spacing w:before="0" w:after="283"/>
              <w:jc w:val="left"/>
              <w:rPr/>
            </w:pPr>
            <w:r>
              <w:rPr/>
              <w:t> </w:t>
            </w:r>
          </w:p>
        </w:tc>
      </w:tr>
      <w:tr>
        <w:trPr/>
        <w:tc>
          <w:tcPr>
            <w:tcW w:w="666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62" w:type="dxa"/>
            <w:tcBorders/>
          </w:tcPr>
          <w:p>
            <w:pPr>
              <w:pStyle w:val="TableContents"/>
              <w:bidi w:val="0"/>
              <w:spacing w:before="0" w:after="0"/>
              <w:jc w:val="left"/>
              <w:rPr>
                <w:rFonts w:ascii="Times New Roman" w:hAnsi="Times New Roman"/>
                <w:b/>
                <w:sz w:val="20"/>
              </w:rPr>
            </w:pPr>
            <w:r>
              <w:rPr>
                <w:rFonts w:ascii="Times New Roman" w:hAnsi="Times New Roman"/>
                <w:b/>
                <w:sz w:val="20"/>
              </w:rPr>
              <w:t>Accumulated Other Comprehensive Income (Loss)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6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beginning of year</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(23</w:t>
            </w:r>
          </w:p>
        </w:tc>
        <w:tc>
          <w:tcPr>
            <w:tcW w:w="161" w:type="dxa"/>
            <w:tcBorders/>
            <w:shd w:fill="CCEEFF" w:val="clear"/>
            <w:vAlign w:val="bottom"/>
          </w:tcPr>
          <w:p>
            <w:pPr>
              <w:pStyle w:val="TableContents"/>
              <w:bidi w:val="0"/>
              <w:spacing w:before="0" w:after="283"/>
              <w:jc w:val="left"/>
              <w:rPr/>
            </w:pPr>
            <w:r>
              <w:rPr/>
              <w:t>) </w:t>
            </w:r>
          </w:p>
        </w:tc>
      </w:tr>
      <w:tr>
        <w:trPr/>
        <w:tc>
          <w:tcPr>
            <w:tcW w:w="6662"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14</w:t>
            </w:r>
          </w:p>
        </w:tc>
        <w:tc>
          <w:tcPr>
            <w:tcW w:w="161" w:type="dxa"/>
            <w:tcBorders/>
            <w:vAlign w:val="bottom"/>
          </w:tcPr>
          <w:p>
            <w:pPr>
              <w:pStyle w:val="TableContents"/>
              <w:bidi w:val="0"/>
              <w:spacing w:before="0" w:after="283"/>
              <w:jc w:val="left"/>
              <w:rPr/>
            </w:pPr>
            <w:r>
              <w:rPr/>
              <w:t> </w:t>
            </w:r>
          </w:p>
        </w:tc>
      </w:tr>
      <w:tr>
        <w:trPr/>
        <w:tc>
          <w:tcPr>
            <w:tcW w:w="666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end of year</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5" w:type="dxa"/>
            <w:tcBorders/>
            <w:shd w:fill="CCEEFF" w:val="clear"/>
            <w:vAlign w:val="bottom"/>
          </w:tcPr>
          <w:p>
            <w:pPr>
              <w:pStyle w:val="TableContents"/>
              <w:bidi w:val="0"/>
              <w:spacing w:before="0" w:after="283"/>
              <w:jc w:val="right"/>
              <w:rPr>
                <w:b/>
              </w:rPr>
            </w:pPr>
            <w:r>
              <w:rPr>
                <w:b/>
              </w:rPr>
              <w:t>(8</w:t>
            </w:r>
          </w:p>
        </w:tc>
        <w:tc>
          <w:tcPr>
            <w:tcW w:w="155" w:type="dxa"/>
            <w:tcBorders/>
            <w:shd w:fill="CCEEFF" w:val="clear"/>
            <w:vAlign w:val="bottom"/>
          </w:tcPr>
          <w:p>
            <w:pPr>
              <w:pStyle w:val="TableContents"/>
              <w:bidi w:val="0"/>
              <w:spacing w:before="0" w:after="283"/>
              <w:jc w:val="left"/>
              <w:rPr>
                <w:b/>
              </w:rPr>
            </w:pPr>
            <w:r>
              <w:rPr>
                <w:b/>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5" w:type="dxa"/>
            <w:tcBorders/>
            <w:shd w:fill="CCEEFF" w:val="clear"/>
            <w:vAlign w:val="bottom"/>
          </w:tcPr>
          <w:p>
            <w:pPr>
              <w:pStyle w:val="TableContents"/>
              <w:bidi w:val="0"/>
              <w:spacing w:before="0" w:after="283"/>
              <w:jc w:val="right"/>
              <w:rPr>
                <w:b/>
              </w:rPr>
            </w:pPr>
            <w:r>
              <w:rPr>
                <w:b/>
              </w:rPr>
              <w:t>(8</w:t>
            </w:r>
          </w:p>
        </w:tc>
        <w:tc>
          <w:tcPr>
            <w:tcW w:w="155" w:type="dxa"/>
            <w:tcBorders/>
            <w:shd w:fill="CCEEFF" w:val="clear"/>
            <w:vAlign w:val="bottom"/>
          </w:tcPr>
          <w:p>
            <w:pPr>
              <w:pStyle w:val="TableContents"/>
              <w:bidi w:val="0"/>
              <w:spacing w:before="0" w:after="283"/>
              <w:jc w:val="left"/>
              <w:rPr>
                <w:b/>
              </w:rPr>
            </w:pPr>
            <w:r>
              <w:rPr>
                <w:b/>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5" w:type="dxa"/>
            <w:tcBorders/>
            <w:shd w:fill="CCEEFF" w:val="clear"/>
            <w:vAlign w:val="bottom"/>
          </w:tcPr>
          <w:p>
            <w:pPr>
              <w:pStyle w:val="TableContents"/>
              <w:bidi w:val="0"/>
              <w:spacing w:before="0" w:after="283"/>
              <w:jc w:val="right"/>
              <w:rPr>
                <w:b/>
              </w:rPr>
            </w:pPr>
            <w:r>
              <w:rPr>
                <w:b/>
              </w:rPr>
              <w:t>(9</w:t>
            </w:r>
          </w:p>
        </w:tc>
        <w:tc>
          <w:tcPr>
            <w:tcW w:w="161" w:type="dxa"/>
            <w:tcBorders/>
            <w:shd w:fill="CCEEFF" w:val="clear"/>
            <w:vAlign w:val="bottom"/>
          </w:tcPr>
          <w:p>
            <w:pPr>
              <w:pStyle w:val="TableContents"/>
              <w:bidi w:val="0"/>
              <w:spacing w:before="0" w:after="283"/>
              <w:jc w:val="left"/>
              <w:rPr>
                <w:b/>
              </w:rPr>
            </w:pPr>
            <w:r>
              <w:rPr>
                <w:b/>
              </w:rPr>
              <w:t>) </w:t>
            </w:r>
          </w:p>
        </w:tc>
      </w:tr>
      <w:tr>
        <w:trPr/>
        <w:tc>
          <w:tcPr>
            <w:tcW w:w="666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62" w:type="dxa"/>
            <w:tcBorders/>
          </w:tcPr>
          <w:p>
            <w:pPr>
              <w:pStyle w:val="TableContents"/>
              <w:bidi w:val="0"/>
              <w:spacing w:before="0" w:after="0"/>
              <w:jc w:val="left"/>
              <w:rPr>
                <w:rFonts w:ascii="Times New Roman" w:hAnsi="Times New Roman"/>
                <w:b/>
                <w:sz w:val="20"/>
              </w:rPr>
            </w:pPr>
            <w:r>
              <w:rPr>
                <w:rFonts w:ascii="Times New Roman" w:hAnsi="Times New Roman"/>
                <w:b/>
                <w:sz w:val="20"/>
              </w:rPr>
              <w:t>Noncontrolling Interests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6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beginning of year</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116</w:t>
            </w:r>
          </w:p>
        </w:tc>
        <w:tc>
          <w:tcPr>
            <w:tcW w:w="161" w:type="dxa"/>
            <w:tcBorders/>
            <w:shd w:fill="CCEEFF" w:val="clear"/>
            <w:vAlign w:val="bottom"/>
          </w:tcPr>
          <w:p>
            <w:pPr>
              <w:pStyle w:val="TableContents"/>
              <w:bidi w:val="0"/>
              <w:spacing w:before="0" w:after="283"/>
              <w:jc w:val="left"/>
              <w:rPr/>
            </w:pPr>
            <w:r>
              <w:rPr/>
              <w:t> </w:t>
            </w:r>
          </w:p>
        </w:tc>
      </w:tr>
      <w:tr>
        <w:trPr/>
        <w:tc>
          <w:tcPr>
            <w:tcW w:w="6662"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7</w:t>
            </w:r>
          </w:p>
        </w:tc>
        <w:tc>
          <w:tcPr>
            <w:tcW w:w="161" w:type="dxa"/>
            <w:tcBorders/>
            <w:vAlign w:val="bottom"/>
          </w:tcPr>
          <w:p>
            <w:pPr>
              <w:pStyle w:val="TableContents"/>
              <w:bidi w:val="0"/>
              <w:spacing w:before="0" w:after="283"/>
              <w:jc w:val="left"/>
              <w:rPr/>
            </w:pPr>
            <w:r>
              <w:rPr/>
              <w:t> </w:t>
            </w:r>
          </w:p>
        </w:tc>
      </w:tr>
      <w:tr>
        <w:trPr/>
        <w:tc>
          <w:tcPr>
            <w:tcW w:w="66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(6</w:t>
            </w:r>
          </w:p>
        </w:tc>
        <w:tc>
          <w:tcPr>
            <w:tcW w:w="161" w:type="dxa"/>
            <w:tcBorders/>
            <w:shd w:fill="CCEEFF" w:val="clear"/>
            <w:vAlign w:val="bottom"/>
          </w:tcPr>
          <w:p>
            <w:pPr>
              <w:pStyle w:val="TableContents"/>
              <w:bidi w:val="0"/>
              <w:spacing w:before="0" w:after="283"/>
              <w:jc w:val="left"/>
              <w:rPr/>
            </w:pPr>
            <w:r>
              <w:rPr/>
              <w:t>) </w:t>
            </w:r>
          </w:p>
        </w:tc>
      </w:tr>
      <w:tr>
        <w:trPr/>
        <w:tc>
          <w:tcPr>
            <w:tcW w:w="666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6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end of year</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5" w:type="dxa"/>
            <w:tcBorders/>
            <w:vAlign w:val="bottom"/>
          </w:tcPr>
          <w:p>
            <w:pPr>
              <w:pStyle w:val="TableContents"/>
              <w:bidi w:val="0"/>
              <w:spacing w:before="0" w:after="283"/>
              <w:jc w:val="right"/>
              <w:rPr>
                <w:b/>
              </w:rPr>
            </w:pPr>
            <w:r>
              <w:rPr>
                <w:b/>
              </w:rPr>
              <w:t>118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5" w:type="dxa"/>
            <w:tcBorders/>
            <w:vAlign w:val="bottom"/>
          </w:tcPr>
          <w:p>
            <w:pPr>
              <w:pStyle w:val="TableContents"/>
              <w:bidi w:val="0"/>
              <w:spacing w:before="0" w:after="283"/>
              <w:jc w:val="right"/>
              <w:rPr>
                <w:b/>
              </w:rPr>
            </w:pPr>
            <w:r>
              <w:rPr>
                <w:b/>
              </w:rPr>
              <w:t>117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5" w:type="dxa"/>
            <w:tcBorders/>
            <w:vAlign w:val="bottom"/>
          </w:tcPr>
          <w:p>
            <w:pPr>
              <w:pStyle w:val="TableContents"/>
              <w:bidi w:val="0"/>
              <w:spacing w:before="0" w:after="283"/>
              <w:jc w:val="right"/>
              <w:rPr>
                <w:b/>
              </w:rPr>
            </w:pPr>
            <w:r>
              <w:rPr>
                <w:b/>
              </w:rPr>
              <w:t>117</w:t>
            </w:r>
          </w:p>
        </w:tc>
        <w:tc>
          <w:tcPr>
            <w:tcW w:w="161" w:type="dxa"/>
            <w:tcBorders/>
            <w:vAlign w:val="bottom"/>
          </w:tcPr>
          <w:p>
            <w:pPr>
              <w:pStyle w:val="TableContents"/>
              <w:bidi w:val="0"/>
              <w:spacing w:before="0" w:after="283"/>
              <w:jc w:val="left"/>
              <w:rPr/>
            </w:pPr>
            <w:r>
              <w:rPr/>
              <w:t> </w:t>
            </w:r>
          </w:p>
        </w:tc>
      </w:tr>
      <w:tr>
        <w:trPr/>
        <w:tc>
          <w:tcPr>
            <w:tcW w:w="666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5" w:type="dxa"/>
            <w:tcBorders/>
            <w:shd w:fill="CCEEFF" w:val="clear"/>
            <w:vAlign w:val="bottom"/>
          </w:tcPr>
          <w:p>
            <w:pPr>
              <w:pStyle w:val="TableContents"/>
              <w:bidi w:val="0"/>
              <w:spacing w:before="0" w:after="283"/>
              <w:jc w:val="right"/>
              <w:rPr>
                <w:b/>
              </w:rPr>
            </w:pPr>
            <w:r>
              <w:rPr>
                <w:b/>
              </w:rPr>
              <w:t>10,915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5" w:type="dxa"/>
            <w:tcBorders/>
            <w:shd w:fill="CCEEFF" w:val="clear"/>
            <w:vAlign w:val="bottom"/>
          </w:tcPr>
          <w:p>
            <w:pPr>
              <w:pStyle w:val="TableContents"/>
              <w:bidi w:val="0"/>
              <w:spacing w:before="0" w:after="283"/>
              <w:jc w:val="right"/>
              <w:rPr>
                <w:b/>
              </w:rPr>
            </w:pPr>
            <w:r>
              <w:rPr>
                <w:b/>
              </w:rPr>
              <w:t>11,677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5" w:type="dxa"/>
            <w:tcBorders/>
            <w:shd w:fill="CCEEFF" w:val="clear"/>
            <w:vAlign w:val="bottom"/>
          </w:tcPr>
          <w:p>
            <w:pPr>
              <w:pStyle w:val="TableContents"/>
              <w:bidi w:val="0"/>
              <w:spacing w:before="0" w:after="283"/>
              <w:jc w:val="right"/>
              <w:rPr>
                <w:b/>
              </w:rPr>
            </w:pPr>
            <w:r>
              <w:rPr>
                <w:b/>
              </w:rPr>
              <w:t>12,480</w:t>
            </w:r>
          </w:p>
        </w:tc>
        <w:tc>
          <w:tcPr>
            <w:tcW w:w="161" w:type="dxa"/>
            <w:tcBorders/>
            <w:shd w:fill="CCEEFF" w:val="clear"/>
            <w:vAlign w:val="bottom"/>
          </w:tcPr>
          <w:p>
            <w:pPr>
              <w:pStyle w:val="TableContents"/>
              <w:bidi w:val="0"/>
              <w:spacing w:before="0" w:after="283"/>
              <w:jc w:val="left"/>
              <w:rPr/>
            </w:pPr>
            <w:r>
              <w:rPr/>
              <w:t> </w:t>
            </w:r>
          </w:p>
        </w:tc>
      </w:tr>
      <w:tr>
        <w:trPr/>
        <w:tc>
          <w:tcPr>
            <w:tcW w:w="666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See accompanying notes to combined financial statements, including Note 10 for amounts of related party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VERSANT BUSINESSES OF COMCAST CORPORATION </w:t>
      </w:r>
    </w:p>
    <w:p>
      <w:pPr>
        <w:pStyle w:val="TextBody"/>
        <w:bidi w:val="0"/>
        <w:spacing w:before="0" w:after="0"/>
        <w:jc w:val="center"/>
        <w:rPr>
          <w:rFonts w:ascii="Times New Roman" w:hAnsi="Times New Roman"/>
          <w:b/>
          <w:sz w:val="20"/>
        </w:rPr>
      </w:pPr>
      <w:bookmarkStart w:id="30" w:name="fin894612_7"/>
      <w:bookmarkEnd w:id="30"/>
      <w:r>
        <w:rPr>
          <w:rFonts w:ascii="Times New Roman" w:hAnsi="Times New Roman"/>
          <w:b/>
          <w:sz w:val="20"/>
        </w:rPr>
        <w:t xml:space="preserve">NOTES TO AUDITED COMBINED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1: Description of the Company and Basis of Presentation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Description of Company and Proposed Transaction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Comcast Corporation (together with its consolidated subsidiaries, Comcast or the Parent) announced a plan to distribute (the Distribution) to Comcasts shareholders all of the shares of common stock of a newly formed company that, following a series of asset and liability transfers, and corporate reorganization transactions (the Transactions and, together with the Distribution, the Separation) will hold, directly or indirectly through its subsidiaries, the assets, liabilities and legal entities comprising the business, operations, products, services and activities of certain of Comcasts cable television networks and digital platforms (collectively referred to as Versant, the Company, we, us, our). Historically, this business was part of Comcasts Media segment and has not been operated as a distinct business unit or division of Comcast. The Separation is expected to be completed by the end of 2025 and is subject to market, regulatory and certain other conditions, including final approval of Comcasts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Versant is a media and entertainment business that operates in four core markets: political news and opinion; business news and personal finance; golf and athletics participation; and sports and genre entertainment. We serve these markets primarily through a portfolio of brands comprised of networks, including USA Network, CNBC, MSNBC, Oxygen, E!, Syfy and Golf Channel, and digital platforms, including Fandango, Rotten Tomatoes, GolfNow and SportsEngine.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For the periods presented in these combined financial statements, the Versant businesses were operated as part of Comcasts Media segment.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on a stand-alone basis in accordance with U.S. generally accepted accounting principles (GAAP) and pursuant to the rules and regulations of the U.S. Securities and Exchange Commission (SEC). </w:t>
      </w:r>
    </w:p>
    <w:p>
      <w:pPr>
        <w:pStyle w:val="TextBody"/>
        <w:bidi w:val="0"/>
        <w:spacing w:before="240" w:after="0"/>
        <w:jc w:val="left"/>
        <w:rPr>
          <w:rFonts w:ascii="Times New Roman" w:hAnsi="Times New Roman"/>
          <w:sz w:val="20"/>
        </w:rPr>
      </w:pPr>
      <w:r>
        <w:rPr>
          <w:rFonts w:ascii="Times New Roman" w:hAnsi="Times New Roman"/>
          <w:sz w:val="20"/>
        </w:rPr>
        <w:t xml:space="preserve">The combined balance sheets include assets and liabilities specifically attributable to the Company and certain assets and liabilities held by Comcast but specifically identifiable or otherwise attributable to our business. Assets and liabilities included in our combined balance sheets were based on an assessment as of December 31, 2024, and may not reflect the assets and liabilities that will be included in Versant following the Separation. For example, certain shared facilities not included in the combined balance sheets may be included in the Separation. Comcasts third-party debt and related interest expense have not been attributed to the Company because the borrowings are not specifically identifiable to the Company and the Company is not the legal obligor. The combined financial statements reflect noncontrolling interests for certain subsidiaries included in the combined financial statements, in which a third party has a minority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The combined statements of income include all revenues and costs directly attributable to our business, including costs related to production activities that use centralized Comcast operations and directly charged to us based on usage. The combined statements of income also include allocations of costs for administrative functions and services performed on our behalf by other centralized functions within Comcast and allocations of costs for the use of shared assets (see Note 10). These expenses have been allocated on a pro rata basis using an applicable measure of revenue. All allocations and estimates reflected in the combined financial statements are based on assumptions that management believes are reasonable. However, the allocations may not be indicative of the actual expense that would have been incurred had we operated as an independent, standalone entity, nor are they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these combined financial statements. The total net effect of the deemed settlement of these transactions is included in net Parent investment and the net effect of changes in net Parent investment is presented in financing activities in the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are included in the combined financial statements and are considered related party transactions. See Note 10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Our combined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Accounting policies related to the capitalization and amortization of film and television costs are specific to the industries in which we operate and are discussed in Note 4. </w:t>
      </w:r>
    </w:p>
    <w:p>
      <w:pPr>
        <w:pStyle w:val="TextBody"/>
        <w:bidi w:val="0"/>
        <w:spacing w:before="240" w:after="0"/>
        <w:jc w:val="left"/>
        <w:rPr>
          <w:rFonts w:ascii="Times New Roman" w:hAnsi="Times New Roman"/>
          <w:sz w:val="20"/>
        </w:rPr>
      </w:pPr>
      <w:r>
        <w:rPr>
          <w:rFonts w:ascii="Times New Roman" w:hAnsi="Times New Roman"/>
          <w:sz w:val="20"/>
        </w:rPr>
        <w:t xml:space="preserve">Information on other accounting policies and methods that we use in the preparation of our combined financial statements are included, where applicable, in their respective footnotes that follow. Below is a discussion of accounting policies and methods used in our combined financial statements that are not presented within other footnotes.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Comcast uses a centralized approach to cash management and financing of its operations. Our cash is generally collected by Comcast daily, and Comcast funds our operating and investing activities as needed. Accordingly, our cash and cash equivalents represent directly attributed balances and do not include an allocation of Comcast cash and cash equivalents for any of the periods presented. Our cash equivalents consist primarily of money market funds and U.S. government obligations, as well as commercial paper and certificates of deposit with maturities of three months or less when purchased. The carrying amounts of our cash equivalents approximate their fair values, which are primarily based on Level 1 inputs.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Advertising Expenses </w:t>
      </w:r>
    </w:p>
    <w:p>
      <w:pPr>
        <w:pStyle w:val="TextBody"/>
        <w:bidi w:val="0"/>
        <w:spacing w:before="120" w:after="0"/>
        <w:jc w:val="left"/>
        <w:rPr>
          <w:rFonts w:ascii="Times New Roman" w:hAnsi="Times New Roman"/>
          <w:sz w:val="20"/>
        </w:rPr>
      </w:pPr>
      <w:r>
        <w:rPr>
          <w:rFonts w:ascii="Times New Roman" w:hAnsi="Times New Roman"/>
          <w:sz w:val="20"/>
        </w:rPr>
        <w:t xml:space="preserve">Advertising costs are expensed as incurred and totaled $82 million, $105 million and $140 million in 2024, 2023 and 2022, respectively, included in selling, general and administrative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Our share-based compensation plans consist primarily of awards of Comcast restricted stock units to certain employees as part of our long-term incentive compensation structure. Awards generally vest over a period of three to five years. Additionally, eligible employees may purchase shares of our common stock at a discount under our employee stock purchase plans. The cost associated with our share-based compensation is based on an awards estimated fair value at the date of grant and is recognized over the period in which any related services are provided. RSUs are primarily valued based on the closing price of Comcasts common stock on the date of grant and are discounted for the lack of dividends, if any, during the vesting period. Share-based compensation expense for shared employees is included in allocated costs. Share-based compensation expense directly attributable to Versant was not material for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guidance related to fair value measurements establishes a hierarchy based on the types of inputs used for the various valuation techniques. The levels of the hierarchy are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Values are determined using quoted market prices for identical financial instruments in an active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Values are determined using models that use significant inputs that are primarily unobservable, discounted cash flow methodologies or similar techniques, as well as instruments for which the determination of fair value requires significant management judgment or estimation.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use this three-tier fair value hierarchy to measure the fair value of certain financial instruments on a recurring basis, such as for investments (see Note 5) and on a non-recurring basis, such as for impairment testing (see Note 7). Our assessment of the significance of a particular input to the fair value measurement requires judgment and may affect the valuation and classification within the fair value hierarchy.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w:t>
      </w:r>
    </w:p>
    <w:p>
      <w:pPr>
        <w:pStyle w:val="TextBody"/>
        <w:bidi w:val="0"/>
        <w:spacing w:before="120" w:after="0"/>
        <w:jc w:val="left"/>
        <w:rPr>
          <w:rFonts w:ascii="Times New Roman" w:hAnsi="Times New Roman"/>
          <w:sz w:val="20"/>
        </w:rPr>
      </w:pPr>
      <w:r>
        <w:rPr>
          <w:rFonts w:ascii="Times New Roman" w:hAnsi="Times New Roman"/>
          <w:sz w:val="20"/>
        </w:rPr>
        <w:t xml:space="preserve">We translate assets and liabilities of our foreign operations where the functional currency is the local currency into U.S. dollars at the exchange rate as of the balance sheet date and translate revenue and expenses using average periodic exchange rates. The related translation adjustments are recorded as a component of accumulated other comprehensive income (loss) in our combined balance sheets. Other comprehensive income activity and balances were entirely attributed currency translation adjustments for the periods included in these combined financial statements. Any foreign currency transaction gains or losses are included in our combined statements of income in investment and other income (loss), net. For disclosures containing future amounts where the functional currency is the local currency, we translate the amounts into U.S. dollars at the exchange rates as of the balance sheet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Parent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Equity in the combined balance sheets represents Parents net investment in our business and is presented as net Parent investment in lieu of stockholders equity. The combined statement of changes in equity includes net cash transfers and other property transfers between us and Comcast, as well as intercompany receivables and payables between us and other Comcast affiliates that were settled on a current basis within transactions with Parent company, net. Additionally, net Parent investment is impacted by assets and liabilities that have historically been held at the Comcast level but are specifically identifiable or otherwise attributable to us, and other assets and liabilities recorded by Comcast, whose related income and expenses have been pushed down to us. All transactions reflected in net Parent investment in the accompanying combined balance sheet have been considered cash receipts and payments within financing activities in the combined statements of cash flows. See Note 10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Earnings per share data has not been presented in the accompanying combined financial statements because we did not operate as a separate legal entity with its own capital structure during any of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Segments </w:t>
      </w:r>
    </w:p>
    <w:p>
      <w:pPr>
        <w:pStyle w:val="TextBody"/>
        <w:bidi w:val="0"/>
        <w:spacing w:before="120" w:after="0"/>
        <w:jc w:val="left"/>
        <w:rPr>
          <w:rFonts w:ascii="Times New Roman" w:hAnsi="Times New Roman"/>
          <w:sz w:val="20"/>
        </w:rPr>
      </w:pPr>
      <w:r>
        <w:rPr>
          <w:rFonts w:ascii="Times New Roman" w:hAnsi="Times New Roman"/>
          <w:sz w:val="20"/>
        </w:rPr>
        <w:t xml:space="preserve">We present our operations in one reportable business segment as the Versant businesses were operated as part of Comcasts Media segment and were not separately evaluated for the periods presented in these combined financial statements. Comcasts Chairman and Chief Executive Officer was the chief operating decision maker (CODM) for these periods.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combined financial statements, with further details included throughout the footnotes, including a description of our products and services in Note 3 and certain of our significant operating expenses in Note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Approximately $6 million of costs incurred by Comcast related to the Separation have been included in selling, general and administrative expenses in our combined statements of income for the year ended December 31, 2024. These costs include legal, consulting, advisory and audit fees that will directly benefit the Versant business as a stand-alone company, or for which the Versant business is the legal obligor.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i/>
          <w:sz w:val="20"/>
        </w:rPr>
      </w:pPr>
      <w:r>
        <w:rPr>
          <w:rFonts w:ascii="Times New Roman" w:hAnsi="Times New Roman"/>
          <w:i/>
          <w:sz w:val="20"/>
        </w:rPr>
        <w:t xml:space="preserve">Income Tax Disclosures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The updated guidance is effective beginning in our Annual Report on Form 10-K for the year ended December 31, 2025. </w:t>
      </w:r>
    </w:p>
    <w:p>
      <w:pPr>
        <w:pStyle w:val="TextBody"/>
        <w:bidi w:val="0"/>
        <w:spacing w:before="360" w:after="0"/>
        <w:jc w:val="left"/>
        <w:rPr>
          <w:rFonts w:ascii="Times New Roman" w:hAnsi="Times New Roman"/>
          <w:i/>
          <w:sz w:val="20"/>
        </w:rPr>
      </w:pPr>
      <w:r>
        <w:rPr>
          <w:rFonts w:ascii="Times New Roman" w:hAnsi="Times New Roman"/>
          <w:i/>
          <w:sz w:val="20"/>
        </w:rPr>
        <w:t xml:space="preserve">Disaggregation of Income Statement Expenses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in our Annual Report on Form 10-K for the year ended December 31, 2027. </w:t>
      </w:r>
    </w:p>
    <w:p>
      <w:pPr>
        <w:pStyle w:val="TextBody"/>
        <w:bidi w:val="0"/>
        <w:spacing w:before="360" w:after="0"/>
        <w:jc w:val="left"/>
        <w:rPr>
          <w:rFonts w:ascii="Times New Roman" w:hAnsi="Times New Roman"/>
          <w:b/>
          <w:sz w:val="20"/>
        </w:rPr>
      </w:pPr>
      <w:r>
        <w:rPr>
          <w:rFonts w:ascii="Times New Roman" w:hAnsi="Times New Roman"/>
          <w:b/>
          <w:sz w:val="20"/>
        </w:rPr>
        <w:t xml:space="preserve">Note 3: Revenue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55"/>
        <w:gridCol w:w="334"/>
        <w:gridCol w:w="141"/>
        <w:gridCol w:w="568"/>
        <w:gridCol w:w="60"/>
        <w:gridCol w:w="334"/>
        <w:gridCol w:w="141"/>
        <w:gridCol w:w="568"/>
        <w:gridCol w:w="60"/>
        <w:gridCol w:w="334"/>
        <w:gridCol w:w="141"/>
        <w:gridCol w:w="567"/>
        <w:gridCol w:w="69"/>
      </w:tblGrid>
      <w:tr>
        <w:trPr/>
        <w:tc>
          <w:tcPr>
            <w:tcW w:w="5255"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52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91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9"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9"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914" w:type="dxa"/>
            <w:gridSpan w:val="10"/>
            <w:tcBorders/>
            <w:vAlign w:val="bottom"/>
          </w:tcPr>
          <w:p>
            <w:pPr>
              <w:pStyle w:val="TableContents"/>
              <w:bidi w:val="0"/>
              <w:spacing w:before="0" w:after="283"/>
              <w:jc w:val="center"/>
              <w:rPr>
                <w:b/>
              </w:rPr>
            </w:pPr>
            <w:r>
              <w:rPr>
                <w:b/>
              </w:rPr>
              <w:t>(in millions)</w:t>
            </w:r>
          </w:p>
        </w:tc>
        <w:tc>
          <w:tcPr>
            <w:tcW w:w="69" w:type="dxa"/>
            <w:tcBorders/>
            <w:vAlign w:val="bottom"/>
          </w:tcPr>
          <w:p>
            <w:pPr>
              <w:pStyle w:val="TableContents"/>
              <w:bidi w:val="0"/>
              <w:spacing w:before="0" w:after="283"/>
              <w:jc w:val="left"/>
              <w:rPr/>
            </w:pPr>
            <w:r>
              <w:rPr/>
              <w:t> </w:t>
            </w:r>
          </w:p>
        </w:tc>
      </w:tr>
      <w:tr>
        <w:trPr/>
        <w:tc>
          <w:tcPr>
            <w:tcW w:w="5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Linear distribution</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4,325</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4,632</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4,802</w:t>
            </w:r>
          </w:p>
        </w:tc>
        <w:tc>
          <w:tcPr>
            <w:tcW w:w="69" w:type="dxa"/>
            <w:tcBorders/>
            <w:shd w:fill="CCEEFF" w:val="clear"/>
            <w:vAlign w:val="bottom"/>
          </w:tcPr>
          <w:p>
            <w:pPr>
              <w:pStyle w:val="TableContents"/>
              <w:bidi w:val="0"/>
              <w:spacing w:before="0" w:after="283"/>
              <w:jc w:val="left"/>
              <w:rPr/>
            </w:pPr>
            <w:r>
              <w:rPr/>
              <w:t> </w:t>
            </w:r>
          </w:p>
        </w:tc>
      </w:tr>
      <w:tr>
        <w:trPr/>
        <w:tc>
          <w:tcPr>
            <w:tcW w:w="5255" w:type="dxa"/>
            <w:tcBorders/>
          </w:tcPr>
          <w:p>
            <w:pPr>
              <w:pStyle w:val="TableContents"/>
              <w:bidi w:val="0"/>
              <w:spacing w:before="0" w:after="0"/>
              <w:jc w:val="left"/>
              <w:rPr>
                <w:rFonts w:ascii="Times New Roman" w:hAnsi="Times New Roman"/>
                <w:sz w:val="20"/>
              </w:rPr>
            </w:pPr>
            <w:r>
              <w:rPr>
                <w:rFonts w:ascii="Times New Roman" w:hAnsi="Times New Roman"/>
                <w:sz w:val="20"/>
              </w:rPr>
              <w:t>Advertising</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1,731</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1,865</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2,156</w:t>
            </w:r>
          </w:p>
        </w:tc>
        <w:tc>
          <w:tcPr>
            <w:tcW w:w="69" w:type="dxa"/>
            <w:tcBorders/>
            <w:vAlign w:val="bottom"/>
          </w:tcPr>
          <w:p>
            <w:pPr>
              <w:pStyle w:val="TableContents"/>
              <w:bidi w:val="0"/>
              <w:spacing w:before="0" w:after="283"/>
              <w:jc w:val="left"/>
              <w:rPr/>
            </w:pPr>
            <w:r>
              <w:rPr/>
              <w:t> </w:t>
            </w:r>
          </w:p>
        </w:tc>
      </w:tr>
      <w:tr>
        <w:trPr/>
        <w:tc>
          <w:tcPr>
            <w:tcW w:w="5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Platforms</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795</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734</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662</w:t>
            </w:r>
          </w:p>
        </w:tc>
        <w:tc>
          <w:tcPr>
            <w:tcW w:w="69" w:type="dxa"/>
            <w:tcBorders/>
            <w:shd w:fill="CCEEFF" w:val="clear"/>
            <w:vAlign w:val="bottom"/>
          </w:tcPr>
          <w:p>
            <w:pPr>
              <w:pStyle w:val="TableContents"/>
              <w:bidi w:val="0"/>
              <w:spacing w:before="0" w:after="283"/>
              <w:jc w:val="left"/>
              <w:rPr/>
            </w:pPr>
            <w:r>
              <w:rPr/>
              <w:t> </w:t>
            </w:r>
          </w:p>
        </w:tc>
      </w:tr>
      <w:tr>
        <w:trPr/>
        <w:tc>
          <w:tcPr>
            <w:tcW w:w="5255" w:type="dxa"/>
            <w:tcBorders/>
          </w:tcPr>
          <w:p>
            <w:pPr>
              <w:pStyle w:val="TableContents"/>
              <w:bidi w:val="0"/>
              <w:spacing w:before="0" w:after="0"/>
              <w:jc w:val="left"/>
              <w:rPr>
                <w:rFonts w:ascii="Times New Roman" w:hAnsi="Times New Roman"/>
                <w:sz w:val="20"/>
              </w:rPr>
            </w:pPr>
            <w:r>
              <w:rPr>
                <w:rFonts w:ascii="Times New Roman" w:hAnsi="Times New Roman"/>
                <w:sz w:val="20"/>
              </w:rPr>
              <w:t>Content licensing and other</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211</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213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214</w:t>
            </w:r>
          </w:p>
        </w:tc>
        <w:tc>
          <w:tcPr>
            <w:tcW w:w="69"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525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568" w:type="dxa"/>
            <w:tcBorders/>
            <w:shd w:fill="CCEEFF" w:val="clear"/>
            <w:vAlign w:val="bottom"/>
          </w:tcPr>
          <w:p>
            <w:pPr>
              <w:pStyle w:val="TableContents"/>
              <w:bidi w:val="0"/>
              <w:spacing w:before="0" w:after="283"/>
              <w:jc w:val="right"/>
              <w:rPr>
                <w:b/>
              </w:rPr>
            </w:pPr>
            <w:r>
              <w:rPr>
                <w:b/>
              </w:rPr>
              <w:t>7,062</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568" w:type="dxa"/>
            <w:tcBorders/>
            <w:shd w:fill="CCEEFF" w:val="clear"/>
            <w:vAlign w:val="bottom"/>
          </w:tcPr>
          <w:p>
            <w:pPr>
              <w:pStyle w:val="TableContents"/>
              <w:bidi w:val="0"/>
              <w:spacing w:before="0" w:after="283"/>
              <w:jc w:val="right"/>
              <w:rPr>
                <w:b/>
              </w:rPr>
            </w:pPr>
            <w:r>
              <w:rPr>
                <w:b/>
              </w:rPr>
              <w:t>7,445</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567" w:type="dxa"/>
            <w:tcBorders/>
            <w:shd w:fill="CCEEFF" w:val="clear"/>
            <w:vAlign w:val="bottom"/>
          </w:tcPr>
          <w:p>
            <w:pPr>
              <w:pStyle w:val="TableContents"/>
              <w:bidi w:val="0"/>
              <w:spacing w:before="0" w:after="283"/>
              <w:jc w:val="right"/>
              <w:rPr>
                <w:b/>
              </w:rPr>
            </w:pPr>
            <w:r>
              <w:rPr>
                <w:b/>
              </w:rPr>
              <w:t>7,834</w:t>
            </w:r>
          </w:p>
        </w:tc>
        <w:tc>
          <w:tcPr>
            <w:tcW w:w="69" w:type="dxa"/>
            <w:tcBorders/>
            <w:shd w:fill="CCEEFF" w:val="clear"/>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Linear distribution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from the distribution of television programming in the United States and in certain international markets to traditional multichannel video providers and to virtual multichannel video providers that offer streamed linear television networks. </w:t>
      </w:r>
    </w:p>
    <w:p>
      <w:pPr>
        <w:pStyle w:val="TextBody"/>
        <w:bidi w:val="0"/>
        <w:spacing w:before="240" w:after="0"/>
        <w:jc w:val="left"/>
        <w:rPr>
          <w:rFonts w:ascii="Times New Roman" w:hAnsi="Times New Roman"/>
          <w:sz w:val="20"/>
        </w:rPr>
      </w:pPr>
      <w:r>
        <w:rPr>
          <w:rFonts w:ascii="Times New Roman" w:hAnsi="Times New Roman"/>
          <w:sz w:val="20"/>
        </w:rPr>
        <w:t xml:space="preserve">Monthly fees received under distribution agreements with multichannel video providers are generally under multiyear agreements with revenue based on the number of subscribers receiving our television networks through the provider and a per subscriber fee. Payment terms and conditions vary by contract type, although terms generally include payment within 60 days. These arrangements are accounted for as licenses of functional intellectual property and revenue is recognized as programming is provided.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Advertising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from the sale of advertising on our linear television networks and digital platforms. </w:t>
      </w:r>
    </w:p>
    <w:p>
      <w:pPr>
        <w:pStyle w:val="TextBody"/>
        <w:bidi w:val="0"/>
        <w:spacing w:before="240" w:after="0"/>
        <w:jc w:val="left"/>
        <w:rPr>
          <w:rFonts w:ascii="Times New Roman" w:hAnsi="Times New Roman"/>
          <w:sz w:val="20"/>
        </w:rPr>
      </w:pPr>
      <w:r>
        <w:rPr>
          <w:rFonts w:ascii="Times New Roman" w:hAnsi="Times New Roman"/>
          <w:sz w:val="20"/>
        </w:rPr>
        <w:t xml:space="preserve">We have determined that a contract exists for our advertising sales once all terms and conditions are agreed upon, typically when the number of advertising units is specifically identified and scheduled. Advertisements are generally aired or delivered within one year once all terms and conditions are agreed upon. Revenue is recognized, net of agency commissions, in the period in which advertisements are aired or delivered and payment occurs thereafter, with payment generally required within 30 days. In some instances, we guarantee audience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 The amount of future revenue to be earned related to fixed price contracts with advertisers in excess of one year totaled $311 million as of December 31, 2024, which will be recognized over the next 6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Platforms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from services provided through our digital platforms. Our platforms facilitate consumer transactions, including tee time reservations at golf courses, the purchase of movie tickets, the rental or purchase of television and movie titles for streaming and registration with youth sports leagues. We sell technology and related services to golf courses and youth sports organizations that leverage our platform, and also offer consumer subscription services, which provide access to streaming content. </w:t>
      </w:r>
    </w:p>
    <w:p>
      <w:pPr>
        <w:pStyle w:val="TextBody"/>
        <w:bidi w:val="0"/>
        <w:spacing w:before="240" w:after="0"/>
        <w:jc w:val="left"/>
        <w:rPr>
          <w:rFonts w:ascii="Times New Roman" w:hAnsi="Times New Roman"/>
          <w:sz w:val="20"/>
        </w:rPr>
      </w:pPr>
      <w:r>
        <w:rPr>
          <w:rFonts w:ascii="Times New Roman" w:hAnsi="Times New Roman"/>
          <w:sz w:val="20"/>
        </w:rPr>
        <w:t xml:space="preserve">We generally have concluded that we are an agent for the underlying consumer transactions on our platforms, and we therefore do not recognize the direct revenue from the sale of the golf rounds, movie tickets, television or movie titles rentals or purchases, or sports registrations. </w:t>
      </w:r>
    </w:p>
    <w:p>
      <w:pPr>
        <w:pStyle w:val="TextBody"/>
        <w:bidi w:val="0"/>
        <w:spacing w:before="240" w:after="0"/>
        <w:jc w:val="left"/>
        <w:rPr>
          <w:rFonts w:ascii="Times New Roman" w:hAnsi="Times New Roman"/>
          <w:sz w:val="20"/>
        </w:rPr>
      </w:pPr>
      <w:r>
        <w:rPr>
          <w:rFonts w:ascii="Times New Roman" w:hAnsi="Times New Roman"/>
          <w:sz w:val="20"/>
        </w:rPr>
        <w:t xml:space="preserve">End-consumers using our movie ticket and tee time platforms pay transaction-based fees. These fees are generally charged to customer credit cards and revenue is recognized at the time of the transaction based on the fee charged. We offer gift cards that customers may use for certain of our consumer services, primarily related to our movie ticket platform. We record a liability for estimated future gift card redemptions. We estimate the portion of these gift cards that will not be redeemed over time (breakage) based on historical redemption patterns. As of December 31, 2024 and 2023, the gift card liability for our movie ticket platform was $53 million and $57 million, respectively, including $37 million and $44 million in accrued expenses and other current liabilities, respectively, with the remainder presented in other noncurrent liabilities. Revenue recorded related to breakage on these gift cards was $15 million for each of the years ended December 31, 2024 and 2023 and $10 million for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Our technology solutions provide customers access to our cloud-based applications. Contracts for these and our agency services generally have terms ranging from one to three years with consideration due over the contract term taking multiple forms, including variable amounts tied to the value of specified tee times, which we generally receive directly from the end consumer, a percentage of amounts charged for specified transactions or fixed amounts paid by the customer. We recognize revenue for technology solutions and agency services as the services are provided over the contract term based on our share of the underlying transactions or on a straight-line basis for fixed fee contracts. </w:t>
      </w:r>
    </w:p>
    <w:p>
      <w:pPr>
        <w:pStyle w:val="TextBody"/>
        <w:bidi w:val="0"/>
        <w:spacing w:before="240" w:after="0"/>
        <w:jc w:val="left"/>
        <w:rPr>
          <w:rFonts w:ascii="Times New Roman" w:hAnsi="Times New Roman"/>
          <w:sz w:val="20"/>
        </w:rPr>
      </w:pPr>
      <w:r>
        <w:rPr>
          <w:rFonts w:ascii="Times New Roman" w:hAnsi="Times New Roman"/>
          <w:sz w:val="20"/>
        </w:rPr>
        <w:t xml:space="preserve">We offer additional services to customers receiving our technology services including payment processing and other services related to customer operations. Payment processing fees are based on a percentage of each transaction processed and are recognized as transactions occur. Consideration for other services may be a fixed fee or based on variable amounts and are recognized as services are provided over the contract period. Revenue from customers that purchase multiple services is allocated between the separate services based on the respective stand-alone selling prices. </w:t>
      </w:r>
    </w:p>
    <w:p>
      <w:pPr>
        <w:pStyle w:val="TextBody"/>
        <w:bidi w:val="0"/>
        <w:spacing w:before="240" w:after="0"/>
        <w:jc w:val="left"/>
        <w:rPr>
          <w:rFonts w:ascii="Times New Roman" w:hAnsi="Times New Roman"/>
          <w:sz w:val="20"/>
        </w:rPr>
      </w:pPr>
      <w:r>
        <w:rPr>
          <w:rFonts w:ascii="Times New Roman" w:hAnsi="Times New Roman"/>
          <w:sz w:val="20"/>
        </w:rPr>
        <w:t xml:space="preserve">Subscription services are generally offered based on fixed amounts with monthly or annual terms. Subscription fees for the term are generally fixed and nonrefundable, and we recognize revenue over the term of the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Content Licensing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from the licensing of our owned content to television networks and DTC streaming service providers, as well as through video on demand services provided by multichannel video providers and other service providers. These agreements generally include fixed pricing and span multiple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recognize revenue when the content is delivered and available for use by the licensee. When the term of an existing agreement is renewed or extended, we recognize revenue when the licensed content becomes available under the renewal or extension. Payment terms and conditions vary by contract type, although payments are generally collected over the license term. The amount of future revenue to be earned related to fixed pricing under existing third-party agreements is $19 million. The majority of this revenue will be recognized within two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Combined Balance Sheets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344"/>
        <w:gridCol w:w="349"/>
        <w:gridCol w:w="140"/>
        <w:gridCol w:w="563"/>
        <w:gridCol w:w="60"/>
        <w:gridCol w:w="349"/>
        <w:gridCol w:w="140"/>
        <w:gridCol w:w="563"/>
        <w:gridCol w:w="64"/>
      </w:tblGrid>
      <w:tr>
        <w:trPr/>
        <w:tc>
          <w:tcPr>
            <w:tcW w:w="6344"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44"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6344"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6344"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15" w:type="dxa"/>
            <w:gridSpan w:val="6"/>
            <w:tcBorders/>
            <w:vAlign w:val="bottom"/>
          </w:tcPr>
          <w:p>
            <w:pPr>
              <w:pStyle w:val="TableContents"/>
              <w:bidi w:val="0"/>
              <w:spacing w:before="0" w:after="283"/>
              <w:jc w:val="center"/>
              <w:rPr>
                <w:b/>
              </w:rPr>
            </w:pPr>
            <w:r>
              <w:rPr>
                <w:b/>
              </w:rPr>
              <w:t>(in millions)</w:t>
            </w:r>
          </w:p>
        </w:tc>
        <w:tc>
          <w:tcPr>
            <w:tcW w:w="64" w:type="dxa"/>
            <w:tcBorders/>
            <w:vAlign w:val="bottom"/>
          </w:tcPr>
          <w:p>
            <w:pPr>
              <w:pStyle w:val="TableContents"/>
              <w:bidi w:val="0"/>
              <w:spacing w:before="0" w:after="283"/>
              <w:jc w:val="left"/>
              <w:rPr/>
            </w:pPr>
            <w:r>
              <w:rPr/>
              <w:t> </w:t>
            </w:r>
          </w:p>
        </w:tc>
      </w:tr>
      <w:tr>
        <w:trPr/>
        <w:tc>
          <w:tcPr>
            <w:tcW w:w="6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gross</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1,253</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1,364</w:t>
            </w:r>
          </w:p>
        </w:tc>
        <w:tc>
          <w:tcPr>
            <w:tcW w:w="64" w:type="dxa"/>
            <w:tcBorders/>
            <w:shd w:fill="CCEEFF" w:val="clear"/>
            <w:vAlign w:val="bottom"/>
          </w:tcPr>
          <w:p>
            <w:pPr>
              <w:pStyle w:val="TableContents"/>
              <w:bidi w:val="0"/>
              <w:spacing w:before="0" w:after="283"/>
              <w:jc w:val="left"/>
              <w:rPr/>
            </w:pPr>
            <w:r>
              <w:rPr/>
              <w:t> </w:t>
            </w:r>
          </w:p>
        </w:tc>
      </w:tr>
      <w:tr>
        <w:trPr/>
        <w:tc>
          <w:tcPr>
            <w:tcW w:w="6344" w:type="dxa"/>
            <w:tcBorders/>
          </w:tcPr>
          <w:p>
            <w:pPr>
              <w:pStyle w:val="TableContents"/>
              <w:bidi w:val="0"/>
              <w:spacing w:before="0" w:after="0"/>
              <w:jc w:val="left"/>
              <w:rPr>
                <w:rFonts w:ascii="Times New Roman" w:hAnsi="Times New Roman"/>
                <w:sz w:val="20"/>
              </w:rPr>
            </w:pPr>
            <w:r>
              <w:rPr>
                <w:rFonts w:ascii="Times New Roman" w:hAnsi="Times New Roman"/>
                <w:sz w:val="20"/>
              </w:rPr>
              <w:t>Less: Allowance for credit losses</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6344"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Receivables, net</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1,245</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1,346</w:t>
            </w:r>
          </w:p>
        </w:tc>
        <w:tc>
          <w:tcPr>
            <w:tcW w:w="64" w:type="dxa"/>
            <w:tcBorders/>
            <w:shd w:fill="CCEEFF" w:val="clear"/>
            <w:vAlign w:val="bottom"/>
          </w:tcPr>
          <w:p>
            <w:pPr>
              <w:pStyle w:val="TableContents"/>
              <w:bidi w:val="0"/>
              <w:spacing w:before="0" w:after="283"/>
              <w:jc w:val="left"/>
              <w:rPr/>
            </w:pPr>
            <w:r>
              <w:rPr/>
              <w:t> </w:t>
            </w:r>
          </w:p>
        </w:tc>
      </w:tr>
      <w:tr>
        <w:trPr/>
        <w:tc>
          <w:tcPr>
            <w:tcW w:w="6344"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433"/>
        <w:gridCol w:w="448"/>
        <w:gridCol w:w="165"/>
        <w:gridCol w:w="335"/>
        <w:gridCol w:w="155"/>
        <w:gridCol w:w="448"/>
        <w:gridCol w:w="214"/>
        <w:gridCol w:w="294"/>
        <w:gridCol w:w="60"/>
        <w:gridCol w:w="448"/>
        <w:gridCol w:w="214"/>
        <w:gridCol w:w="294"/>
        <w:gridCol w:w="64"/>
      </w:tblGrid>
      <w:tr>
        <w:trPr/>
        <w:tc>
          <w:tcPr>
            <w:tcW w:w="5433"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33"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62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Changes in Allowance for</w:t>
              <w:br/>
              <w:t>Credit Losses</w:t>
            </w:r>
          </w:p>
        </w:tc>
        <w:tc>
          <w:tcPr>
            <w:tcW w:w="64" w:type="dxa"/>
            <w:tcBorders/>
            <w:vAlign w:val="bottom"/>
          </w:tcPr>
          <w:p>
            <w:pPr>
              <w:pStyle w:val="TableContents"/>
              <w:bidi w:val="0"/>
              <w:spacing w:before="0" w:after="283"/>
              <w:jc w:val="left"/>
              <w:rPr/>
            </w:pPr>
            <w:r>
              <w:rPr/>
              <w:t> </w:t>
            </w:r>
          </w:p>
        </w:tc>
      </w:tr>
      <w:tr>
        <w:trPr/>
        <w:tc>
          <w:tcPr>
            <w:tcW w:w="5433"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5433"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627" w:type="dxa"/>
            <w:gridSpan w:val="10"/>
            <w:tcBorders/>
            <w:vAlign w:val="bottom"/>
          </w:tcPr>
          <w:p>
            <w:pPr>
              <w:pStyle w:val="TableContents"/>
              <w:bidi w:val="0"/>
              <w:spacing w:before="0" w:after="283"/>
              <w:jc w:val="center"/>
              <w:rPr>
                <w:b/>
              </w:rPr>
            </w:pPr>
            <w:r>
              <w:rPr>
                <w:b/>
              </w:rPr>
              <w:t>(in millions)</w:t>
            </w:r>
          </w:p>
        </w:tc>
        <w:tc>
          <w:tcPr>
            <w:tcW w:w="64" w:type="dxa"/>
            <w:tcBorders/>
            <w:vAlign w:val="bottom"/>
          </w:tcPr>
          <w:p>
            <w:pPr>
              <w:pStyle w:val="TableContents"/>
              <w:bidi w:val="0"/>
              <w:spacing w:before="0" w:after="283"/>
              <w:jc w:val="left"/>
              <w:rPr/>
            </w:pPr>
            <w:r>
              <w:rPr/>
              <w:t> </w:t>
            </w:r>
          </w:p>
        </w:tc>
      </w:tr>
      <w:tr>
        <w:trPr/>
        <w:tc>
          <w:tcPr>
            <w:tcW w:w="5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44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35"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294"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294" w:type="dxa"/>
            <w:tcBorders/>
            <w:shd w:fill="CCEEFF" w:val="clear"/>
            <w:vAlign w:val="bottom"/>
          </w:tcPr>
          <w:p>
            <w:pPr>
              <w:pStyle w:val="TableContents"/>
              <w:bidi w:val="0"/>
              <w:spacing w:before="0" w:after="283"/>
              <w:jc w:val="right"/>
              <w:rPr/>
            </w:pPr>
            <w:r>
              <w:rPr/>
              <w:t>17</w:t>
            </w:r>
          </w:p>
        </w:tc>
        <w:tc>
          <w:tcPr>
            <w:tcW w:w="64" w:type="dxa"/>
            <w:tcBorders/>
            <w:shd w:fill="CCEEFF" w:val="clear"/>
            <w:vAlign w:val="bottom"/>
          </w:tcPr>
          <w:p>
            <w:pPr>
              <w:pStyle w:val="TableContents"/>
              <w:bidi w:val="0"/>
              <w:spacing w:before="0" w:after="283"/>
              <w:jc w:val="left"/>
              <w:rPr/>
            </w:pPr>
            <w:r>
              <w:rPr/>
              <w:t> </w:t>
            </w:r>
          </w:p>
        </w:tc>
      </w:tr>
      <w:tr>
        <w:trPr/>
        <w:tc>
          <w:tcPr>
            <w:tcW w:w="5433" w:type="dxa"/>
            <w:tcBorders/>
          </w:tcPr>
          <w:p>
            <w:pPr>
              <w:pStyle w:val="TableContents"/>
              <w:bidi w:val="0"/>
              <w:spacing w:before="0" w:after="0"/>
              <w:jc w:val="left"/>
              <w:rPr>
                <w:rFonts w:ascii="Times New Roman" w:hAnsi="Times New Roman"/>
                <w:sz w:val="20"/>
              </w:rPr>
            </w:pPr>
            <w:r>
              <w:rPr>
                <w:rFonts w:ascii="Times New Roman" w:hAnsi="Times New Roman"/>
                <w:sz w:val="20"/>
              </w:rPr>
              <w:t>Current-period provision for expected credit losses</w:t>
            </w:r>
          </w:p>
        </w:tc>
        <w:tc>
          <w:tcPr>
            <w:tcW w:w="44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Write-offs charged against the allowance, net of recoveries and other</w:t>
            </w:r>
          </w:p>
        </w:tc>
        <w:tc>
          <w:tcPr>
            <w:tcW w:w="44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433"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3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Ending balance</w:t>
            </w:r>
          </w:p>
        </w:tc>
        <w:tc>
          <w:tcPr>
            <w:tcW w:w="44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335" w:type="dxa"/>
            <w:tcBorders/>
            <w:vAlign w:val="bottom"/>
          </w:tcPr>
          <w:p>
            <w:pPr>
              <w:pStyle w:val="TableContents"/>
              <w:bidi w:val="0"/>
              <w:spacing w:before="0" w:after="283"/>
              <w:jc w:val="right"/>
              <w:rPr>
                <w:b/>
              </w:rPr>
            </w:pPr>
            <w:r>
              <w:rPr>
                <w:b/>
              </w:rPr>
              <w:t>8</w:t>
            </w:r>
          </w:p>
        </w:tc>
        <w:tc>
          <w:tcPr>
            <w:tcW w:w="155"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294" w:type="dxa"/>
            <w:tcBorders/>
            <w:vAlign w:val="bottom"/>
          </w:tcPr>
          <w:p>
            <w:pPr>
              <w:pStyle w:val="TableContents"/>
              <w:bidi w:val="0"/>
              <w:spacing w:before="0" w:after="283"/>
              <w:jc w:val="right"/>
              <w:rPr>
                <w:b/>
              </w:rPr>
            </w:pPr>
            <w:r>
              <w:rPr>
                <w:b/>
              </w:rPr>
              <w:t>18</w:t>
            </w:r>
          </w:p>
        </w:tc>
        <w:tc>
          <w:tcPr>
            <w:tcW w:w="6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294" w:type="dxa"/>
            <w:tcBorders/>
            <w:vAlign w:val="bottom"/>
          </w:tcPr>
          <w:p>
            <w:pPr>
              <w:pStyle w:val="TableContents"/>
              <w:bidi w:val="0"/>
              <w:spacing w:before="0" w:after="283"/>
              <w:jc w:val="right"/>
              <w:rPr>
                <w:b/>
              </w:rPr>
            </w:pPr>
            <w:r>
              <w:rPr>
                <w:b/>
              </w:rPr>
              <w:t>18</w:t>
            </w:r>
          </w:p>
        </w:tc>
        <w:tc>
          <w:tcPr>
            <w:tcW w:w="64" w:type="dxa"/>
            <w:tcBorders/>
            <w:vAlign w:val="bottom"/>
          </w:tcPr>
          <w:p>
            <w:pPr>
              <w:pStyle w:val="TableContents"/>
              <w:bidi w:val="0"/>
              <w:spacing w:before="0" w:after="283"/>
              <w:jc w:val="left"/>
              <w:rPr/>
            </w:pPr>
            <w:r>
              <w:rPr/>
              <w:t> </w:t>
            </w:r>
          </w:p>
        </w:tc>
      </w:tr>
      <w:tr>
        <w:trPr/>
        <w:tc>
          <w:tcPr>
            <w:tcW w:w="5433"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3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Customer Concentration </w:t>
      </w:r>
    </w:p>
    <w:p>
      <w:pPr>
        <w:pStyle w:val="TextBody"/>
        <w:bidi w:val="0"/>
        <w:spacing w:before="120" w:after="0"/>
        <w:jc w:val="left"/>
        <w:rPr>
          <w:rFonts w:ascii="Times New Roman" w:hAnsi="Times New Roman"/>
          <w:sz w:val="20"/>
        </w:rPr>
      </w:pPr>
      <w:r>
        <w:rPr>
          <w:rFonts w:ascii="Times New Roman" w:hAnsi="Times New Roman"/>
          <w:sz w:val="20"/>
        </w:rPr>
        <w:t xml:space="preserve">Our most significant accounts receivable balances relate to our linear distribution agreements with large multichannel video providers. As of December 31, 2024 and 2023, our ten largest multichannel video provider customers accounted for approximately 55% of our total accounts receivable. Refer to Note 10 for revenue and accounts receivable information related to distribution and other arrangements with Comcast. </w:t>
      </w:r>
    </w:p>
    <w:p>
      <w:pPr>
        <w:pStyle w:val="TextBody"/>
        <w:bidi w:val="0"/>
        <w:spacing w:before="360" w:after="0"/>
        <w:jc w:val="left"/>
        <w:rPr>
          <w:rFonts w:ascii="Times New Roman" w:hAnsi="Times New Roman"/>
          <w:b/>
          <w:sz w:val="20"/>
        </w:rPr>
      </w:pPr>
      <w:r>
        <w:rPr>
          <w:rFonts w:ascii="Times New Roman" w:hAnsi="Times New Roman"/>
          <w:b/>
          <w:sz w:val="20"/>
        </w:rPr>
        <w:t xml:space="preserve">Note 4: Costs of Revenue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68"/>
        <w:gridCol w:w="331"/>
        <w:gridCol w:w="141"/>
        <w:gridCol w:w="567"/>
        <w:gridCol w:w="60"/>
        <w:gridCol w:w="331"/>
        <w:gridCol w:w="141"/>
        <w:gridCol w:w="567"/>
        <w:gridCol w:w="60"/>
        <w:gridCol w:w="331"/>
        <w:gridCol w:w="141"/>
        <w:gridCol w:w="567"/>
        <w:gridCol w:w="67"/>
      </w:tblGrid>
      <w:tr>
        <w:trPr/>
        <w:tc>
          <w:tcPr>
            <w:tcW w:w="5268"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268"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0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7" w:type="dxa"/>
            <w:tcBorders/>
            <w:vAlign w:val="bottom"/>
          </w:tcPr>
          <w:p>
            <w:pPr>
              <w:pStyle w:val="TableContents"/>
              <w:bidi w:val="0"/>
              <w:spacing w:before="0" w:after="283"/>
              <w:jc w:val="left"/>
              <w:rPr/>
            </w:pPr>
            <w:r>
              <w:rPr/>
              <w:t> </w:t>
            </w:r>
          </w:p>
        </w:tc>
      </w:tr>
      <w:tr>
        <w:trPr/>
        <w:tc>
          <w:tcPr>
            <w:tcW w:w="5268"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5268"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06" w:type="dxa"/>
            <w:gridSpan w:val="10"/>
            <w:tcBorders/>
            <w:vAlign w:val="bottom"/>
          </w:tcPr>
          <w:p>
            <w:pPr>
              <w:pStyle w:val="TableContents"/>
              <w:bidi w:val="0"/>
              <w:spacing w:before="0" w:after="283"/>
              <w:jc w:val="center"/>
              <w:rPr>
                <w:b/>
              </w:rPr>
            </w:pPr>
            <w:r>
              <w:rPr>
                <w:b/>
              </w:rPr>
              <w:t>(in millions)</w:t>
            </w:r>
          </w:p>
        </w:tc>
        <w:tc>
          <w:tcPr>
            <w:tcW w:w="67" w:type="dxa"/>
            <w:tcBorders/>
            <w:vAlign w:val="bottom"/>
          </w:tcPr>
          <w:p>
            <w:pPr>
              <w:pStyle w:val="TableContents"/>
              <w:bidi w:val="0"/>
              <w:spacing w:before="0" w:after="283"/>
              <w:jc w:val="left"/>
              <w:rPr/>
            </w:pPr>
            <w:r>
              <w:rPr/>
              <w:t> </w:t>
            </w:r>
          </w:p>
        </w:tc>
      </w:tr>
      <w:tr>
        <w:trPr/>
        <w:tc>
          <w:tcPr>
            <w:tcW w:w="52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Programming and production</w:t>
            </w:r>
          </w:p>
        </w:tc>
        <w:tc>
          <w:tcPr>
            <w:tcW w:w="33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2,606</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2,724</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2,749</w:t>
            </w:r>
          </w:p>
        </w:tc>
        <w:tc>
          <w:tcPr>
            <w:tcW w:w="67" w:type="dxa"/>
            <w:tcBorders/>
            <w:shd w:fill="CCEEFF" w:val="clear"/>
            <w:vAlign w:val="bottom"/>
          </w:tcPr>
          <w:p>
            <w:pPr>
              <w:pStyle w:val="TableContents"/>
              <w:bidi w:val="0"/>
              <w:spacing w:before="0" w:after="283"/>
              <w:jc w:val="left"/>
              <w:rPr/>
            </w:pPr>
            <w:r>
              <w:rPr/>
              <w:t> </w:t>
            </w:r>
          </w:p>
        </w:tc>
      </w:tr>
      <w:tr>
        <w:trPr/>
        <w:tc>
          <w:tcPr>
            <w:tcW w:w="526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3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458</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430</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412</w:t>
            </w:r>
          </w:p>
        </w:tc>
        <w:tc>
          <w:tcPr>
            <w:tcW w:w="67" w:type="dxa"/>
            <w:tcBorders/>
            <w:vAlign w:val="bottom"/>
          </w:tcPr>
          <w:p>
            <w:pPr>
              <w:pStyle w:val="TableContents"/>
              <w:bidi w:val="0"/>
              <w:spacing w:before="0" w:after="283"/>
              <w:jc w:val="left"/>
              <w:rPr/>
            </w:pPr>
            <w:r>
              <w:rPr/>
              <w:t> </w:t>
            </w:r>
          </w:p>
        </w:tc>
      </w:tr>
      <w:tr>
        <w:trPr/>
        <w:tc>
          <w:tcPr>
            <w:tcW w:w="5268"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2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costs of revenue</w:t>
            </w:r>
          </w:p>
        </w:tc>
        <w:tc>
          <w:tcPr>
            <w:tcW w:w="33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567" w:type="dxa"/>
            <w:tcBorders/>
            <w:shd w:fill="CCEEFF" w:val="clear"/>
            <w:vAlign w:val="bottom"/>
          </w:tcPr>
          <w:p>
            <w:pPr>
              <w:pStyle w:val="TableContents"/>
              <w:bidi w:val="0"/>
              <w:spacing w:before="0" w:after="283"/>
              <w:jc w:val="right"/>
              <w:rPr>
                <w:b/>
              </w:rPr>
            </w:pPr>
            <w:r>
              <w:rPr>
                <w:b/>
              </w:rPr>
              <w:t>3,064</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567" w:type="dxa"/>
            <w:tcBorders/>
            <w:shd w:fill="CCEEFF" w:val="clear"/>
            <w:vAlign w:val="bottom"/>
          </w:tcPr>
          <w:p>
            <w:pPr>
              <w:pStyle w:val="TableContents"/>
              <w:bidi w:val="0"/>
              <w:spacing w:before="0" w:after="283"/>
              <w:jc w:val="right"/>
              <w:rPr>
                <w:b/>
              </w:rPr>
            </w:pPr>
            <w:r>
              <w:rPr>
                <w:b/>
              </w:rPr>
              <w:t>3,154</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567" w:type="dxa"/>
            <w:tcBorders/>
            <w:shd w:fill="CCEEFF" w:val="clear"/>
            <w:vAlign w:val="bottom"/>
          </w:tcPr>
          <w:p>
            <w:pPr>
              <w:pStyle w:val="TableContents"/>
              <w:bidi w:val="0"/>
              <w:spacing w:before="0" w:after="283"/>
              <w:jc w:val="right"/>
              <w:rPr>
                <w:b/>
              </w:rPr>
            </w:pPr>
            <w:r>
              <w:rPr>
                <w:b/>
              </w:rPr>
              <w:t>3,161</w:t>
            </w:r>
          </w:p>
        </w:tc>
        <w:tc>
          <w:tcPr>
            <w:tcW w:w="67" w:type="dxa"/>
            <w:tcBorders/>
            <w:shd w:fill="CCEEFF" w:val="clear"/>
            <w:vAlign w:val="bottom"/>
          </w:tcPr>
          <w:p>
            <w:pPr>
              <w:pStyle w:val="TableContents"/>
              <w:bidi w:val="0"/>
              <w:spacing w:before="0" w:after="283"/>
              <w:jc w:val="left"/>
              <w:rPr/>
            </w:pPr>
            <w:r>
              <w:rPr/>
              <w:t> </w:t>
            </w:r>
          </w:p>
        </w:tc>
      </w:tr>
      <w:tr>
        <w:trPr/>
        <w:tc>
          <w:tcPr>
            <w:tcW w:w="5268"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Programming and Production Costs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86"/>
        <w:gridCol w:w="328"/>
        <w:gridCol w:w="140"/>
        <w:gridCol w:w="565"/>
        <w:gridCol w:w="60"/>
        <w:gridCol w:w="328"/>
        <w:gridCol w:w="140"/>
        <w:gridCol w:w="565"/>
        <w:gridCol w:w="60"/>
        <w:gridCol w:w="328"/>
        <w:gridCol w:w="140"/>
        <w:gridCol w:w="565"/>
        <w:gridCol w:w="67"/>
      </w:tblGrid>
      <w:tr>
        <w:trPr/>
        <w:tc>
          <w:tcPr>
            <w:tcW w:w="5286"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286"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89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7" w:type="dxa"/>
            <w:tcBorders/>
            <w:vAlign w:val="bottom"/>
          </w:tcPr>
          <w:p>
            <w:pPr>
              <w:pStyle w:val="TableContents"/>
              <w:bidi w:val="0"/>
              <w:spacing w:before="0" w:after="283"/>
              <w:jc w:val="left"/>
              <w:rPr/>
            </w:pPr>
            <w:r>
              <w:rPr/>
              <w:t> </w:t>
            </w:r>
          </w:p>
        </w:tc>
      </w:tr>
      <w:tr>
        <w:trPr/>
        <w:tc>
          <w:tcPr>
            <w:tcW w:w="5286"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5286"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891" w:type="dxa"/>
            <w:gridSpan w:val="10"/>
            <w:tcBorders/>
            <w:vAlign w:val="bottom"/>
          </w:tcPr>
          <w:p>
            <w:pPr>
              <w:pStyle w:val="TableContents"/>
              <w:bidi w:val="0"/>
              <w:spacing w:before="0" w:after="283"/>
              <w:jc w:val="center"/>
              <w:rPr>
                <w:b/>
              </w:rPr>
            </w:pPr>
            <w:r>
              <w:rPr>
                <w:b/>
              </w:rPr>
              <w:t>(in millions)</w:t>
            </w:r>
          </w:p>
        </w:tc>
        <w:tc>
          <w:tcPr>
            <w:tcW w:w="67" w:type="dxa"/>
            <w:tcBorders/>
            <w:vAlign w:val="bottom"/>
          </w:tcPr>
          <w:p>
            <w:pPr>
              <w:pStyle w:val="TableContents"/>
              <w:bidi w:val="0"/>
              <w:spacing w:before="0" w:after="283"/>
              <w:jc w:val="left"/>
              <w:rPr/>
            </w:pPr>
            <w:r>
              <w:rPr/>
              <w:t> </w:t>
            </w:r>
          </w:p>
        </w:tc>
      </w:tr>
      <w:tr>
        <w:trPr/>
        <w:tc>
          <w:tcPr>
            <w:tcW w:w="5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Licensed, including sports rights</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1,716</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1,695</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1,744</w:t>
            </w:r>
          </w:p>
        </w:tc>
        <w:tc>
          <w:tcPr>
            <w:tcW w:w="67" w:type="dxa"/>
            <w:tcBorders/>
            <w:shd w:fill="CCEEFF" w:val="clear"/>
            <w:vAlign w:val="bottom"/>
          </w:tcPr>
          <w:p>
            <w:pPr>
              <w:pStyle w:val="TableContents"/>
              <w:bidi w:val="0"/>
              <w:spacing w:before="0" w:after="283"/>
              <w:jc w:val="left"/>
              <w:rPr/>
            </w:pPr>
            <w:r>
              <w:rPr/>
              <w:t> </w:t>
            </w:r>
          </w:p>
        </w:tc>
      </w:tr>
      <w:tr>
        <w:trPr/>
        <w:tc>
          <w:tcPr>
            <w:tcW w:w="5286" w:type="dxa"/>
            <w:tcBorders/>
          </w:tcPr>
          <w:p>
            <w:pPr>
              <w:pStyle w:val="TableContents"/>
              <w:bidi w:val="0"/>
              <w:spacing w:before="0" w:after="0"/>
              <w:jc w:val="left"/>
              <w:rPr>
                <w:rFonts w:ascii="Times New Roman" w:hAnsi="Times New Roman"/>
                <w:sz w:val="20"/>
              </w:rPr>
            </w:pPr>
            <w:r>
              <w:rPr>
                <w:rFonts w:ascii="Times New Roman" w:hAnsi="Times New Roman"/>
                <w:sz w:val="20"/>
              </w:rPr>
              <w:t>Owned</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890</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1,029</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1,004</w:t>
            </w:r>
          </w:p>
        </w:tc>
        <w:tc>
          <w:tcPr>
            <w:tcW w:w="67" w:type="dxa"/>
            <w:tcBorders/>
            <w:vAlign w:val="bottom"/>
          </w:tcPr>
          <w:p>
            <w:pPr>
              <w:pStyle w:val="TableContents"/>
              <w:bidi w:val="0"/>
              <w:spacing w:before="0" w:after="283"/>
              <w:jc w:val="left"/>
              <w:rPr/>
            </w:pPr>
            <w:r>
              <w:rPr/>
              <w:t> </w:t>
            </w:r>
          </w:p>
        </w:tc>
      </w:tr>
      <w:tr>
        <w:trPr/>
        <w:tc>
          <w:tcPr>
            <w:tcW w:w="5286"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28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programming and production costs</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2,606</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2,724</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2,749</w:t>
            </w:r>
          </w:p>
        </w:tc>
        <w:tc>
          <w:tcPr>
            <w:tcW w:w="67" w:type="dxa"/>
            <w:tcBorders/>
            <w:shd w:fill="CCEEFF" w:val="clear"/>
            <w:vAlign w:val="bottom"/>
          </w:tcPr>
          <w:p>
            <w:pPr>
              <w:pStyle w:val="TableContents"/>
              <w:bidi w:val="0"/>
              <w:spacing w:before="0" w:after="283"/>
              <w:jc w:val="left"/>
              <w:rPr/>
            </w:pPr>
            <w:r>
              <w:rPr/>
              <w:t> </w:t>
            </w:r>
          </w:p>
        </w:tc>
      </w:tr>
      <w:tr>
        <w:trPr/>
        <w:tc>
          <w:tcPr>
            <w:tcW w:w="5286"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incur costs related to the license of the rights to use content owned by third parties and sports rights on our television networks and digital platforms, and related to the production and acquisition of owned content, which are described as licensed and owned content, respectively. Programming and production costs are presented in costs of revenue in our combined statements of income and the related capitalized amounts are presented in content costs in our combined balance sheets. We have determined that the predominant monetization strategy for the substantial majority of our content is on a group basis. We recorded a $58 million reduction of programming and production costs and a corresponding noncurrent receivable in 2024 related to production tax incentives. </w:t>
      </w:r>
    </w:p>
    <w:p>
      <w:pPr>
        <w:pStyle w:val="TextBody"/>
        <w:bidi w:val="0"/>
        <w:spacing w:before="360" w:after="0"/>
        <w:jc w:val="left"/>
        <w:rPr>
          <w:rFonts w:ascii="Times New Roman" w:hAnsi="Times New Roman"/>
          <w:i/>
          <w:sz w:val="20"/>
        </w:rPr>
      </w:pPr>
      <w:r>
        <w:rPr>
          <w:rFonts w:ascii="Times New Roman" w:hAnsi="Times New Roman"/>
          <w:i/>
          <w:sz w:val="20"/>
        </w:rPr>
        <w:t xml:space="preserve">Capitalized Content Costs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84"/>
        <w:gridCol w:w="385"/>
        <w:gridCol w:w="155"/>
        <w:gridCol w:w="425"/>
        <w:gridCol w:w="66"/>
        <w:gridCol w:w="395"/>
        <w:gridCol w:w="155"/>
        <w:gridCol w:w="427"/>
        <w:gridCol w:w="63"/>
      </w:tblGrid>
      <w:tr>
        <w:trPr/>
        <w:tc>
          <w:tcPr>
            <w:tcW w:w="5684"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84"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6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5684"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6"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5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5684"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623" w:type="dxa"/>
            <w:gridSpan w:val="6"/>
            <w:tcBorders/>
            <w:vAlign w:val="bottom"/>
          </w:tcPr>
          <w:p>
            <w:pPr>
              <w:pStyle w:val="TableContents"/>
              <w:bidi w:val="0"/>
              <w:spacing w:before="0" w:after="283"/>
              <w:jc w:val="center"/>
              <w:rPr>
                <w:b/>
              </w:rPr>
            </w:pPr>
            <w:r>
              <w:rPr>
                <w:b/>
              </w:rPr>
              <w:t>(in millions)</w:t>
            </w:r>
          </w:p>
        </w:tc>
        <w:tc>
          <w:tcPr>
            <w:tcW w:w="63" w:type="dxa"/>
            <w:tcBorders/>
            <w:vAlign w:val="bottom"/>
          </w:tcPr>
          <w:p>
            <w:pPr>
              <w:pStyle w:val="TableContents"/>
              <w:bidi w:val="0"/>
              <w:spacing w:before="0" w:after="283"/>
              <w:jc w:val="left"/>
              <w:rPr/>
            </w:pPr>
            <w:r>
              <w:rPr/>
              <w:t> </w:t>
            </w:r>
          </w:p>
        </w:tc>
      </w:tr>
      <w:tr>
        <w:trPr/>
        <w:tc>
          <w:tcPr>
            <w:tcW w:w="5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Licensed, including sports advances</w:t>
            </w:r>
          </w:p>
        </w:tc>
        <w:tc>
          <w:tcPr>
            <w:tcW w:w="38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519</w:t>
            </w:r>
          </w:p>
        </w:tc>
        <w:tc>
          <w:tcPr>
            <w:tcW w:w="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7" w:type="dxa"/>
            <w:tcBorders/>
            <w:shd w:fill="CCEEFF" w:val="clear"/>
            <w:vAlign w:val="bottom"/>
          </w:tcPr>
          <w:p>
            <w:pPr>
              <w:pStyle w:val="TableContents"/>
              <w:bidi w:val="0"/>
              <w:spacing w:before="0" w:after="283"/>
              <w:jc w:val="right"/>
              <w:rPr/>
            </w:pPr>
            <w:r>
              <w:rPr/>
              <w:t>555</w:t>
            </w:r>
          </w:p>
        </w:tc>
        <w:tc>
          <w:tcPr>
            <w:tcW w:w="63" w:type="dxa"/>
            <w:tcBorders/>
            <w:shd w:fill="CCEEFF" w:val="clear"/>
            <w:vAlign w:val="bottom"/>
          </w:tcPr>
          <w:p>
            <w:pPr>
              <w:pStyle w:val="TableContents"/>
              <w:bidi w:val="0"/>
              <w:spacing w:before="0" w:after="283"/>
              <w:jc w:val="left"/>
              <w:rPr/>
            </w:pPr>
            <w:r>
              <w:rPr/>
              <w:t> </w:t>
            </w:r>
          </w:p>
        </w:tc>
      </w:tr>
      <w:tr>
        <w:trPr/>
        <w:tc>
          <w:tcPr>
            <w:tcW w:w="5684" w:type="dxa"/>
            <w:tcBorders/>
          </w:tcPr>
          <w:p>
            <w:pPr>
              <w:pStyle w:val="TableContents"/>
              <w:bidi w:val="0"/>
              <w:spacing w:before="0" w:after="0"/>
              <w:jc w:val="left"/>
              <w:rPr>
                <w:rFonts w:ascii="Times New Roman" w:hAnsi="Times New Roman"/>
                <w:sz w:val="20"/>
              </w:rPr>
            </w:pPr>
            <w:r>
              <w:rPr>
                <w:rFonts w:ascii="Times New Roman" w:hAnsi="Times New Roman"/>
                <w:sz w:val="20"/>
              </w:rPr>
              <w:t>Owned:</w:t>
            </w:r>
          </w:p>
        </w:tc>
        <w:tc>
          <w:tcPr>
            <w:tcW w:w="38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 production and in development</w:t>
            </w:r>
          </w:p>
        </w:tc>
        <w:tc>
          <w:tcPr>
            <w:tcW w:w="38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31</w:t>
            </w:r>
          </w:p>
        </w:tc>
        <w:tc>
          <w:tcPr>
            <w:tcW w:w="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right"/>
              <w:rPr/>
            </w:pPr>
            <w:r>
              <w:rPr/>
              <w:t>43</w:t>
            </w:r>
          </w:p>
        </w:tc>
        <w:tc>
          <w:tcPr>
            <w:tcW w:w="63" w:type="dxa"/>
            <w:tcBorders/>
            <w:shd w:fill="CCEEFF" w:val="clear"/>
            <w:vAlign w:val="bottom"/>
          </w:tcPr>
          <w:p>
            <w:pPr>
              <w:pStyle w:val="TableContents"/>
              <w:bidi w:val="0"/>
              <w:spacing w:before="0" w:after="283"/>
              <w:jc w:val="left"/>
              <w:rPr/>
            </w:pPr>
            <w:r>
              <w:rPr/>
              <w:t> </w:t>
            </w:r>
          </w:p>
        </w:tc>
      </w:tr>
      <w:tr>
        <w:trPr/>
        <w:tc>
          <w:tcPr>
            <w:tcW w:w="5684" w:type="dxa"/>
            <w:tcBorders/>
          </w:tcPr>
          <w:p>
            <w:pPr>
              <w:pStyle w:val="TableContents"/>
              <w:bidi w:val="0"/>
              <w:spacing w:before="0" w:after="0"/>
              <w:jc w:val="left"/>
              <w:rPr>
                <w:rFonts w:ascii="Times New Roman" w:hAnsi="Times New Roman"/>
                <w:sz w:val="20"/>
              </w:rPr>
            </w:pPr>
            <w:r>
              <w:rPr>
                <w:rFonts w:ascii="Times New Roman" w:hAnsi="Times New Roman"/>
                <w:sz w:val="20"/>
              </w:rPr>
              <w:t>Released, less amortization</w:t>
            </w:r>
          </w:p>
        </w:tc>
        <w:tc>
          <w:tcPr>
            <w:tcW w:w="38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89</w:t>
            </w:r>
          </w:p>
        </w:tc>
        <w:tc>
          <w:tcPr>
            <w:tcW w:w="66"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568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84" w:type="dxa"/>
            <w:tcBorders/>
            <w:shd w:fill="CCEEFF" w:val="clear"/>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120</w:t>
            </w:r>
          </w:p>
        </w:tc>
        <w:tc>
          <w:tcPr>
            <w:tcW w:w="66"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right"/>
              <w:rPr/>
            </w:pPr>
            <w:r>
              <w:rPr/>
              <w:t>151</w:t>
            </w:r>
          </w:p>
        </w:tc>
        <w:tc>
          <w:tcPr>
            <w:tcW w:w="63" w:type="dxa"/>
            <w:tcBorders/>
            <w:shd w:fill="CCEEFF" w:val="clear"/>
            <w:vAlign w:val="bottom"/>
          </w:tcPr>
          <w:p>
            <w:pPr>
              <w:pStyle w:val="TableContents"/>
              <w:bidi w:val="0"/>
              <w:spacing w:before="0" w:after="283"/>
              <w:jc w:val="left"/>
              <w:rPr/>
            </w:pPr>
            <w:r>
              <w:rPr/>
              <w:t> </w:t>
            </w:r>
          </w:p>
        </w:tc>
      </w:tr>
      <w:tr>
        <w:trPr/>
        <w:tc>
          <w:tcPr>
            <w:tcW w:w="568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8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Content costs</w:t>
            </w:r>
          </w:p>
        </w:tc>
        <w:tc>
          <w:tcPr>
            <w:tcW w:w="38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b/>
              </w:rPr>
            </w:pPr>
            <w:r>
              <w:rPr>
                <w:b/>
              </w:rPr>
              <w:t>$</w:t>
            </w:r>
          </w:p>
        </w:tc>
        <w:tc>
          <w:tcPr>
            <w:tcW w:w="425" w:type="dxa"/>
            <w:tcBorders/>
            <w:vAlign w:val="bottom"/>
          </w:tcPr>
          <w:p>
            <w:pPr>
              <w:pStyle w:val="TableContents"/>
              <w:bidi w:val="0"/>
              <w:spacing w:before="0" w:after="283"/>
              <w:jc w:val="right"/>
              <w:rPr>
                <w:b/>
              </w:rPr>
            </w:pPr>
            <w:r>
              <w:rPr>
                <w:b/>
              </w:rPr>
              <w:t>639</w:t>
            </w:r>
          </w:p>
        </w:tc>
        <w:tc>
          <w:tcPr>
            <w:tcW w:w="66"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b/>
              </w:rPr>
            </w:pPr>
            <w:r>
              <w:rPr>
                <w:b/>
              </w:rPr>
              <w:t>$</w:t>
            </w:r>
          </w:p>
        </w:tc>
        <w:tc>
          <w:tcPr>
            <w:tcW w:w="427" w:type="dxa"/>
            <w:tcBorders/>
            <w:vAlign w:val="bottom"/>
          </w:tcPr>
          <w:p>
            <w:pPr>
              <w:pStyle w:val="TableContents"/>
              <w:bidi w:val="0"/>
              <w:spacing w:before="0" w:after="283"/>
              <w:jc w:val="right"/>
              <w:rPr>
                <w:b/>
              </w:rPr>
            </w:pPr>
            <w:r>
              <w:rPr>
                <w:b/>
              </w:rPr>
              <w:t>706</w:t>
            </w:r>
          </w:p>
        </w:tc>
        <w:tc>
          <w:tcPr>
            <w:tcW w:w="63" w:type="dxa"/>
            <w:tcBorders/>
            <w:vAlign w:val="bottom"/>
          </w:tcPr>
          <w:p>
            <w:pPr>
              <w:pStyle w:val="TableContents"/>
              <w:bidi w:val="0"/>
              <w:spacing w:before="0" w:after="283"/>
              <w:jc w:val="left"/>
              <w:rPr/>
            </w:pPr>
            <w:r>
              <w:rPr/>
              <w:t> </w:t>
            </w:r>
          </w:p>
        </w:tc>
      </w:tr>
      <w:tr>
        <w:trPr/>
        <w:tc>
          <w:tcPr>
            <w:tcW w:w="5684"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42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42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estimated future amortization expense for the capitalized content costs recorded in our combined balance sheets as of December 31,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04"/>
        <w:gridCol w:w="559"/>
        <w:gridCol w:w="247"/>
        <w:gridCol w:w="709"/>
        <w:gridCol w:w="60"/>
        <w:gridCol w:w="559"/>
        <w:gridCol w:w="264"/>
        <w:gridCol w:w="491"/>
        <w:gridCol w:w="62"/>
      </w:tblGrid>
      <w:tr>
        <w:trPr/>
        <w:tc>
          <w:tcPr>
            <w:tcW w:w="4804" w:type="dxa"/>
            <w:tcBorders/>
            <w:vAlign w:val="center"/>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804"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Licensed</w:t>
            </w:r>
          </w:p>
        </w:tc>
        <w:tc>
          <w:tcPr>
            <w:tcW w:w="6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Owned</w:t>
            </w:r>
          </w:p>
        </w:tc>
        <w:tc>
          <w:tcPr>
            <w:tcW w:w="62" w:type="dxa"/>
            <w:tcBorders/>
            <w:vAlign w:val="bottom"/>
          </w:tcPr>
          <w:p>
            <w:pPr>
              <w:pStyle w:val="TableContents"/>
              <w:bidi w:val="0"/>
              <w:spacing w:before="0" w:after="283"/>
              <w:jc w:val="left"/>
              <w:rPr/>
            </w:pPr>
            <w:r>
              <w:rPr/>
              <w:t> </w:t>
            </w:r>
          </w:p>
        </w:tc>
      </w:tr>
      <w:tr>
        <w:trPr/>
        <w:tc>
          <w:tcPr>
            <w:tcW w:w="4804"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left"/>
              <w:rPr/>
            </w:pPr>
            <w:r>
              <w:rPr/>
              <w:t>  </w:t>
            </w:r>
          </w:p>
        </w:tc>
        <w:tc>
          <w:tcPr>
            <w:tcW w:w="2330" w:type="dxa"/>
            <w:gridSpan w:val="6"/>
            <w:tcBorders/>
            <w:vAlign w:val="bottom"/>
          </w:tcPr>
          <w:p>
            <w:pPr>
              <w:pStyle w:val="TableContents"/>
              <w:bidi w:val="0"/>
              <w:spacing w:before="0" w:after="283"/>
              <w:jc w:val="center"/>
              <w:rPr>
                <w:b/>
              </w:rPr>
            </w:pPr>
            <w:r>
              <w:rPr>
                <w:b/>
              </w:rPr>
              <w:t>(in millions)</w:t>
            </w:r>
          </w:p>
        </w:tc>
        <w:tc>
          <w:tcPr>
            <w:tcW w:w="62" w:type="dxa"/>
            <w:tcBorders/>
            <w:vAlign w:val="bottom"/>
          </w:tcPr>
          <w:p>
            <w:pPr>
              <w:pStyle w:val="TableContents"/>
              <w:bidi w:val="0"/>
              <w:spacing w:before="0" w:after="283"/>
              <w:jc w:val="left"/>
              <w:rPr/>
            </w:pPr>
            <w:r>
              <w:rPr/>
              <w:t> </w:t>
            </w:r>
          </w:p>
        </w:tc>
      </w:tr>
      <w:tr>
        <w:trPr/>
        <w:tc>
          <w:tcPr>
            <w:tcW w:w="4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55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268</w:t>
            </w:r>
          </w:p>
        </w:tc>
        <w:tc>
          <w:tcPr>
            <w:tcW w:w="6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491" w:type="dxa"/>
            <w:tcBorders/>
            <w:shd w:fill="CCEEFF" w:val="clear"/>
            <w:vAlign w:val="bottom"/>
          </w:tcPr>
          <w:p>
            <w:pPr>
              <w:pStyle w:val="TableContents"/>
              <w:bidi w:val="0"/>
              <w:spacing w:before="0" w:after="283"/>
              <w:jc w:val="right"/>
              <w:rPr/>
            </w:pPr>
            <w:r>
              <w:rPr/>
              <w:t>60</w:t>
            </w:r>
          </w:p>
        </w:tc>
        <w:tc>
          <w:tcPr>
            <w:tcW w:w="62" w:type="dxa"/>
            <w:tcBorders/>
            <w:shd w:fill="CCEEFF" w:val="clear"/>
            <w:vAlign w:val="bottom"/>
          </w:tcPr>
          <w:p>
            <w:pPr>
              <w:pStyle w:val="TableContents"/>
              <w:bidi w:val="0"/>
              <w:spacing w:before="0" w:after="283"/>
              <w:jc w:val="left"/>
              <w:rPr/>
            </w:pPr>
            <w:r>
              <w:rPr/>
              <w:t> </w:t>
            </w:r>
          </w:p>
        </w:tc>
      </w:tr>
      <w:tr>
        <w:trPr/>
        <w:tc>
          <w:tcPr>
            <w:tcW w:w="4804"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55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709" w:type="dxa"/>
            <w:tcBorders/>
            <w:vAlign w:val="bottom"/>
          </w:tcPr>
          <w:p>
            <w:pPr>
              <w:pStyle w:val="TableContents"/>
              <w:bidi w:val="0"/>
              <w:spacing w:before="0" w:after="283"/>
              <w:jc w:val="right"/>
              <w:rPr/>
            </w:pPr>
            <w:r>
              <w:rPr/>
              <w:t>121</w:t>
            </w:r>
          </w:p>
        </w:tc>
        <w:tc>
          <w:tcPr>
            <w:tcW w:w="6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49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4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55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70</w:t>
            </w:r>
          </w:p>
        </w:tc>
        <w:tc>
          <w:tcPr>
            <w:tcW w:w="6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491" w:type="dxa"/>
            <w:tcBorders/>
            <w:shd w:fill="CCEEFF" w:val="clear"/>
            <w:vAlign w:val="bottom"/>
          </w:tcPr>
          <w:p>
            <w:pPr>
              <w:pStyle w:val="TableContents"/>
              <w:bidi w:val="0"/>
              <w:spacing w:before="0" w:after="283"/>
              <w:jc w:val="right"/>
              <w:rPr/>
            </w:pPr>
            <w:r>
              <w:rPr/>
              <w:t>6</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future minimum commitments for licensed content that are not recognized in our combined balance sheets as of December 31, 2024 totaling $335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Capitalization and Recognition of Content Costs </w:t>
      </w:r>
    </w:p>
    <w:p>
      <w:pPr>
        <w:pStyle w:val="TextBody"/>
        <w:bidi w:val="0"/>
        <w:spacing w:before="120" w:after="0"/>
        <w:jc w:val="left"/>
        <w:rPr>
          <w:rFonts w:ascii="Times New Roman" w:hAnsi="Times New Roman"/>
          <w:sz w:val="20"/>
        </w:rPr>
      </w:pPr>
      <w:r>
        <w:rPr>
          <w:rFonts w:ascii="Times New Roman" w:hAnsi="Times New Roman"/>
          <w:sz w:val="20"/>
        </w:rPr>
        <w:t xml:space="preserve">We capitalize the costs of licensed content when the license period begins, the content is made available for use and the costs of the licenses are known. Licensed content is amortized as the associated programs are used, incorporating estimated viewing patterns. </w:t>
      </w:r>
    </w:p>
    <w:p>
      <w:pPr>
        <w:pStyle w:val="TextBody"/>
        <w:bidi w:val="0"/>
        <w:spacing w:before="240" w:after="0"/>
        <w:jc w:val="left"/>
        <w:rPr>
          <w:rFonts w:ascii="Times New Roman" w:hAnsi="Times New Roman"/>
          <w:sz w:val="20"/>
        </w:rPr>
      </w:pPr>
      <w:r>
        <w:rPr>
          <w:rFonts w:ascii="Times New Roman" w:hAnsi="Times New Roman"/>
          <w:sz w:val="20"/>
        </w:rPr>
        <w:t xml:space="preserve">We capitalize costs for owned content, including direct costs, production overhead, print costs, development costs and interest, as well as acquired titles.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Estimates of ultimate revenue and total costs are based on anticipated airing patterns and distribution strategies, public acceptance and historical results for similar productions. We do not capitalize costs associated with marketing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Licensed and owned content are presented as noncurrent assets in content costs. We present amortization of licensed and owned content and accrued costs associated with participations and residuals payments in programming and production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Production activities may be eligible for tax incentives from certain state, local or foreign jurisdictions. These incentives generally provide for transferable or redeemable tax credits upon meeting established levels of qualified production spending within a participating jurisdiction. We record a receivable for a production tax incentive program when there is a reasonable assurance of collection with a corresponding reduction of capitalized content costs or programming and production costs,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When an event or a change in circumstance occurs that was known or knowable as of the balance sheet date and that indicates the fair value of either licensed or owned content is less than the unamortized costs in the balance sheet, we determine the fair value and record an impairment charge to the extent the unamortized costs exceed the fair value. Licensed and owned content is assessed in identified film groups, which are generally on a channel, network or platform basis, for content predominantly monetized with other content. Licensed content that is not part of a film group is also generally assessed in packages or channels. Owned content that is not part of a film group is assessed individually. Estimated fair values of licensed and owned content are generally based on Level 3 inputs including analysis of market participant estimates of future cash flows. We record charges related to impairments or content that is substantively abandoned to programming and production costs. </w:t>
      </w:r>
    </w:p>
    <w:p>
      <w:pPr>
        <w:pStyle w:val="TextBody"/>
        <w:bidi w:val="0"/>
        <w:spacing w:before="360" w:after="0"/>
        <w:jc w:val="left"/>
        <w:rPr>
          <w:rFonts w:ascii="Times New Roman" w:hAnsi="Times New Roman"/>
          <w:i/>
          <w:sz w:val="20"/>
        </w:rPr>
      </w:pPr>
      <w:r>
        <w:rPr>
          <w:rFonts w:ascii="Times New Roman" w:hAnsi="Times New Roman"/>
          <w:i/>
          <w:sz w:val="20"/>
        </w:rPr>
        <w:t xml:space="preserve">Sports Rights </w:t>
      </w:r>
    </w:p>
    <w:p>
      <w:pPr>
        <w:pStyle w:val="TextBody"/>
        <w:bidi w:val="0"/>
        <w:spacing w:before="120" w:after="0"/>
        <w:jc w:val="left"/>
        <w:rPr>
          <w:rFonts w:ascii="Times New Roman" w:hAnsi="Times New Roman"/>
          <w:sz w:val="20"/>
        </w:rPr>
      </w:pPr>
      <w:r>
        <w:rPr>
          <w:rFonts w:ascii="Times New Roman" w:hAnsi="Times New Roman"/>
          <w:sz w:val="20"/>
        </w:rPr>
        <w:t xml:space="preserve">We recognize the costs of multiyear, live-event sports rights as the rights are used over the contract term based on estimated relative value. Estimated relative value is generally based on the terms of the contract and the nature of and potential revenue generation of the deliverables within the contract. Sports rights are accounted for as executory contracts and are not subject to impairment. When cash payments, including advanced payments, exceed the relative value of the sports rights delivered, we recognize an asset in licensed content costs. Production costs incurred in advance of airing are also presented in licensed content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Costs of Revenue </w:t>
      </w:r>
    </w:p>
    <w:p>
      <w:pPr>
        <w:pStyle w:val="TextBody"/>
        <w:bidi w:val="0"/>
        <w:spacing w:before="120" w:after="0"/>
        <w:jc w:val="left"/>
        <w:rPr>
          <w:rFonts w:ascii="Times New Roman" w:hAnsi="Times New Roman"/>
          <w:sz w:val="20"/>
        </w:rPr>
      </w:pPr>
      <w:r>
        <w:rPr>
          <w:rFonts w:ascii="Times New Roman" w:hAnsi="Times New Roman"/>
          <w:sz w:val="20"/>
        </w:rPr>
        <w:t xml:space="preserve">Other costs attributed to our service offerings primarily include transaction-based fees to support our payment processing services and integrate the third-party data into our digital platforms, as well as direct personnel and operating costs to maintain the platforms. These costs are generally expensed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Note 5: Investments </w:t>
      </w:r>
    </w:p>
    <w:p>
      <w:pPr>
        <w:pStyle w:val="TextBody"/>
        <w:bidi w:val="0"/>
        <w:spacing w:before="120" w:after="0"/>
        <w:jc w:val="left"/>
        <w:rPr>
          <w:rFonts w:ascii="Times New Roman" w:hAnsi="Times New Roman"/>
          <w:sz w:val="20"/>
        </w:rPr>
      </w:pPr>
      <w:r>
        <w:rPr>
          <w:rFonts w:ascii="Times New Roman" w:hAnsi="Times New Roman"/>
          <w:sz w:val="20"/>
        </w:rPr>
        <w:t xml:space="preserve">Our investments are accounted for as nonmarketable equity securities. In 2022, we recorded an unrealized impairment loss of $62 million for one of our investments. The impairment assessment was performed in connection with an investee capital transaction and estimated fair value was determined based on the value indications in this transaction, a Level 2 input, which subsequently closed in 2023. This impairment loss represents the cumulative amount of downward adjustments on our nonmarketable equity securities, which continue to be held as of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generally apply the measurement alternative, adjusting the investments for observable price changes of identical or similar investments of the same issuer, to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We review our nonmarketable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fair value of the investment, then the fair value is not estimated. We record the changes in value from observable events and impairments to investment and other income (loss), net. </w:t>
      </w:r>
    </w:p>
    <w:p>
      <w:pPr>
        <w:pStyle w:val="TextBody"/>
        <w:bidi w:val="0"/>
        <w:spacing w:before="360" w:after="0"/>
        <w:jc w:val="left"/>
        <w:rPr>
          <w:rFonts w:ascii="Times New Roman" w:hAnsi="Times New Roman"/>
          <w:b/>
          <w:sz w:val="20"/>
        </w:rPr>
      </w:pPr>
      <w:r>
        <w:rPr>
          <w:rFonts w:ascii="Times New Roman" w:hAnsi="Times New Roman"/>
          <w:b/>
          <w:sz w:val="20"/>
        </w:rPr>
        <w:t xml:space="preserve">Note 6: Property and Equipment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63"/>
        <w:gridCol w:w="364"/>
        <w:gridCol w:w="109"/>
        <w:gridCol w:w="2145"/>
        <w:gridCol w:w="60"/>
        <w:gridCol w:w="364"/>
        <w:gridCol w:w="140"/>
        <w:gridCol w:w="455"/>
        <w:gridCol w:w="155"/>
        <w:gridCol w:w="364"/>
        <w:gridCol w:w="140"/>
        <w:gridCol w:w="454"/>
        <w:gridCol w:w="159"/>
      </w:tblGrid>
      <w:tr>
        <w:trPr/>
        <w:tc>
          <w:tcPr>
            <w:tcW w:w="3663"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3" w:type="dxa"/>
            <w:tcBorders/>
            <w:vAlign w:val="bottom"/>
          </w:tcPr>
          <w:p>
            <w:pPr>
              <w:pStyle w:val="TableContents"/>
              <w:bidi w:val="0"/>
              <w:spacing w:before="0" w:after="283"/>
              <w:jc w:val="left"/>
              <w:rPr/>
            </w:pPr>
            <w:r>
              <w:rPr/>
              <w:t> </w:t>
            </w:r>
          </w:p>
        </w:tc>
        <w:tc>
          <w:tcPr>
            <w:tcW w:w="364" w:type="dxa"/>
            <w:vMerge w:val="restart"/>
            <w:tcBorders/>
            <w:vAlign w:val="bottom"/>
          </w:tcPr>
          <w:p>
            <w:pPr>
              <w:pStyle w:val="TableContents"/>
              <w:bidi w:val="0"/>
              <w:spacing w:before="0" w:after="283"/>
              <w:jc w:val="left"/>
              <w:rPr/>
            </w:pPr>
            <w:r>
              <w:rPr/>
              <w:t>  </w:t>
            </w:r>
          </w:p>
        </w:tc>
        <w:tc>
          <w:tcPr>
            <w:tcW w:w="225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Original Useful Lives</w:t>
              <w:br/>
              <w:t>as of December 31,</w:t>
            </w:r>
            <w:r>
              <w:rPr/>
              <w:br/>
            </w:r>
            <w:r>
              <w:rPr>
                <w:b/>
              </w:rPr>
              <w:t>2024</w:t>
            </w:r>
          </w:p>
        </w:tc>
        <w:tc>
          <w:tcPr>
            <w:tcW w:w="60" w:type="dxa"/>
            <w:vMerge w:val="restart"/>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7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3663" w:type="dxa"/>
            <w:tcBorders/>
            <w:vAlign w:val="bottom"/>
          </w:tcPr>
          <w:p>
            <w:pPr>
              <w:pStyle w:val="TableContents"/>
              <w:bidi w:val="0"/>
              <w:spacing w:before="0" w:after="283"/>
              <w:jc w:val="left"/>
              <w:rPr/>
            </w:pPr>
            <w:r>
              <w:rPr/>
              <w:t> </w:t>
            </w:r>
          </w:p>
        </w:tc>
        <w:tc>
          <w:tcPr>
            <w:tcW w:w="364" w:type="dxa"/>
            <w:vMerge w:val="continue"/>
            <w:tcBorders/>
            <w:vAlign w:val="bottom"/>
          </w:tcPr>
          <w:p>
            <w:pPr>
              <w:pStyle w:val="Normal"/>
              <w:bidi w:val="0"/>
              <w:jc w:val="left"/>
              <w:rPr/>
            </w:pPr>
            <w:r>
              <w:rPr/>
            </w:r>
          </w:p>
        </w:tc>
        <w:tc>
          <w:tcPr>
            <w:tcW w:w="225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364"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5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3663"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2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708" w:type="dxa"/>
            <w:gridSpan w:val="6"/>
            <w:tcBorders/>
            <w:vAlign w:val="bottom"/>
          </w:tcPr>
          <w:p>
            <w:pPr>
              <w:pStyle w:val="TableContents"/>
              <w:bidi w:val="0"/>
              <w:spacing w:before="0" w:after="283"/>
              <w:jc w:val="center"/>
              <w:rPr>
                <w:b/>
              </w:rPr>
            </w:pPr>
            <w:r>
              <w:rPr>
                <w:b/>
              </w:rPr>
              <w:t>(in millions)</w:t>
            </w:r>
          </w:p>
        </w:tc>
        <w:tc>
          <w:tcPr>
            <w:tcW w:w="159" w:type="dxa"/>
            <w:tcBorders/>
            <w:vAlign w:val="bottom"/>
          </w:tcPr>
          <w:p>
            <w:pPr>
              <w:pStyle w:val="TableContents"/>
              <w:bidi w:val="0"/>
              <w:spacing w:before="0" w:after="283"/>
              <w:jc w:val="left"/>
              <w:rPr/>
            </w:pPr>
            <w:r>
              <w:rPr/>
              <w:t> </w:t>
            </w:r>
          </w:p>
        </w:tc>
      </w:tr>
      <w:tr>
        <w:trPr/>
        <w:tc>
          <w:tcPr>
            <w:tcW w:w="3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equipment and technology</w:t>
            </w:r>
          </w:p>
        </w:tc>
        <w:tc>
          <w:tcPr>
            <w:tcW w:w="364"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45" w:type="dxa"/>
            <w:tcBorders/>
            <w:shd w:fill="CCEEFF" w:val="clear"/>
            <w:vAlign w:val="bottom"/>
          </w:tcPr>
          <w:p>
            <w:pPr>
              <w:pStyle w:val="TableContents"/>
              <w:bidi w:val="0"/>
              <w:spacing w:before="0" w:after="283"/>
              <w:jc w:val="center"/>
              <w:rPr/>
            </w:pPr>
            <w:r>
              <w:rPr/>
              <w:t>3 - 16 years</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471</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517</w:t>
            </w:r>
          </w:p>
        </w:tc>
        <w:tc>
          <w:tcPr>
            <w:tcW w:w="159" w:type="dxa"/>
            <w:tcBorders/>
            <w:shd w:fill="CCEEFF" w:val="clear"/>
            <w:vAlign w:val="bottom"/>
          </w:tcPr>
          <w:p>
            <w:pPr>
              <w:pStyle w:val="TableContents"/>
              <w:bidi w:val="0"/>
              <w:spacing w:before="0" w:after="283"/>
              <w:jc w:val="left"/>
              <w:rPr/>
            </w:pPr>
            <w:r>
              <w:rPr/>
              <w:t> </w:t>
            </w:r>
          </w:p>
        </w:tc>
      </w:tr>
      <w:tr>
        <w:trPr/>
        <w:tc>
          <w:tcPr>
            <w:tcW w:w="3663" w:type="dxa"/>
            <w:tcBorders/>
          </w:tcPr>
          <w:p>
            <w:pPr>
              <w:pStyle w:val="TableContents"/>
              <w:bidi w:val="0"/>
              <w:spacing w:before="0" w:after="0"/>
              <w:jc w:val="left"/>
              <w:rPr>
                <w:rFonts w:ascii="Times New Roman" w:hAnsi="Times New Roman"/>
                <w:sz w:val="20"/>
              </w:rPr>
            </w:pPr>
            <w:r>
              <w:rPr>
                <w:rFonts w:ascii="Times New Roman" w:hAnsi="Times New Roman"/>
                <w:sz w:val="20"/>
              </w:rPr>
              <w:t>Buildings and leasehold improvements</w:t>
            </w:r>
          </w:p>
        </w:tc>
        <w:tc>
          <w:tcPr>
            <w:tcW w:w="364"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45" w:type="dxa"/>
            <w:tcBorders/>
            <w:vAlign w:val="bottom"/>
          </w:tcPr>
          <w:p>
            <w:pPr>
              <w:pStyle w:val="TableContents"/>
              <w:bidi w:val="0"/>
              <w:spacing w:before="0" w:after="283"/>
              <w:jc w:val="center"/>
              <w:rPr/>
            </w:pPr>
            <w:r>
              <w:rPr/>
              <w:t>8 - 35 years</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45</w:t>
            </w:r>
          </w:p>
        </w:tc>
        <w:tc>
          <w:tcPr>
            <w:tcW w:w="159" w:type="dxa"/>
            <w:tcBorders/>
            <w:vAlign w:val="bottom"/>
          </w:tcPr>
          <w:p>
            <w:pPr>
              <w:pStyle w:val="TableContents"/>
              <w:bidi w:val="0"/>
              <w:spacing w:before="0" w:after="283"/>
              <w:jc w:val="left"/>
              <w:rPr/>
            </w:pPr>
            <w:r>
              <w:rPr/>
              <w:t> </w:t>
            </w:r>
          </w:p>
        </w:tc>
      </w:tr>
      <w:tr>
        <w:trPr/>
        <w:tc>
          <w:tcPr>
            <w:tcW w:w="3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process</w:t>
            </w:r>
          </w:p>
        </w:tc>
        <w:tc>
          <w:tcPr>
            <w:tcW w:w="364"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45" w:type="dxa"/>
            <w:tcBorders/>
            <w:shd w:fill="CCEEFF" w:val="clear"/>
            <w:vAlign w:val="bottom"/>
          </w:tcPr>
          <w:p>
            <w:pPr>
              <w:pStyle w:val="TableContents"/>
              <w:bidi w:val="0"/>
              <w:spacing w:before="0" w:after="283"/>
              <w:jc w:val="center"/>
              <w:rPr/>
            </w:pPr>
            <w:r>
              <w:rPr/>
              <w:t>N/A</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39</w:t>
            </w:r>
          </w:p>
        </w:tc>
        <w:tc>
          <w:tcPr>
            <w:tcW w:w="159" w:type="dxa"/>
            <w:tcBorders/>
            <w:shd w:fill="CCEEFF" w:val="clear"/>
            <w:vAlign w:val="bottom"/>
          </w:tcPr>
          <w:p>
            <w:pPr>
              <w:pStyle w:val="TableContents"/>
              <w:bidi w:val="0"/>
              <w:spacing w:before="0" w:after="283"/>
              <w:jc w:val="left"/>
              <w:rPr/>
            </w:pPr>
            <w:r>
              <w:rPr/>
              <w:t> </w:t>
            </w:r>
          </w:p>
        </w:tc>
      </w:tr>
      <w:tr>
        <w:trPr/>
        <w:tc>
          <w:tcPr>
            <w:tcW w:w="3663"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2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6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at cost</w:t>
            </w:r>
          </w:p>
        </w:tc>
        <w:tc>
          <w:tcPr>
            <w:tcW w:w="364"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2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548</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601</w:t>
            </w:r>
          </w:p>
        </w:tc>
        <w:tc>
          <w:tcPr>
            <w:tcW w:w="159" w:type="dxa"/>
            <w:tcBorders/>
            <w:vAlign w:val="bottom"/>
          </w:tcPr>
          <w:p>
            <w:pPr>
              <w:pStyle w:val="TableContents"/>
              <w:bidi w:val="0"/>
              <w:spacing w:before="0" w:after="283"/>
              <w:jc w:val="left"/>
              <w:rPr/>
            </w:pPr>
            <w:r>
              <w:rPr/>
              <w:t> </w:t>
            </w:r>
          </w:p>
        </w:tc>
      </w:tr>
      <w:tr>
        <w:trPr/>
        <w:tc>
          <w:tcPr>
            <w:tcW w:w="3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364"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2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(404</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(440</w:t>
            </w:r>
          </w:p>
        </w:tc>
        <w:tc>
          <w:tcPr>
            <w:tcW w:w="159" w:type="dxa"/>
            <w:tcBorders/>
            <w:shd w:fill="CCEEFF" w:val="clear"/>
            <w:vAlign w:val="bottom"/>
          </w:tcPr>
          <w:p>
            <w:pPr>
              <w:pStyle w:val="TableContents"/>
              <w:bidi w:val="0"/>
              <w:spacing w:before="0" w:after="283"/>
              <w:jc w:val="left"/>
              <w:rPr/>
            </w:pPr>
            <w:r>
              <w:rPr/>
              <w:t>) </w:t>
            </w:r>
          </w:p>
        </w:tc>
      </w:tr>
      <w:tr>
        <w:trPr/>
        <w:tc>
          <w:tcPr>
            <w:tcW w:w="3663"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2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Property and equipment, net</w:t>
            </w:r>
          </w:p>
        </w:tc>
        <w:tc>
          <w:tcPr>
            <w:tcW w:w="364"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2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55" w:type="dxa"/>
            <w:tcBorders/>
            <w:vAlign w:val="bottom"/>
          </w:tcPr>
          <w:p>
            <w:pPr>
              <w:pStyle w:val="TableContents"/>
              <w:bidi w:val="0"/>
              <w:spacing w:before="0" w:after="283"/>
              <w:jc w:val="right"/>
              <w:rPr>
                <w:b/>
              </w:rPr>
            </w:pPr>
            <w:r>
              <w:rPr>
                <w:b/>
              </w:rPr>
              <w:t>143</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54" w:type="dxa"/>
            <w:tcBorders/>
            <w:vAlign w:val="bottom"/>
          </w:tcPr>
          <w:p>
            <w:pPr>
              <w:pStyle w:val="TableContents"/>
              <w:bidi w:val="0"/>
              <w:spacing w:before="0" w:after="283"/>
              <w:jc w:val="right"/>
              <w:rPr>
                <w:b/>
              </w:rPr>
            </w:pPr>
            <w:r>
              <w:rPr>
                <w:b/>
              </w:rPr>
              <w:t>161</w:t>
            </w:r>
          </w:p>
        </w:tc>
        <w:tc>
          <w:tcPr>
            <w:tcW w:w="159" w:type="dxa"/>
            <w:tcBorders/>
            <w:vAlign w:val="bottom"/>
          </w:tcPr>
          <w:p>
            <w:pPr>
              <w:pStyle w:val="TableContents"/>
              <w:bidi w:val="0"/>
              <w:spacing w:before="0" w:after="283"/>
              <w:jc w:val="left"/>
              <w:rPr/>
            </w:pPr>
            <w:r>
              <w:rPr/>
              <w:t> </w:t>
            </w:r>
          </w:p>
        </w:tc>
      </w:tr>
      <w:tr>
        <w:trPr/>
        <w:tc>
          <w:tcPr>
            <w:tcW w:w="3663"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2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relating to property and equipment was $63 million, $67 million and $61 million for the years ended December 31, 2024,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Property and equipment are stated at cost. We capitalize improvements that extend asset lives and expense repairs and maintenance costs as incurred. We capitalize direct development costs associated with internal-use software, including external direct costs of material and services and payroll costs for employees devoting time to these software projects, as well as costs associated with arrangements for purchase or license of internal-use software. We expense maintenance and training costs, as well as costs incurred during the preliminary stage of a software development project, as they are incurred. </w:t>
      </w:r>
    </w:p>
    <w:p>
      <w:pPr>
        <w:pStyle w:val="TextBody"/>
        <w:bidi w:val="0"/>
        <w:spacing w:before="240" w:after="0"/>
        <w:jc w:val="left"/>
        <w:rPr>
          <w:rFonts w:ascii="Times New Roman" w:hAnsi="Times New Roman"/>
          <w:sz w:val="20"/>
        </w:rPr>
      </w:pPr>
      <w:r>
        <w:rPr>
          <w:rFonts w:ascii="Times New Roman" w:hAnsi="Times New Roman"/>
          <w:sz w:val="20"/>
        </w:rPr>
        <w:t xml:space="preserve">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 </w:t>
      </w:r>
    </w:p>
    <w:p>
      <w:pPr>
        <w:pStyle w:val="TextBody"/>
        <w:bidi w:val="0"/>
        <w:spacing w:before="240" w:after="0"/>
        <w:jc w:val="left"/>
        <w:rPr>
          <w:rFonts w:ascii="Times New Roman" w:hAnsi="Times New Roman"/>
          <w:sz w:val="20"/>
        </w:rPr>
      </w:pPr>
      <w:r>
        <w:rPr>
          <w:rFonts w:ascii="Times New Roman" w:hAnsi="Times New Roman"/>
          <w:sz w:val="20"/>
        </w:rPr>
        <w:t xml:space="preserve">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 </w:t>
      </w:r>
    </w:p>
    <w:p>
      <w:pPr>
        <w:pStyle w:val="TextBody"/>
        <w:bidi w:val="0"/>
        <w:spacing w:before="360" w:after="0"/>
        <w:jc w:val="left"/>
        <w:rPr>
          <w:rFonts w:ascii="Times New Roman" w:hAnsi="Times New Roman"/>
          <w:b/>
          <w:sz w:val="20"/>
        </w:rPr>
      </w:pPr>
      <w:r>
        <w:rPr>
          <w:rFonts w:ascii="Times New Roman" w:hAnsi="Times New Roman"/>
          <w:b/>
          <w:sz w:val="20"/>
        </w:rPr>
        <w:t xml:space="preserve">Note 7: Goodwill and Intangible Assets </w:t>
      </w:r>
    </w:p>
    <w:p>
      <w:pPr>
        <w:pStyle w:val="TextBody"/>
        <w:bidi w:val="0"/>
        <w:spacing w:before="120" w:after="0"/>
        <w:jc w:val="left"/>
        <w:rPr>
          <w:rFonts w:ascii="Times New Roman" w:hAnsi="Times New Roman"/>
          <w:b/>
          <w:i/>
          <w:sz w:val="20"/>
        </w:rPr>
      </w:pPr>
      <w:r>
        <w:rPr>
          <w:rFonts w:ascii="Times New Roman" w:hAnsi="Times New Roman"/>
          <w:b/>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As the Versant businesses were operated as a part of Comcasts Media segment, our combined balance sheets include an allocated amount of goodwill from Comcasts Media segment, determined using a relative fair value analysis as of July 1, 2024, the date of Comcasts most recent annual goodwill impairment assessment. The fair values utilized in the relative fair value analysis were estimated using a discounted cash flow analysis, using Level 3 inputs. When performing this analysis, we also considered multiples of earnings from comparable public companies and recent market transactions. Prior to this date, impairment analysis was performed at the Comcast level. Following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allocation, goodwill is required to be assessed for recoverability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Intangible Assets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59"/>
        <w:gridCol w:w="138"/>
        <w:gridCol w:w="155"/>
        <w:gridCol w:w="1803"/>
        <w:gridCol w:w="60"/>
        <w:gridCol w:w="138"/>
        <w:gridCol w:w="322"/>
        <w:gridCol w:w="1289"/>
        <w:gridCol w:w="60"/>
        <w:gridCol w:w="138"/>
        <w:gridCol w:w="247"/>
        <w:gridCol w:w="1123"/>
        <w:gridCol w:w="155"/>
        <w:gridCol w:w="77"/>
        <w:gridCol w:w="274"/>
        <w:gridCol w:w="1337"/>
        <w:gridCol w:w="60"/>
        <w:gridCol w:w="138"/>
        <w:gridCol w:w="247"/>
        <w:gridCol w:w="1123"/>
        <w:gridCol w:w="162"/>
      </w:tblGrid>
      <w:tr>
        <w:trPr/>
        <w:tc>
          <w:tcPr>
            <w:tcW w:w="1159"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5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59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2" w:type="dxa"/>
            <w:tcBorders/>
            <w:vAlign w:val="bottom"/>
          </w:tcPr>
          <w:p>
            <w:pPr>
              <w:pStyle w:val="TableContents"/>
              <w:bidi w:val="0"/>
              <w:spacing w:before="0" w:after="283"/>
              <w:jc w:val="left"/>
              <w:rPr/>
            </w:pPr>
            <w:r>
              <w:rPr/>
              <w:t> </w:t>
            </w:r>
          </w:p>
        </w:tc>
      </w:tr>
      <w:tr>
        <w:trPr/>
        <w:tc>
          <w:tcPr>
            <w:tcW w:w="115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5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31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31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2" w:type="dxa"/>
            <w:tcBorders/>
            <w:vAlign w:val="bottom"/>
          </w:tcPr>
          <w:p>
            <w:pPr>
              <w:pStyle w:val="TableContents"/>
              <w:bidi w:val="0"/>
              <w:spacing w:before="0" w:after="283"/>
              <w:jc w:val="left"/>
              <w:rPr/>
            </w:pPr>
            <w:r>
              <w:rPr/>
              <w:t> </w:t>
            </w:r>
          </w:p>
        </w:tc>
      </w:tr>
      <w:tr>
        <w:trPr/>
        <w:tc>
          <w:tcPr>
            <w:tcW w:w="115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Remaining Useful</w:t>
              <w:br/>
              <w:t>Life as of</w:t>
              <w:br/>
              <w:t>December 31, 2024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 Carrying</w:t>
              <w:br/>
              <w:t>Amount</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 Carrying</w:t>
              <w:br/>
              <w:t>Amount</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62" w:type="dxa"/>
            <w:tcBorders/>
            <w:vAlign w:val="bottom"/>
          </w:tcPr>
          <w:p>
            <w:pPr>
              <w:pStyle w:val="TableContents"/>
              <w:bidi w:val="0"/>
              <w:spacing w:before="0" w:after="283"/>
              <w:jc w:val="left"/>
              <w:rPr/>
            </w:pPr>
            <w:r>
              <w:rPr/>
              <w:t> </w:t>
            </w:r>
          </w:p>
        </w:tc>
      </w:tr>
      <w:tr>
        <w:trPr/>
        <w:tc>
          <w:tcPr>
            <w:tcW w:w="115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5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590" w:type="dxa"/>
            <w:gridSpan w:val="14"/>
            <w:tcBorders/>
            <w:vAlign w:val="bottom"/>
          </w:tcPr>
          <w:p>
            <w:pPr>
              <w:pStyle w:val="TableContents"/>
              <w:bidi w:val="0"/>
              <w:spacing w:before="0" w:after="283"/>
              <w:jc w:val="center"/>
              <w:rPr>
                <w:b/>
              </w:rPr>
            </w:pPr>
            <w:r>
              <w:rPr>
                <w:b/>
              </w:rPr>
              <w:t>(in millions)</w:t>
            </w:r>
          </w:p>
        </w:tc>
        <w:tc>
          <w:tcPr>
            <w:tcW w:w="162" w:type="dxa"/>
            <w:tcBorders/>
            <w:vAlign w:val="bottom"/>
          </w:tcPr>
          <w:p>
            <w:pPr>
              <w:pStyle w:val="TableContents"/>
              <w:bidi w:val="0"/>
              <w:spacing w:before="0" w:after="283"/>
              <w:jc w:val="left"/>
              <w:rPr/>
            </w:pPr>
            <w:r>
              <w:rPr/>
              <w:t> </w:t>
            </w:r>
          </w:p>
        </w:tc>
      </w:tr>
      <w:tr>
        <w:trPr/>
        <w:tc>
          <w:tcPr>
            <w:tcW w:w="11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Finite-Lived Intangible Assets:</w:t>
            </w:r>
          </w:p>
        </w:tc>
        <w:tc>
          <w:tcPr>
            <w:tcW w:w="13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12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1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3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12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1159"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13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803" w:type="dxa"/>
            <w:tcBorders/>
            <w:vAlign w:val="bottom"/>
          </w:tcPr>
          <w:p>
            <w:pPr>
              <w:pStyle w:val="TableContents"/>
              <w:bidi w:val="0"/>
              <w:spacing w:before="0" w:after="283"/>
              <w:jc w:val="right"/>
              <w:rPr/>
            </w:pPr>
            <w:r>
              <w:rPr/>
              <w:t>2 years</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289" w:type="dxa"/>
            <w:tcBorders/>
            <w:vAlign w:val="bottom"/>
          </w:tcPr>
          <w:p>
            <w:pPr>
              <w:pStyle w:val="TableContents"/>
              <w:bidi w:val="0"/>
              <w:spacing w:before="0" w:after="283"/>
              <w:jc w:val="right"/>
              <w:rPr/>
            </w:pPr>
            <w:r>
              <w:rPr/>
              <w:t>9,033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123" w:type="dxa"/>
            <w:tcBorders/>
            <w:vAlign w:val="bottom"/>
          </w:tcPr>
          <w:p>
            <w:pPr>
              <w:pStyle w:val="TableContents"/>
              <w:bidi w:val="0"/>
              <w:spacing w:before="0" w:after="283"/>
              <w:jc w:val="right"/>
              <w:rPr/>
            </w:pPr>
            <w:r>
              <w:rPr/>
              <w:t>(7,477</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37" w:type="dxa"/>
            <w:tcBorders/>
            <w:vAlign w:val="bottom"/>
          </w:tcPr>
          <w:p>
            <w:pPr>
              <w:pStyle w:val="TableContents"/>
              <w:bidi w:val="0"/>
              <w:spacing w:before="0" w:after="283"/>
              <w:jc w:val="right"/>
              <w:rPr/>
            </w:pPr>
            <w:r>
              <w:rPr/>
              <w:t>9,034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123" w:type="dxa"/>
            <w:tcBorders/>
            <w:vAlign w:val="bottom"/>
          </w:tcPr>
          <w:p>
            <w:pPr>
              <w:pStyle w:val="TableContents"/>
              <w:bidi w:val="0"/>
              <w:spacing w:before="0" w:after="283"/>
              <w:jc w:val="right"/>
              <w:rPr/>
            </w:pPr>
            <w:r>
              <w:rPr/>
              <w:t>(6,714</w:t>
            </w:r>
          </w:p>
        </w:tc>
        <w:tc>
          <w:tcPr>
            <w:tcW w:w="162" w:type="dxa"/>
            <w:tcBorders/>
            <w:vAlign w:val="bottom"/>
          </w:tcPr>
          <w:p>
            <w:pPr>
              <w:pStyle w:val="TableContents"/>
              <w:bidi w:val="0"/>
              <w:spacing w:before="0" w:after="283"/>
              <w:jc w:val="left"/>
              <w:rPr/>
            </w:pPr>
            <w:r>
              <w:rPr/>
              <w:t>) </w:t>
            </w:r>
          </w:p>
        </w:tc>
      </w:tr>
      <w:tr>
        <w:trPr/>
        <w:tc>
          <w:tcPr>
            <w:tcW w:w="11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Tradenames and other</w:t>
            </w:r>
          </w:p>
        </w:tc>
        <w:tc>
          <w:tcPr>
            <w:tcW w:w="13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803" w:type="dxa"/>
            <w:tcBorders/>
            <w:shd w:fill="CCEEFF" w:val="clear"/>
            <w:vAlign w:val="bottom"/>
          </w:tcPr>
          <w:p>
            <w:pPr>
              <w:pStyle w:val="TableContents"/>
              <w:bidi w:val="0"/>
              <w:spacing w:before="0" w:after="283"/>
              <w:jc w:val="right"/>
              <w:rPr/>
            </w:pPr>
            <w:r>
              <w:rPr/>
              <w:t>2 years</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954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(642</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(524</w:t>
            </w:r>
          </w:p>
        </w:tc>
        <w:tc>
          <w:tcPr>
            <w:tcW w:w="162" w:type="dxa"/>
            <w:tcBorders/>
            <w:shd w:fill="CCEEFF" w:val="clear"/>
            <w:vAlign w:val="bottom"/>
          </w:tcPr>
          <w:p>
            <w:pPr>
              <w:pStyle w:val="TableContents"/>
              <w:bidi w:val="0"/>
              <w:spacing w:before="0" w:after="283"/>
              <w:jc w:val="left"/>
              <w:rPr/>
            </w:pPr>
            <w:r>
              <w:rPr/>
              <w:t>) </w:t>
            </w:r>
          </w:p>
        </w:tc>
      </w:tr>
      <w:tr>
        <w:trPr/>
        <w:tc>
          <w:tcPr>
            <w:tcW w:w="115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8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1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3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8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b/>
              </w:rPr>
            </w:pPr>
            <w:r>
              <w:rPr>
                <w:b/>
              </w:rPr>
              <w:t>$</w:t>
            </w:r>
          </w:p>
        </w:tc>
        <w:tc>
          <w:tcPr>
            <w:tcW w:w="1289" w:type="dxa"/>
            <w:tcBorders/>
            <w:vAlign w:val="bottom"/>
          </w:tcPr>
          <w:p>
            <w:pPr>
              <w:pStyle w:val="TableContents"/>
              <w:bidi w:val="0"/>
              <w:spacing w:before="0" w:after="283"/>
              <w:jc w:val="right"/>
              <w:rPr>
                <w:b/>
              </w:rPr>
            </w:pPr>
            <w:r>
              <w:rPr>
                <w:b/>
              </w:rPr>
              <w:t>9,987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(8,118</w:t>
            </w:r>
          </w:p>
        </w:tc>
        <w:tc>
          <w:tcPr>
            <w:tcW w:w="155" w:type="dxa"/>
            <w:tcBorders/>
            <w:vAlign w:val="bottom"/>
          </w:tcPr>
          <w:p>
            <w:pPr>
              <w:pStyle w:val="TableContents"/>
              <w:bidi w:val="0"/>
              <w:spacing w:before="0" w:after="283"/>
              <w:jc w:val="left"/>
              <w:rPr>
                <w:b/>
              </w:rPr>
            </w:pPr>
            <w:r>
              <w:rPr>
                <w:b/>
              </w:rPr>
              <w:t>) </w:t>
            </w:r>
          </w:p>
        </w:tc>
        <w:tc>
          <w:tcPr>
            <w:tcW w:w="77"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b/>
              </w:rPr>
            </w:pPr>
            <w:r>
              <w:rPr>
                <w:b/>
              </w:rPr>
              <w:t>$</w:t>
            </w:r>
          </w:p>
        </w:tc>
        <w:tc>
          <w:tcPr>
            <w:tcW w:w="1337" w:type="dxa"/>
            <w:tcBorders/>
            <w:vAlign w:val="bottom"/>
          </w:tcPr>
          <w:p>
            <w:pPr>
              <w:pStyle w:val="TableContents"/>
              <w:bidi w:val="0"/>
              <w:spacing w:before="0" w:after="283"/>
              <w:jc w:val="right"/>
              <w:rPr>
                <w:b/>
              </w:rPr>
            </w:pPr>
            <w:r>
              <w:rPr>
                <w:b/>
              </w:rPr>
              <w:t>10,034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(7,239</w:t>
            </w:r>
          </w:p>
        </w:tc>
        <w:tc>
          <w:tcPr>
            <w:tcW w:w="162" w:type="dxa"/>
            <w:tcBorders/>
            <w:vAlign w:val="bottom"/>
          </w:tcPr>
          <w:p>
            <w:pPr>
              <w:pStyle w:val="TableContents"/>
              <w:bidi w:val="0"/>
              <w:spacing w:before="0" w:after="283"/>
              <w:jc w:val="left"/>
              <w:rPr>
                <w:b/>
              </w:rPr>
            </w:pPr>
            <w:r>
              <w:rPr>
                <w:b/>
              </w:rPr>
              <w:t>) </w:t>
            </w:r>
          </w:p>
        </w:tc>
      </w:tr>
      <w:tr>
        <w:trPr/>
        <w:tc>
          <w:tcPr>
            <w:tcW w:w="1159"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8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3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Amortization expense for intangible assets subject to amortization was $926 million, $924 million and $931 million for the years ended December 31, 2024,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Finite-lived intangible assets are subject to amortization and consist primarily of customer relationships and trade names acquired in business combinations. Our finite-lived intangible assets are amortized primarily on a straight-line basis over their estimated useful life or the term of the associated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the estimated amortization expense of our intangible assets.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56"/>
        <w:gridCol w:w="868"/>
        <w:gridCol w:w="320"/>
        <w:gridCol w:w="832"/>
        <w:gridCol w:w="63"/>
      </w:tblGrid>
      <w:tr>
        <w:trPr/>
        <w:tc>
          <w:tcPr>
            <w:tcW w:w="4856" w:type="dxa"/>
            <w:tcBorders/>
            <w:vAlign w:val="center"/>
          </w:tcPr>
          <w:p>
            <w:pPr>
              <w:pStyle w:val="TableContents"/>
              <w:bidi w:val="0"/>
              <w:spacing w:before="0" w:after="283"/>
              <w:jc w:val="left"/>
              <w:rPr>
                <w:sz w:val="4"/>
                <w:szCs w:val="4"/>
              </w:rPr>
            </w:pPr>
            <w:r>
              <w:rPr>
                <w:sz w:val="4"/>
                <w:szCs w:val="4"/>
              </w:rPr>
            </w:r>
          </w:p>
        </w:tc>
        <w:tc>
          <w:tcPr>
            <w:tcW w:w="868"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c>
          <w:tcPr>
            <w:tcW w:w="63"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868"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922</w:t>
            </w:r>
          </w:p>
        </w:tc>
        <w:tc>
          <w:tcPr>
            <w:tcW w:w="63"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868"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916</w:t>
            </w:r>
          </w:p>
        </w:tc>
        <w:tc>
          <w:tcPr>
            <w:tcW w:w="63"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868"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12</w:t>
            </w:r>
          </w:p>
        </w:tc>
        <w:tc>
          <w:tcPr>
            <w:tcW w:w="63"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868"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868"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5</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8: Income Taxes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periods presented in these combined financial statements, our operations were included in the combined U.S. federal, state and foreign income tax returns filed by Comcast. Income tax expense and other income tax related information contained in the combined financial statements are calculated as if we were a separate corporation that filed separate income tax returns. We believe the assumptions underlying the calculation of income taxes on a separate return basis are reasonable. However, income tax expense and liabilities as presented in these combined financial statements do not necessarily reflect the results that we would have reported as an independent, stand-alone company for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(Loss) Before Income Taxes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57"/>
        <w:gridCol w:w="338"/>
        <w:gridCol w:w="140"/>
        <w:gridCol w:w="564"/>
        <w:gridCol w:w="60"/>
        <w:gridCol w:w="338"/>
        <w:gridCol w:w="140"/>
        <w:gridCol w:w="564"/>
        <w:gridCol w:w="60"/>
        <w:gridCol w:w="338"/>
        <w:gridCol w:w="140"/>
        <w:gridCol w:w="564"/>
        <w:gridCol w:w="69"/>
      </w:tblGrid>
      <w:tr>
        <w:trPr/>
        <w:tc>
          <w:tcPr>
            <w:tcW w:w="5257"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5257"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90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9" w:type="dxa"/>
            <w:tcBorders/>
            <w:vAlign w:val="bottom"/>
          </w:tcPr>
          <w:p>
            <w:pPr>
              <w:pStyle w:val="TableContents"/>
              <w:bidi w:val="0"/>
              <w:spacing w:before="0" w:after="283"/>
              <w:jc w:val="left"/>
              <w:rPr/>
            </w:pPr>
            <w:r>
              <w:rPr/>
              <w:t> </w:t>
            </w:r>
          </w:p>
        </w:tc>
      </w:tr>
      <w:tr>
        <w:trPr/>
        <w:tc>
          <w:tcPr>
            <w:tcW w:w="5257"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9" w:type="dxa"/>
            <w:tcBorders/>
            <w:vAlign w:val="bottom"/>
          </w:tcPr>
          <w:p>
            <w:pPr>
              <w:pStyle w:val="TableContents"/>
              <w:bidi w:val="0"/>
              <w:spacing w:before="0" w:after="283"/>
              <w:jc w:val="left"/>
              <w:rPr/>
            </w:pPr>
            <w:r>
              <w:rPr/>
              <w:t> </w:t>
            </w:r>
          </w:p>
        </w:tc>
      </w:tr>
      <w:tr>
        <w:trPr/>
        <w:tc>
          <w:tcPr>
            <w:tcW w:w="5257"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908" w:type="dxa"/>
            <w:gridSpan w:val="10"/>
            <w:tcBorders/>
            <w:vAlign w:val="bottom"/>
          </w:tcPr>
          <w:p>
            <w:pPr>
              <w:pStyle w:val="TableContents"/>
              <w:bidi w:val="0"/>
              <w:spacing w:before="0" w:after="283"/>
              <w:jc w:val="center"/>
              <w:rPr>
                <w:b/>
              </w:rPr>
            </w:pPr>
            <w:r>
              <w:rPr>
                <w:b/>
              </w:rPr>
              <w:t>(in millions)</w:t>
            </w:r>
          </w:p>
        </w:tc>
        <w:tc>
          <w:tcPr>
            <w:tcW w:w="69" w:type="dxa"/>
            <w:tcBorders/>
            <w:vAlign w:val="bottom"/>
          </w:tcPr>
          <w:p>
            <w:pPr>
              <w:pStyle w:val="TableContents"/>
              <w:bidi w:val="0"/>
              <w:spacing w:before="0" w:after="283"/>
              <w:jc w:val="left"/>
              <w:rPr/>
            </w:pPr>
            <w:r>
              <w:rPr/>
              <w:t> </w:t>
            </w:r>
          </w:p>
        </w:tc>
      </w:tr>
      <w:tr>
        <w:trPr/>
        <w:tc>
          <w:tcPr>
            <w:tcW w:w="5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1,823</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2,041</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2,303</w:t>
            </w:r>
          </w:p>
        </w:tc>
        <w:tc>
          <w:tcPr>
            <w:tcW w:w="69" w:type="dxa"/>
            <w:tcBorders/>
            <w:shd w:fill="CCEEFF" w:val="clear"/>
            <w:vAlign w:val="bottom"/>
          </w:tcPr>
          <w:p>
            <w:pPr>
              <w:pStyle w:val="TableContents"/>
              <w:bidi w:val="0"/>
              <w:spacing w:before="0" w:after="283"/>
              <w:jc w:val="left"/>
              <w:rPr/>
            </w:pPr>
            <w:r>
              <w:rPr/>
              <w:t> </w:t>
            </w:r>
          </w:p>
        </w:tc>
      </w:tr>
      <w:tr>
        <w:trPr/>
        <w:tc>
          <w:tcPr>
            <w:tcW w:w="5257"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w:t>
            </w:r>
          </w:p>
        </w:tc>
        <w:tc>
          <w:tcPr>
            <w:tcW w:w="69" w:type="dxa"/>
            <w:tcBorders/>
            <w:vAlign w:val="bottom"/>
          </w:tcPr>
          <w:p>
            <w:pPr>
              <w:pStyle w:val="TableContents"/>
              <w:bidi w:val="0"/>
              <w:spacing w:before="0" w:after="283"/>
              <w:jc w:val="left"/>
              <w:rPr/>
            </w:pPr>
            <w:r>
              <w:rPr/>
              <w:t> </w:t>
            </w:r>
          </w:p>
        </w:tc>
      </w:tr>
      <w:tr>
        <w:trPr/>
        <w:tc>
          <w:tcPr>
            <w:tcW w:w="5257"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5257"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center"/>
              <w:rPr/>
            </w:pPr>
            <w:r>
              <w:rPr/>
              <w:t>$1,843</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center"/>
              <w:rPr/>
            </w:pPr>
            <w:r>
              <w:rPr/>
              <w:t>$2,069</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center"/>
              <w:rPr/>
            </w:pPr>
            <w:r>
              <w:rPr/>
              <w:t>$2,349</w:t>
            </w:r>
          </w:p>
        </w:tc>
        <w:tc>
          <w:tcPr>
            <w:tcW w:w="69" w:type="dxa"/>
            <w:tcBorders/>
            <w:vAlign w:val="bottom"/>
          </w:tcPr>
          <w:p>
            <w:pPr>
              <w:pStyle w:val="TableContents"/>
              <w:bidi w:val="0"/>
              <w:spacing w:before="0" w:after="283"/>
              <w:jc w:val="left"/>
              <w:rPr/>
            </w:pPr>
            <w:r>
              <w:rPr/>
              <w:t> </w:t>
            </w:r>
          </w:p>
        </w:tc>
      </w:tr>
      <w:tr>
        <w:trPr/>
        <w:tc>
          <w:tcPr>
            <w:tcW w:w="5257"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Components of Income Tax Expense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00"/>
        <w:gridCol w:w="401"/>
        <w:gridCol w:w="140"/>
        <w:gridCol w:w="460"/>
        <w:gridCol w:w="155"/>
        <w:gridCol w:w="401"/>
        <w:gridCol w:w="140"/>
        <w:gridCol w:w="460"/>
        <w:gridCol w:w="155"/>
        <w:gridCol w:w="401"/>
        <w:gridCol w:w="140"/>
        <w:gridCol w:w="460"/>
        <w:gridCol w:w="159"/>
      </w:tblGrid>
      <w:tr>
        <w:trPr/>
        <w:tc>
          <w:tcPr>
            <w:tcW w:w="5100"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0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291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510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510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2912" w:type="dxa"/>
            <w:gridSpan w:val="10"/>
            <w:tcBorders/>
            <w:vAlign w:val="bottom"/>
          </w:tcPr>
          <w:p>
            <w:pPr>
              <w:pStyle w:val="TableContents"/>
              <w:bidi w:val="0"/>
              <w:spacing w:before="0" w:after="283"/>
              <w:jc w:val="center"/>
              <w:rPr>
                <w:b/>
              </w:rPr>
            </w:pPr>
            <w:r>
              <w:rPr>
                <w:b/>
              </w:rPr>
              <w:t>(in millions)</w:t>
            </w:r>
          </w:p>
        </w:tc>
        <w:tc>
          <w:tcPr>
            <w:tcW w:w="159" w:type="dxa"/>
            <w:tcBorders/>
            <w:vAlign w:val="bottom"/>
          </w:tcPr>
          <w:p>
            <w:pPr>
              <w:pStyle w:val="TableContents"/>
              <w:bidi w:val="0"/>
              <w:spacing w:before="0" w:after="283"/>
              <w:jc w:val="left"/>
              <w:rPr/>
            </w:pPr>
            <w:r>
              <w:rPr/>
              <w:t> </w:t>
            </w:r>
          </w:p>
        </w:tc>
      </w:tr>
      <w:tr>
        <w:trPr/>
        <w:tc>
          <w:tcPr>
            <w:tcW w:w="5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Expense (Benefit):</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00"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0" w:type="dxa"/>
            <w:tcBorders/>
            <w:vAlign w:val="bottom"/>
          </w:tcPr>
          <w:p>
            <w:pPr>
              <w:pStyle w:val="TableContents"/>
              <w:bidi w:val="0"/>
              <w:spacing w:before="0" w:after="283"/>
              <w:jc w:val="right"/>
              <w:rPr/>
            </w:pPr>
            <w:r>
              <w:rPr/>
              <w:t>472</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0" w:type="dxa"/>
            <w:tcBorders/>
            <w:vAlign w:val="bottom"/>
          </w:tcPr>
          <w:p>
            <w:pPr>
              <w:pStyle w:val="TableContents"/>
              <w:bidi w:val="0"/>
              <w:spacing w:before="0" w:after="283"/>
              <w:jc w:val="right"/>
              <w:rPr/>
            </w:pPr>
            <w:r>
              <w:rPr/>
              <w:t>508</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0" w:type="dxa"/>
            <w:tcBorders/>
            <w:vAlign w:val="bottom"/>
          </w:tcPr>
          <w:p>
            <w:pPr>
              <w:pStyle w:val="TableContents"/>
              <w:bidi w:val="0"/>
              <w:spacing w:before="0" w:after="283"/>
              <w:jc w:val="right"/>
              <w:rPr/>
            </w:pPr>
            <w:r>
              <w:rPr/>
              <w:t>561</w:t>
            </w:r>
          </w:p>
        </w:tc>
        <w:tc>
          <w:tcPr>
            <w:tcW w:w="159" w:type="dxa"/>
            <w:tcBorders/>
            <w:vAlign w:val="bottom"/>
          </w:tcPr>
          <w:p>
            <w:pPr>
              <w:pStyle w:val="TableContents"/>
              <w:bidi w:val="0"/>
              <w:spacing w:before="0" w:after="283"/>
              <w:jc w:val="left"/>
              <w:rPr/>
            </w:pPr>
            <w:r>
              <w:rPr/>
              <w:t> </w:t>
            </w:r>
          </w:p>
        </w:tc>
      </w:tr>
      <w:tr>
        <w:trPr/>
        <w:tc>
          <w:tcPr>
            <w:tcW w:w="5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143</w:t>
            </w:r>
          </w:p>
        </w:tc>
        <w:tc>
          <w:tcPr>
            <w:tcW w:w="155"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150</w:t>
            </w:r>
          </w:p>
        </w:tc>
        <w:tc>
          <w:tcPr>
            <w:tcW w:w="155"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174</w:t>
            </w:r>
          </w:p>
        </w:tc>
        <w:tc>
          <w:tcPr>
            <w:tcW w:w="159" w:type="dxa"/>
            <w:tcBorders/>
            <w:shd w:fill="CCEEFF" w:val="clear"/>
            <w:vAlign w:val="bottom"/>
          </w:tcPr>
          <w:p>
            <w:pPr>
              <w:pStyle w:val="TableContents"/>
              <w:bidi w:val="0"/>
              <w:spacing w:before="0" w:after="283"/>
              <w:jc w:val="left"/>
              <w:rPr/>
            </w:pPr>
            <w:r>
              <w:rPr/>
              <w:t> </w:t>
            </w:r>
          </w:p>
        </w:tc>
      </w:tr>
      <w:tr>
        <w:trPr/>
        <w:tc>
          <w:tcPr>
            <w:tcW w:w="5100"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7</w:t>
            </w:r>
          </w:p>
        </w:tc>
        <w:tc>
          <w:tcPr>
            <w:tcW w:w="159" w:type="dxa"/>
            <w:tcBorders/>
            <w:vAlign w:val="bottom"/>
          </w:tcPr>
          <w:p>
            <w:pPr>
              <w:pStyle w:val="TableContents"/>
              <w:bidi w:val="0"/>
              <w:spacing w:before="0" w:after="283"/>
              <w:jc w:val="left"/>
              <w:rPr/>
            </w:pPr>
            <w:r>
              <w:rPr/>
              <w:t> </w:t>
            </w:r>
          </w:p>
        </w:tc>
      </w:tr>
      <w:tr>
        <w:trPr/>
        <w:tc>
          <w:tcPr>
            <w:tcW w:w="5100"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600" w:type="dxa"/>
            <w:gridSpan w:val="2"/>
            <w:tcBorders/>
            <w:vAlign w:val="bottom"/>
          </w:tcPr>
          <w:p>
            <w:pPr>
              <w:pStyle w:val="TableContents"/>
              <w:bidi w:val="0"/>
              <w:spacing w:before="0" w:after="283"/>
              <w:jc w:val="right"/>
              <w:rPr/>
            </w:pPr>
            <w:r>
              <w:rPr/>
              <w:t>623</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600" w:type="dxa"/>
            <w:gridSpan w:val="2"/>
            <w:tcBorders/>
            <w:vAlign w:val="bottom"/>
          </w:tcPr>
          <w:p>
            <w:pPr>
              <w:pStyle w:val="TableContents"/>
              <w:bidi w:val="0"/>
              <w:spacing w:before="0" w:after="283"/>
              <w:jc w:val="right"/>
              <w:rPr/>
            </w:pPr>
            <w:r>
              <w:rPr/>
              <w:t>665</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600" w:type="dxa"/>
            <w:gridSpan w:val="2"/>
            <w:tcBorders/>
            <w:vAlign w:val="bottom"/>
          </w:tcPr>
          <w:p>
            <w:pPr>
              <w:pStyle w:val="TableContents"/>
              <w:bidi w:val="0"/>
              <w:spacing w:before="0" w:after="283"/>
              <w:jc w:val="right"/>
              <w:rPr/>
            </w:pPr>
            <w:r>
              <w:rPr/>
              <w:t>742</w:t>
            </w:r>
          </w:p>
        </w:tc>
        <w:tc>
          <w:tcPr>
            <w:tcW w:w="159" w:type="dxa"/>
            <w:tcBorders/>
            <w:vAlign w:val="bottom"/>
          </w:tcPr>
          <w:p>
            <w:pPr>
              <w:pStyle w:val="TableContents"/>
              <w:bidi w:val="0"/>
              <w:spacing w:before="0" w:after="283"/>
              <w:jc w:val="left"/>
              <w:rPr/>
            </w:pPr>
            <w:r>
              <w:rPr/>
              <w:t> </w:t>
            </w:r>
          </w:p>
        </w:tc>
      </w:tr>
      <w:tr>
        <w:trPr/>
        <w:tc>
          <w:tcPr>
            <w:tcW w:w="5100"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Expense (Benefit):</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00"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(111</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(113</w:t>
            </w:r>
          </w:p>
        </w:tc>
        <w:tc>
          <w:tcPr>
            <w:tcW w:w="159" w:type="dxa"/>
            <w:tcBorders/>
            <w:vAlign w:val="bottom"/>
          </w:tcPr>
          <w:p>
            <w:pPr>
              <w:pStyle w:val="TableContents"/>
              <w:bidi w:val="0"/>
              <w:spacing w:before="0" w:after="283"/>
              <w:jc w:val="left"/>
              <w:rPr/>
            </w:pPr>
            <w:r>
              <w:rPr/>
              <w:t>) </w:t>
            </w:r>
          </w:p>
        </w:tc>
      </w:tr>
      <w:tr>
        <w:trPr/>
        <w:tc>
          <w:tcPr>
            <w:tcW w:w="5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(35</w:t>
            </w:r>
          </w:p>
        </w:tc>
        <w:tc>
          <w:tcPr>
            <w:tcW w:w="159" w:type="dxa"/>
            <w:tcBorders/>
            <w:shd w:fill="CCEEFF" w:val="clear"/>
            <w:vAlign w:val="bottom"/>
          </w:tcPr>
          <w:p>
            <w:pPr>
              <w:pStyle w:val="TableContents"/>
              <w:bidi w:val="0"/>
              <w:spacing w:before="0" w:after="283"/>
              <w:jc w:val="left"/>
              <w:rPr/>
            </w:pPr>
            <w:r>
              <w:rPr/>
              <w:t>) </w:t>
            </w:r>
          </w:p>
        </w:tc>
      </w:tr>
      <w:tr>
        <w:trPr/>
        <w:tc>
          <w:tcPr>
            <w:tcW w:w="5100"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(3</w:t>
            </w:r>
          </w:p>
        </w:tc>
        <w:tc>
          <w:tcPr>
            <w:tcW w:w="159" w:type="dxa"/>
            <w:tcBorders/>
            <w:vAlign w:val="bottom"/>
          </w:tcPr>
          <w:p>
            <w:pPr>
              <w:pStyle w:val="TableContents"/>
              <w:bidi w:val="0"/>
              <w:spacing w:before="0" w:after="283"/>
              <w:jc w:val="left"/>
              <w:rPr/>
            </w:pPr>
            <w:r>
              <w:rPr/>
              <w:t>) </w:t>
            </w:r>
          </w:p>
        </w:tc>
      </w:tr>
      <w:tr>
        <w:trPr/>
        <w:tc>
          <w:tcPr>
            <w:tcW w:w="5100"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0" w:type="dxa"/>
            <w:tcBorders/>
            <w:shd w:fill="CCEEFF" w:val="clear"/>
          </w:tcPr>
          <w:p>
            <w:pPr>
              <w:pStyle w:val="TableContents"/>
              <w:bidi w:val="0"/>
              <w:spacing w:before="0" w:after="283"/>
              <w:jc w:val="left"/>
              <w:rPr>
                <w:sz w:val="4"/>
                <w:szCs w:val="4"/>
              </w:rPr>
            </w:pPr>
            <w:r>
              <w:rPr>
                <w:sz w:val="4"/>
                <w:szCs w:val="4"/>
              </w:rPr>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(135</w:t>
            </w:r>
          </w:p>
        </w:tc>
        <w:tc>
          <w:tcPr>
            <w:tcW w:w="155"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(151</w:t>
            </w:r>
          </w:p>
        </w:tc>
        <w:tc>
          <w:tcPr>
            <w:tcW w:w="159" w:type="dxa"/>
            <w:tcBorders/>
            <w:shd w:fill="CCEEFF" w:val="clear"/>
            <w:vAlign w:val="bottom"/>
          </w:tcPr>
          <w:p>
            <w:pPr>
              <w:pStyle w:val="TableContents"/>
              <w:bidi w:val="0"/>
              <w:spacing w:before="0" w:after="283"/>
              <w:jc w:val="left"/>
              <w:rPr/>
            </w:pPr>
            <w:r>
              <w:rPr/>
              <w:t>) </w:t>
            </w:r>
          </w:p>
        </w:tc>
      </w:tr>
      <w:tr>
        <w:trPr/>
        <w:tc>
          <w:tcPr>
            <w:tcW w:w="5100"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0" w:type="dxa"/>
            <w:tcBorders/>
            <w:vAlign w:val="bottom"/>
          </w:tcPr>
          <w:p>
            <w:pPr>
              <w:pStyle w:val="TableContents"/>
              <w:bidi w:val="0"/>
              <w:spacing w:before="0" w:after="283"/>
              <w:jc w:val="right"/>
              <w:rPr/>
            </w:pPr>
            <w:r>
              <w:rPr/>
              <w:t>478</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0" w:type="dxa"/>
            <w:tcBorders/>
            <w:vAlign w:val="bottom"/>
          </w:tcPr>
          <w:p>
            <w:pPr>
              <w:pStyle w:val="TableContents"/>
              <w:bidi w:val="0"/>
              <w:spacing w:before="0" w:after="283"/>
              <w:jc w:val="right"/>
              <w:rPr/>
            </w:pPr>
            <w:r>
              <w:rPr/>
              <w:t>530</w:t>
            </w:r>
          </w:p>
        </w:tc>
        <w:tc>
          <w:tcPr>
            <w:tcW w:w="155"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0" w:type="dxa"/>
            <w:tcBorders/>
            <w:vAlign w:val="bottom"/>
          </w:tcPr>
          <w:p>
            <w:pPr>
              <w:pStyle w:val="TableContents"/>
              <w:bidi w:val="0"/>
              <w:spacing w:before="0" w:after="283"/>
              <w:jc w:val="right"/>
              <w:rPr/>
            </w:pPr>
            <w:r>
              <w:rPr/>
              <w:t>591</w:t>
            </w:r>
          </w:p>
        </w:tc>
        <w:tc>
          <w:tcPr>
            <w:tcW w:w="159" w:type="dxa"/>
            <w:tcBorders/>
            <w:vAlign w:val="bottom"/>
          </w:tcPr>
          <w:p>
            <w:pPr>
              <w:pStyle w:val="TableContents"/>
              <w:bidi w:val="0"/>
              <w:spacing w:before="0" w:after="283"/>
              <w:jc w:val="left"/>
              <w:rPr/>
            </w:pPr>
            <w:r>
              <w:rPr/>
              <w:t> </w:t>
            </w:r>
          </w:p>
        </w:tc>
      </w:tr>
      <w:tr>
        <w:trPr/>
        <w:tc>
          <w:tcPr>
            <w:tcW w:w="5100"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Our income tax expense (benefit) differs from the federal statutory amount because of the effect of the items detailed in the table below.</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599"/>
        <w:gridCol w:w="345"/>
        <w:gridCol w:w="140"/>
        <w:gridCol w:w="381"/>
        <w:gridCol w:w="60"/>
        <w:gridCol w:w="345"/>
        <w:gridCol w:w="140"/>
        <w:gridCol w:w="381"/>
        <w:gridCol w:w="155"/>
        <w:gridCol w:w="345"/>
        <w:gridCol w:w="140"/>
        <w:gridCol w:w="381"/>
        <w:gridCol w:w="160"/>
      </w:tblGrid>
      <w:tr>
        <w:trPr/>
        <w:tc>
          <w:tcPr>
            <w:tcW w:w="5599"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99"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46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468" w:type="dxa"/>
            <w:gridSpan w:val="10"/>
            <w:tcBorders/>
            <w:vAlign w:val="bottom"/>
          </w:tcPr>
          <w:p>
            <w:pPr>
              <w:pStyle w:val="TableContents"/>
              <w:bidi w:val="0"/>
              <w:spacing w:before="0" w:after="283"/>
              <w:jc w:val="center"/>
              <w:rPr>
                <w:b/>
              </w:rPr>
            </w:pPr>
            <w:r>
              <w:rPr>
                <w:b/>
              </w:rPr>
              <w:t>(in millions)</w:t>
            </w:r>
          </w:p>
        </w:tc>
        <w:tc>
          <w:tcPr>
            <w:tcW w:w="160"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Federal tax at statutory rate</w:t>
            </w:r>
          </w:p>
        </w:tc>
        <w:tc>
          <w:tcPr>
            <w:tcW w:w="3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381" w:type="dxa"/>
            <w:tcBorders/>
            <w:shd w:fill="CCEEFF" w:val="clear"/>
            <w:vAlign w:val="bottom"/>
          </w:tcPr>
          <w:p>
            <w:pPr>
              <w:pStyle w:val="TableContents"/>
              <w:bidi w:val="0"/>
              <w:spacing w:before="0" w:after="283"/>
              <w:jc w:val="right"/>
              <w:rPr>
                <w:b/>
              </w:rPr>
            </w:pPr>
            <w:r>
              <w:rPr>
                <w:b/>
              </w:rPr>
              <w:t>387</w:t>
            </w:r>
          </w:p>
        </w:tc>
        <w:tc>
          <w:tcPr>
            <w:tcW w:w="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381" w:type="dxa"/>
            <w:tcBorders/>
            <w:shd w:fill="CCEEFF" w:val="clear"/>
            <w:vAlign w:val="bottom"/>
          </w:tcPr>
          <w:p>
            <w:pPr>
              <w:pStyle w:val="TableContents"/>
              <w:bidi w:val="0"/>
              <w:spacing w:before="0" w:after="283"/>
              <w:jc w:val="right"/>
              <w:rPr>
                <w:b/>
              </w:rPr>
            </w:pPr>
            <w:r>
              <w:rPr>
                <w:b/>
              </w:rPr>
              <w:t>435</w:t>
            </w:r>
          </w:p>
        </w:tc>
        <w:tc>
          <w:tcPr>
            <w:tcW w:w="15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381" w:type="dxa"/>
            <w:tcBorders/>
            <w:shd w:fill="CCEEFF" w:val="clear"/>
            <w:vAlign w:val="bottom"/>
          </w:tcPr>
          <w:p>
            <w:pPr>
              <w:pStyle w:val="TableContents"/>
              <w:bidi w:val="0"/>
              <w:spacing w:before="0" w:after="283"/>
              <w:jc w:val="right"/>
              <w:rPr>
                <w:b/>
              </w:rPr>
            </w:pPr>
            <w:r>
              <w:rPr>
                <w:b/>
              </w:rPr>
              <w:t>494</w:t>
            </w:r>
          </w:p>
        </w:tc>
        <w:tc>
          <w:tcPr>
            <w:tcW w:w="160" w:type="dxa"/>
            <w:tcBorders/>
            <w:shd w:fill="CCEEFF" w:val="clear"/>
            <w:vAlign w:val="bottom"/>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benefit</w:t>
            </w:r>
          </w:p>
        </w:tc>
        <w:tc>
          <w:tcPr>
            <w:tcW w:w="3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97</w:t>
            </w:r>
          </w:p>
        </w:tc>
        <w:tc>
          <w:tcPr>
            <w:tcW w:w="15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107</w:t>
            </w:r>
          </w:p>
        </w:tc>
        <w:tc>
          <w:tcPr>
            <w:tcW w:w="160" w:type="dxa"/>
            <w:tcBorders/>
            <w:vAlign w:val="bottom"/>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(10</w:t>
            </w:r>
          </w:p>
        </w:tc>
        <w:tc>
          <w:tcPr>
            <w:tcW w:w="160"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3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478</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530</w:t>
            </w:r>
          </w:p>
        </w:tc>
        <w:tc>
          <w:tcPr>
            <w:tcW w:w="15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591</w:t>
            </w:r>
          </w:p>
        </w:tc>
        <w:tc>
          <w:tcPr>
            <w:tcW w:w="160"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statements of income. Current income tax expense has been offset by a corresponding change in net Parent investment on the combined balance sheet. We recognize deferred tax assets and liabilities when there are temporary differences between the financial reporting basis and tax basis of our assets and liabilities and for the expected benefits of using net operating loss carryforwards. The determination of the realization of the net operating loss carryforwards is dependent on our subsidiaries taxable income or loss, redetermination from taxing authorities, and laws that can change from year to year and impact the amount of such carryforwards. We recognize a valuation allowance if we determine it is more likely than not that some portion, or all, of a deferred tax asset will not be realized. When a change in the tax rate or tax law has an impact on deferred taxes, we apply the change based on the years in which the temporary differences are expected to reverse. We record the change in our combined financial statements in the period of enactment.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Components of Net Deferred Tax Liability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472"/>
        <w:gridCol w:w="349"/>
        <w:gridCol w:w="144"/>
        <w:gridCol w:w="396"/>
        <w:gridCol w:w="159"/>
        <w:gridCol w:w="351"/>
        <w:gridCol w:w="144"/>
        <w:gridCol w:w="398"/>
        <w:gridCol w:w="159"/>
      </w:tblGrid>
      <w:tr>
        <w:trPr/>
        <w:tc>
          <w:tcPr>
            <w:tcW w:w="6472"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2"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5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6472"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5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472"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283"/>
              <w:jc w:val="center"/>
              <w:rPr>
                <w:b/>
              </w:rPr>
            </w:pPr>
            <w:r>
              <w:rPr>
                <w:b/>
              </w:rPr>
              <w:t>(in millions)</w:t>
            </w:r>
          </w:p>
        </w:tc>
        <w:tc>
          <w:tcPr>
            <w:tcW w:w="159" w:type="dxa"/>
            <w:tcBorders/>
            <w:vAlign w:val="bottom"/>
          </w:tcPr>
          <w:p>
            <w:pPr>
              <w:pStyle w:val="TableContents"/>
              <w:bidi w:val="0"/>
              <w:spacing w:before="0" w:after="283"/>
              <w:jc w:val="left"/>
              <w:rPr/>
            </w:pPr>
            <w:r>
              <w:rPr/>
              <w:t> </w:t>
            </w:r>
          </w:p>
        </w:tc>
      </w:tr>
      <w:tr>
        <w:trPr/>
        <w:tc>
          <w:tcPr>
            <w:tcW w:w="6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3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39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72"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and other loss carryforwards</w:t>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396" w:type="dxa"/>
            <w:tcBorders/>
            <w:vAlign w:val="bottom"/>
          </w:tcPr>
          <w:p>
            <w:pPr>
              <w:pStyle w:val="TableContents"/>
              <w:bidi w:val="0"/>
              <w:spacing w:before="0" w:after="283"/>
              <w:jc w:val="right"/>
              <w:rPr/>
            </w:pPr>
            <w:r>
              <w:rPr/>
              <w:t>28</w:t>
            </w:r>
          </w:p>
        </w:tc>
        <w:tc>
          <w:tcPr>
            <w:tcW w:w="15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398" w:type="dxa"/>
            <w:tcBorders/>
            <w:vAlign w:val="bottom"/>
          </w:tcPr>
          <w:p>
            <w:pPr>
              <w:pStyle w:val="TableContents"/>
              <w:bidi w:val="0"/>
              <w:spacing w:before="0" w:after="283"/>
              <w:jc w:val="right"/>
              <w:rPr/>
            </w:pPr>
            <w:r>
              <w:rPr/>
              <w:t>27</w:t>
            </w:r>
          </w:p>
        </w:tc>
        <w:tc>
          <w:tcPr>
            <w:tcW w:w="159" w:type="dxa"/>
            <w:tcBorders/>
            <w:vAlign w:val="bottom"/>
          </w:tcPr>
          <w:p>
            <w:pPr>
              <w:pStyle w:val="TableContents"/>
              <w:bidi w:val="0"/>
              <w:spacing w:before="0" w:after="283"/>
              <w:jc w:val="left"/>
              <w:rPr/>
            </w:pPr>
            <w:r>
              <w:rPr/>
              <w:t> </w:t>
            </w:r>
          </w:p>
        </w:tc>
      </w:tr>
      <w:tr>
        <w:trPr/>
        <w:tc>
          <w:tcPr>
            <w:tcW w:w="6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w:t>
            </w:r>
          </w:p>
        </w:tc>
        <w:tc>
          <w:tcPr>
            <w:tcW w:w="3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right"/>
              <w:rPr/>
            </w:pPr>
            <w:r>
              <w:rPr/>
              <w:t>26</w:t>
            </w:r>
          </w:p>
        </w:tc>
        <w:tc>
          <w:tcPr>
            <w:tcW w:w="15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right"/>
              <w:rPr/>
            </w:pPr>
            <w:r>
              <w:rPr/>
              <w:t>26</w:t>
            </w:r>
          </w:p>
        </w:tc>
        <w:tc>
          <w:tcPr>
            <w:tcW w:w="159" w:type="dxa"/>
            <w:tcBorders/>
            <w:shd w:fill="CCEEFF" w:val="clear"/>
            <w:vAlign w:val="bottom"/>
          </w:tcPr>
          <w:p>
            <w:pPr>
              <w:pStyle w:val="TableContents"/>
              <w:bidi w:val="0"/>
              <w:spacing w:before="0" w:after="283"/>
              <w:jc w:val="left"/>
              <w:rPr/>
            </w:pPr>
            <w:r>
              <w:rPr/>
              <w:t> </w:t>
            </w:r>
          </w:p>
        </w:tc>
      </w:tr>
      <w:tr>
        <w:trPr/>
        <w:tc>
          <w:tcPr>
            <w:tcW w:w="6472" w:type="dxa"/>
            <w:tcBorders/>
          </w:tcPr>
          <w:p>
            <w:pPr>
              <w:pStyle w:val="TableContents"/>
              <w:bidi w:val="0"/>
              <w:spacing w:before="0" w:after="0"/>
              <w:jc w:val="left"/>
              <w:rPr>
                <w:rFonts w:ascii="Times New Roman" w:hAnsi="Times New Roman"/>
                <w:sz w:val="20"/>
              </w:rPr>
            </w:pPr>
            <w:r>
              <w:rPr>
                <w:rFonts w:ascii="Times New Roman" w:hAnsi="Times New Roman"/>
                <w:sz w:val="20"/>
              </w:rPr>
              <w:t>Nondeductible accruals and other</w:t>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11</w:t>
            </w:r>
          </w:p>
        </w:tc>
        <w:tc>
          <w:tcPr>
            <w:tcW w:w="15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8</w:t>
            </w:r>
          </w:p>
        </w:tc>
        <w:tc>
          <w:tcPr>
            <w:tcW w:w="159" w:type="dxa"/>
            <w:tcBorders/>
            <w:vAlign w:val="bottom"/>
          </w:tcPr>
          <w:p>
            <w:pPr>
              <w:pStyle w:val="TableContents"/>
              <w:bidi w:val="0"/>
              <w:spacing w:before="0" w:after="283"/>
              <w:jc w:val="left"/>
              <w:rPr/>
            </w:pPr>
            <w:r>
              <w:rPr/>
              <w:t> </w:t>
            </w:r>
          </w:p>
        </w:tc>
      </w:tr>
      <w:tr>
        <w:trPr/>
        <w:tc>
          <w:tcPr>
            <w:tcW w:w="6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3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right"/>
              <w:rPr/>
            </w:pPr>
            <w:r>
              <w:rPr/>
              <w:t>(37</w:t>
            </w:r>
          </w:p>
        </w:tc>
        <w:tc>
          <w:tcPr>
            <w:tcW w:w="15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right"/>
              <w:rPr/>
            </w:pPr>
            <w:r>
              <w:rPr/>
              <w:t>(36</w:t>
            </w:r>
          </w:p>
        </w:tc>
        <w:tc>
          <w:tcPr>
            <w:tcW w:w="159" w:type="dxa"/>
            <w:tcBorders/>
            <w:shd w:fill="CCEEFF" w:val="clear"/>
            <w:vAlign w:val="bottom"/>
          </w:tcPr>
          <w:p>
            <w:pPr>
              <w:pStyle w:val="TableContents"/>
              <w:bidi w:val="0"/>
              <w:spacing w:before="0" w:after="283"/>
              <w:jc w:val="left"/>
              <w:rPr/>
            </w:pPr>
            <w:r>
              <w:rPr/>
              <w:t>) </w:t>
            </w:r>
          </w:p>
        </w:tc>
      </w:tr>
      <w:tr>
        <w:trPr/>
        <w:tc>
          <w:tcPr>
            <w:tcW w:w="6472"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3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2"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right"/>
              <w:rPr/>
            </w:pPr>
            <w:r>
              <w:rPr/>
              <w:t>27</w:t>
            </w:r>
          </w:p>
        </w:tc>
        <w:tc>
          <w:tcPr>
            <w:tcW w:w="15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542" w:type="dxa"/>
            <w:gridSpan w:val="2"/>
            <w:tcBorders/>
            <w:vAlign w:val="bottom"/>
          </w:tcPr>
          <w:p>
            <w:pPr>
              <w:pStyle w:val="TableContents"/>
              <w:bidi w:val="0"/>
              <w:spacing w:before="0" w:after="283"/>
              <w:jc w:val="right"/>
              <w:rPr/>
            </w:pPr>
            <w:r>
              <w:rPr/>
              <w:t>25</w:t>
            </w:r>
          </w:p>
        </w:tc>
        <w:tc>
          <w:tcPr>
            <w:tcW w:w="159" w:type="dxa"/>
            <w:tcBorders/>
            <w:vAlign w:val="bottom"/>
          </w:tcPr>
          <w:p>
            <w:pPr>
              <w:pStyle w:val="TableContents"/>
              <w:bidi w:val="0"/>
              <w:spacing w:before="0" w:after="283"/>
              <w:jc w:val="left"/>
              <w:rPr/>
            </w:pPr>
            <w:r>
              <w:rPr/>
              <w:t> </w:t>
            </w:r>
          </w:p>
        </w:tc>
      </w:tr>
      <w:tr>
        <w:trPr/>
        <w:tc>
          <w:tcPr>
            <w:tcW w:w="6472"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3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2"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3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right"/>
              <w:rPr/>
            </w:pPr>
            <w:r>
              <w:rPr/>
              <w:t>15</w:t>
            </w:r>
          </w:p>
        </w:tc>
        <w:tc>
          <w:tcPr>
            <w:tcW w:w="15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right"/>
              <w:rPr/>
            </w:pPr>
            <w:r>
              <w:rPr/>
              <w:t>33</w:t>
            </w:r>
          </w:p>
        </w:tc>
        <w:tc>
          <w:tcPr>
            <w:tcW w:w="159" w:type="dxa"/>
            <w:tcBorders/>
            <w:shd w:fill="CCEEFF" w:val="clear"/>
            <w:vAlign w:val="bottom"/>
          </w:tcPr>
          <w:p>
            <w:pPr>
              <w:pStyle w:val="TableContents"/>
              <w:bidi w:val="0"/>
              <w:spacing w:before="0" w:after="283"/>
              <w:jc w:val="left"/>
              <w:rPr/>
            </w:pPr>
            <w:r>
              <w:rPr/>
              <w:t> </w:t>
            </w:r>
          </w:p>
        </w:tc>
      </w:tr>
      <w:tr>
        <w:trPr/>
        <w:tc>
          <w:tcPr>
            <w:tcW w:w="6472"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437</w:t>
            </w:r>
          </w:p>
        </w:tc>
        <w:tc>
          <w:tcPr>
            <w:tcW w:w="15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563</w:t>
            </w:r>
          </w:p>
        </w:tc>
        <w:tc>
          <w:tcPr>
            <w:tcW w:w="159" w:type="dxa"/>
            <w:tcBorders/>
            <w:vAlign w:val="bottom"/>
          </w:tcPr>
          <w:p>
            <w:pPr>
              <w:pStyle w:val="TableContents"/>
              <w:bidi w:val="0"/>
              <w:spacing w:before="0" w:after="283"/>
              <w:jc w:val="left"/>
              <w:rPr/>
            </w:pPr>
            <w:r>
              <w:rPr/>
              <w:t> </w:t>
            </w:r>
          </w:p>
        </w:tc>
      </w:tr>
      <w:tr>
        <w:trPr/>
        <w:tc>
          <w:tcPr>
            <w:tcW w:w="6472"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3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2"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right"/>
              <w:rPr/>
            </w:pPr>
            <w:r>
              <w:rPr/>
              <w:t>452</w:t>
            </w:r>
          </w:p>
        </w:tc>
        <w:tc>
          <w:tcPr>
            <w:tcW w:w="15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542" w:type="dxa"/>
            <w:gridSpan w:val="2"/>
            <w:tcBorders/>
            <w:vAlign w:val="bottom"/>
          </w:tcPr>
          <w:p>
            <w:pPr>
              <w:pStyle w:val="TableContents"/>
              <w:bidi w:val="0"/>
              <w:spacing w:before="0" w:after="283"/>
              <w:jc w:val="right"/>
              <w:rPr/>
            </w:pPr>
            <w:r>
              <w:rPr/>
              <w:t>596</w:t>
            </w:r>
          </w:p>
        </w:tc>
        <w:tc>
          <w:tcPr>
            <w:tcW w:w="159" w:type="dxa"/>
            <w:tcBorders/>
            <w:vAlign w:val="bottom"/>
          </w:tcPr>
          <w:p>
            <w:pPr>
              <w:pStyle w:val="TableContents"/>
              <w:bidi w:val="0"/>
              <w:spacing w:before="0" w:after="283"/>
              <w:jc w:val="left"/>
              <w:rPr/>
            </w:pPr>
            <w:r>
              <w:rPr/>
              <w:t> </w:t>
            </w:r>
          </w:p>
        </w:tc>
      </w:tr>
      <w:tr>
        <w:trPr/>
        <w:tc>
          <w:tcPr>
            <w:tcW w:w="6472"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3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liability</w:t>
            </w:r>
          </w:p>
        </w:tc>
        <w:tc>
          <w:tcPr>
            <w:tcW w:w="3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396" w:type="dxa"/>
            <w:tcBorders/>
            <w:shd w:fill="CCEEFF" w:val="clear"/>
            <w:vAlign w:val="bottom"/>
          </w:tcPr>
          <w:p>
            <w:pPr>
              <w:pStyle w:val="TableContents"/>
              <w:bidi w:val="0"/>
              <w:spacing w:before="0" w:after="283"/>
              <w:jc w:val="right"/>
              <w:rPr/>
            </w:pPr>
            <w:r>
              <w:rPr/>
              <w:t>425</w:t>
            </w:r>
          </w:p>
        </w:tc>
        <w:tc>
          <w:tcPr>
            <w:tcW w:w="15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571</w:t>
            </w:r>
          </w:p>
        </w:tc>
        <w:tc>
          <w:tcPr>
            <w:tcW w:w="159" w:type="dxa"/>
            <w:tcBorders/>
            <w:shd w:fill="CCEEFF" w:val="clear"/>
            <w:vAlign w:val="bottom"/>
          </w:tcPr>
          <w:p>
            <w:pPr>
              <w:pStyle w:val="TableContents"/>
              <w:bidi w:val="0"/>
              <w:spacing w:before="0" w:after="283"/>
              <w:jc w:val="left"/>
              <w:rPr/>
            </w:pPr>
            <w:r>
              <w:rPr/>
              <w:t> </w:t>
            </w:r>
          </w:p>
        </w:tc>
      </w:tr>
      <w:tr>
        <w:trPr/>
        <w:tc>
          <w:tcPr>
            <w:tcW w:w="6472"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39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Changes in our Valuation Allowance for Deferred Tax Assets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397"/>
        <w:gridCol w:w="463"/>
        <w:gridCol w:w="175"/>
        <w:gridCol w:w="328"/>
        <w:gridCol w:w="60"/>
        <w:gridCol w:w="463"/>
        <w:gridCol w:w="175"/>
        <w:gridCol w:w="328"/>
        <w:gridCol w:w="60"/>
        <w:gridCol w:w="463"/>
        <w:gridCol w:w="175"/>
        <w:gridCol w:w="328"/>
        <w:gridCol w:w="157"/>
      </w:tblGrid>
      <w:tr>
        <w:trPr/>
        <w:tc>
          <w:tcPr>
            <w:tcW w:w="5397"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97"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7" w:type="dxa"/>
            <w:tcBorders/>
            <w:vAlign w:val="bottom"/>
          </w:tcPr>
          <w:p>
            <w:pPr>
              <w:pStyle w:val="TableContents"/>
              <w:bidi w:val="0"/>
              <w:spacing w:before="0" w:after="283"/>
              <w:jc w:val="left"/>
              <w:rPr/>
            </w:pPr>
            <w:r>
              <w:rPr/>
              <w:t> </w:t>
            </w:r>
          </w:p>
        </w:tc>
      </w:tr>
      <w:tr>
        <w:trPr/>
        <w:tc>
          <w:tcPr>
            <w:tcW w:w="5397"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555" w:type="dxa"/>
            <w:gridSpan w:val="10"/>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(in millions)</w:t>
            </w:r>
          </w:p>
        </w:tc>
        <w:tc>
          <w:tcPr>
            <w:tcW w:w="157" w:type="dxa"/>
            <w:tcBorders/>
            <w:vAlign w:val="bottom"/>
          </w:tcPr>
          <w:p>
            <w:pPr>
              <w:pStyle w:val="TableContents"/>
              <w:bidi w:val="0"/>
              <w:spacing w:before="0" w:after="283"/>
              <w:jc w:val="left"/>
              <w:rPr/>
            </w:pPr>
            <w:r>
              <w:rPr/>
              <w:t> </w:t>
            </w:r>
          </w:p>
        </w:tc>
      </w:tr>
      <w:tr>
        <w:trPr/>
        <w:tc>
          <w:tcPr>
            <w:tcW w:w="5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46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28"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28"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28" w:type="dxa"/>
            <w:tcBorders/>
            <w:shd w:fill="CCEEFF" w:val="clear"/>
            <w:vAlign w:val="bottom"/>
          </w:tcPr>
          <w:p>
            <w:pPr>
              <w:pStyle w:val="TableContents"/>
              <w:bidi w:val="0"/>
              <w:spacing w:before="0" w:after="283"/>
              <w:jc w:val="right"/>
              <w:rPr/>
            </w:pPr>
            <w:r>
              <w:rPr/>
              <w:t>37</w:t>
            </w:r>
          </w:p>
        </w:tc>
        <w:tc>
          <w:tcPr>
            <w:tcW w:w="157" w:type="dxa"/>
            <w:tcBorders/>
            <w:shd w:fill="CCEEFF" w:val="clear"/>
            <w:vAlign w:val="bottom"/>
          </w:tcPr>
          <w:p>
            <w:pPr>
              <w:pStyle w:val="TableContents"/>
              <w:bidi w:val="0"/>
              <w:spacing w:before="0" w:after="283"/>
              <w:jc w:val="left"/>
              <w:rPr/>
            </w:pPr>
            <w:r>
              <w:rPr/>
              <w:t> </w:t>
            </w:r>
          </w:p>
        </w:tc>
      </w:tr>
      <w:tr>
        <w:trPr/>
        <w:tc>
          <w:tcPr>
            <w:tcW w:w="5397" w:type="dxa"/>
            <w:tcBorders/>
          </w:tcPr>
          <w:p>
            <w:pPr>
              <w:pStyle w:val="TableContents"/>
              <w:bidi w:val="0"/>
              <w:spacing w:before="0" w:after="0"/>
              <w:jc w:val="left"/>
              <w:rPr>
                <w:rFonts w:ascii="Times New Roman" w:hAnsi="Times New Roman"/>
                <w:sz w:val="20"/>
              </w:rPr>
            </w:pPr>
            <w:r>
              <w:rPr>
                <w:rFonts w:ascii="Times New Roman" w:hAnsi="Times New Roman"/>
                <w:sz w:val="20"/>
              </w:rPr>
              <w:t>Additions charged to income tax expense and other accounts</w:t>
            </w:r>
          </w:p>
        </w:tc>
        <w:tc>
          <w:tcPr>
            <w:tcW w:w="46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5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Deductions from reserves</w:t>
            </w:r>
          </w:p>
        </w:tc>
        <w:tc>
          <w:tcPr>
            <w:tcW w:w="46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right"/>
              <w:rPr/>
            </w:pPr>
            <w:r>
              <w:rPr/>
              <w:t>(1</w:t>
            </w:r>
          </w:p>
        </w:tc>
        <w:tc>
          <w:tcPr>
            <w:tcW w:w="157" w:type="dxa"/>
            <w:tcBorders/>
            <w:shd w:fill="CCEEFF" w:val="clear"/>
            <w:vAlign w:val="bottom"/>
          </w:tcPr>
          <w:p>
            <w:pPr>
              <w:pStyle w:val="TableContents"/>
              <w:bidi w:val="0"/>
              <w:spacing w:before="0" w:after="283"/>
              <w:jc w:val="left"/>
              <w:rPr/>
            </w:pPr>
            <w:r>
              <w:rPr/>
              <w:t>) </w:t>
            </w:r>
          </w:p>
        </w:tc>
      </w:tr>
      <w:tr>
        <w:trPr/>
        <w:tc>
          <w:tcPr>
            <w:tcW w:w="5397"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3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3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32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3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Ending balance</w:t>
            </w:r>
          </w:p>
        </w:tc>
        <w:tc>
          <w:tcPr>
            <w:tcW w:w="46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328" w:type="dxa"/>
            <w:tcBorders/>
            <w:vAlign w:val="bottom"/>
          </w:tcPr>
          <w:p>
            <w:pPr>
              <w:pStyle w:val="TableContents"/>
              <w:bidi w:val="0"/>
              <w:spacing w:before="0" w:after="283"/>
              <w:jc w:val="right"/>
              <w:rPr>
                <w:b/>
              </w:rPr>
            </w:pPr>
            <w:r>
              <w:rPr>
                <w:b/>
              </w:rPr>
              <w:t>37</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328" w:type="dxa"/>
            <w:tcBorders/>
            <w:vAlign w:val="bottom"/>
          </w:tcPr>
          <w:p>
            <w:pPr>
              <w:pStyle w:val="TableContents"/>
              <w:bidi w:val="0"/>
              <w:spacing w:before="0" w:after="283"/>
              <w:jc w:val="right"/>
              <w:rPr>
                <w:b/>
              </w:rPr>
            </w:pPr>
            <w:r>
              <w:rPr>
                <w:b/>
              </w:rPr>
              <w:t>36</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328" w:type="dxa"/>
            <w:tcBorders/>
            <w:vAlign w:val="bottom"/>
          </w:tcPr>
          <w:p>
            <w:pPr>
              <w:pStyle w:val="TableContents"/>
              <w:bidi w:val="0"/>
              <w:spacing w:before="0" w:after="283"/>
              <w:jc w:val="right"/>
              <w:rPr>
                <w:b/>
              </w:rPr>
            </w:pPr>
            <w:r>
              <w:rPr>
                <w:b/>
              </w:rPr>
              <w:t>36</w:t>
            </w:r>
          </w:p>
        </w:tc>
        <w:tc>
          <w:tcPr>
            <w:tcW w:w="157" w:type="dxa"/>
            <w:tcBorders/>
            <w:vAlign w:val="bottom"/>
          </w:tcPr>
          <w:p>
            <w:pPr>
              <w:pStyle w:val="TableContents"/>
              <w:bidi w:val="0"/>
              <w:spacing w:before="0" w:after="283"/>
              <w:jc w:val="left"/>
              <w:rPr/>
            </w:pPr>
            <w:r>
              <w:rPr/>
              <w:t> </w:t>
            </w:r>
          </w:p>
        </w:tc>
      </w:tr>
      <w:tr>
        <w:trPr/>
        <w:tc>
          <w:tcPr>
            <w:tcW w:w="5397"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3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3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32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net operating loss carryforwards primarily related to a subsidiary included in our combined financial statements, which can be carried forward indefinitely. Our valuation allowances primarily related to these net operating loss carryforwards.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 Tax Positions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litigation processes, based on the technical merits of the position. A tax position that meets the more-likely-than-not recognition threshold is measured to determine the amount of benefit to be recognized in our combined financial statements. We classify interest and penalties, if any, associated with our uncertain tax positions as a component of income tax expense (benefit). Our liability for uncertain tax positions was not material in any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The IRS has completed its examination of Comcasts income tax returns for all years through 2021. Various states and foreign jurisdictions are examining Comcasts tax returns and the tax years of those tax returns currently under examination vary by state, with most of the periods relating to tax years 2011 and forward. </w:t>
      </w:r>
    </w:p>
    <w:p>
      <w:pPr>
        <w:pStyle w:val="TextBody"/>
        <w:bidi w:val="0"/>
        <w:spacing w:before="360" w:after="0"/>
        <w:jc w:val="left"/>
        <w:rPr>
          <w:rFonts w:ascii="Times New Roman" w:hAnsi="Times New Roman"/>
          <w:b/>
          <w:sz w:val="20"/>
        </w:rPr>
      </w:pPr>
      <w:r>
        <w:rPr>
          <w:rFonts w:ascii="Times New Roman" w:hAnsi="Times New Roman"/>
          <w:b/>
          <w:sz w:val="20"/>
        </w:rPr>
        <w:t xml:space="preserve">Note 9: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Licensed Content </w:t>
      </w:r>
    </w:p>
    <w:p>
      <w:pPr>
        <w:pStyle w:val="TextBody"/>
        <w:bidi w:val="0"/>
        <w:spacing w:before="120" w:after="0"/>
        <w:jc w:val="left"/>
        <w:rPr>
          <w:rFonts w:ascii="Times New Roman" w:hAnsi="Times New Roman"/>
          <w:sz w:val="20"/>
        </w:rPr>
      </w:pPr>
      <w:r>
        <w:rPr>
          <w:rFonts w:ascii="Times New Roman" w:hAnsi="Times New Roman"/>
          <w:sz w:val="20"/>
        </w:rPr>
        <w:t xml:space="preserve">Our most significant fixed-price purchase obligations relate to long-term commitments for licensed content. Refer to Note 4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10: Related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enter into transactions with Comcast and its related parties in the ordinary course of our operations, including the license of content for use on our networks, the distribution of our television networks and purchases and sales of advertising. The nature of these services is similar to services that we purchase from or provide to third-parties. In addition, certain costs related to production activities that use centralized Comcast operations are directly charged to us based on usage. </w:t>
      </w:r>
    </w:p>
    <w:p>
      <w:pPr>
        <w:pStyle w:val="TextBody"/>
        <w:bidi w:val="0"/>
        <w:spacing w:before="240" w:after="0"/>
        <w:jc w:val="left"/>
        <w:rPr>
          <w:rFonts w:ascii="Times New Roman" w:hAnsi="Times New Roman"/>
          <w:sz w:val="20"/>
        </w:rPr>
      </w:pPr>
      <w:r>
        <w:rPr>
          <w:rFonts w:ascii="Times New Roman" w:hAnsi="Times New Roman"/>
          <w:sz w:val="20"/>
        </w:rPr>
        <w:t>Sales to related parties were $1.26 billion</w:t>
      </w:r>
      <w:r>
        <w:rPr>
          <w:rFonts w:ascii="Times New Roman" w:hAnsi="Times New Roman"/>
          <w:b/>
          <w:sz w:val="20"/>
        </w:rPr>
        <w:t xml:space="preserve">, </w:t>
      </w:r>
      <w:r>
        <w:rPr>
          <w:rFonts w:ascii="Times New Roman" w:hAnsi="Times New Roman"/>
          <w:sz w:val="20"/>
        </w:rPr>
        <w:t xml:space="preserve">$1.34 billion and $1.39 billion during the years ended December 31, 2024, 2023 and 2022, respectively. Accounts receivable due for these transactions were $208 million and $219 million as of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Costs of revenue from related parties were $1.16 billion, $1.15 billion and $1.17 billion for the years ended December 31, 2024, 2023 and 2022, respectively. Capitalized content costs related to these costs were $286 million and $228 million as of December 31, 2024 and 2023, respectively. Content obligations related to these costs were $112 million and $117 million as of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Costs of advertising purchased from related parties were $12 million, $14 million and $10 million for the years ended December 31, 2024, 2023 and 2022, respectively, and are presented in selling, general and administrative expenses. Amounts payable for these transactions were not material as of December 31, 2024 or 2023. </w:t>
      </w:r>
    </w:p>
    <w:p>
      <w:pPr>
        <w:pStyle w:val="TextBody"/>
        <w:bidi w:val="0"/>
        <w:spacing w:before="240" w:after="0"/>
        <w:jc w:val="left"/>
        <w:rPr>
          <w:rFonts w:ascii="Times New Roman" w:hAnsi="Times New Roman"/>
          <w:sz w:val="20"/>
        </w:rPr>
      </w:pPr>
      <w:r>
        <w:rPr>
          <w:rFonts w:ascii="Times New Roman" w:hAnsi="Times New Roman"/>
          <w:sz w:val="20"/>
        </w:rPr>
        <w:t xml:space="preserve">We have related party loan balances associated with the participation of certain of our subsidiaries in Comcasts centralized cash management programs. Our receivable balances pursuant to these contracts are presented in other current assets in the combined balance sheets and totaled $35 million and $18 million as of December 31, 2024 and 2023, respectively. Our payable balances pursuant to these contracts are presented in accrued expenses and other current liabilities in the combined balance sheets and totaled $12 million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Versant Media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Section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$18 million as of December 31, 2024 and 2023, respectively. Activity related to loans receivable and payable is presented in the combined statements of cash flows in other investing and other financing activities,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Shared Services and Other Allocated Costs </w:t>
      </w:r>
    </w:p>
    <w:p>
      <w:pPr>
        <w:pStyle w:val="TextBody"/>
        <w:bidi w:val="0"/>
        <w:spacing w:before="120" w:after="0"/>
        <w:jc w:val="left"/>
        <w:rPr>
          <w:rFonts w:ascii="Times New Roman" w:hAnsi="Times New Roman"/>
          <w:sz w:val="20"/>
        </w:rPr>
      </w:pPr>
      <w:r>
        <w:rPr>
          <w:rFonts w:ascii="Times New Roman" w:hAnsi="Times New Roman"/>
          <w:sz w:val="20"/>
        </w:rPr>
        <w:t xml:space="preserve">The combined financial statements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combined statement of income and are reflected in the combined balance sheets and statements of cash flows as changes in net Parent investment. These amounts represent managements reasonable estimate of the costs incurred; however, they are not necessarily representative of the costs required for us to operate as an independent, publicly traded company. </w:t>
      </w:r>
    </w:p>
    <w:p>
      <w:pPr>
        <w:pStyle w:val="TextBody"/>
        <w:bidi w:val="0"/>
        <w:spacing w:before="240" w:after="0"/>
        <w:jc w:val="left"/>
        <w:rPr>
          <w:rFonts w:ascii="Times New Roman" w:hAnsi="Times New Roman"/>
          <w:sz w:val="20"/>
        </w:rPr>
      </w:pPr>
      <w:r>
        <w:rPr>
          <w:rFonts w:ascii="Times New Roman" w:hAnsi="Times New Roman"/>
          <w:sz w:val="20"/>
        </w:rPr>
        <w:t xml:space="preserve">Amounts recorded in cost of revenue for these services were $266 million, $277 million and $259 million in 2024,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Amounts recorded in selling, general and administrative expenses for these services were $870 million, $910 million and $897 million in 2024, 2023 and 2022,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Note 11: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We have evaluated all subsequent event activity through May 30, 2025, which is the issue date of these combined financial statements and concluded that no additional subsequent events have occurred that would require recognition in the combined financial statements or disclosure in the notes to the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143</Pages>
  <Words>75325</Words>
  <Characters>412428</Characters>
  <CharactersWithSpaces>491702</CharactersWithSpaces>
  <Paragraphs>9282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