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185420</wp:posOffset>
            </wp:positionH>
            <wp:positionV relativeFrom="page">
              <wp:posOffset>831850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791845</wp:posOffset>
            </wp:positionV>
            <wp:extent cx="717804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34290"/>
                    </a:xfrm>
                    <a:prstGeom prst="rect">
                      <a:avLst/>
                    </a:prstGeom>
                    <a:noFill/>
                  </pic:spPr>
                </pic:pic>
              </a:graphicData>
            </a:graphic>
          </wp:anchor>
        </w:drawing>
      </w:r>
    </w:p>
    <w:p>
      <w:pPr>
        <w:jc w:val="center"/>
        <w:ind w:right="-207"/>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9"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9"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2"/>
          <w:szCs w:val="12"/>
          <w:color w:val="auto"/>
        </w:rPr>
        <w:t>Date of report (Date of earliest event reported): March 3, 2026</w:t>
      </w:r>
    </w:p>
    <w:p>
      <w:pPr>
        <w:spacing w:after="0" w:line="166"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7"/>
          <w:szCs w:val="17"/>
          <w:b w:val="1"/>
          <w:bCs w:val="1"/>
          <w:color w:val="auto"/>
        </w:rPr>
        <w:t>Versant Media Group, Inc.</w:t>
      </w:r>
    </w:p>
    <w:p>
      <w:pPr>
        <w:spacing w:after="0" w:line="10" w:lineRule="exact"/>
        <w:rPr>
          <w:sz w:val="24"/>
          <w:szCs w:val="24"/>
          <w:color w:val="auto"/>
        </w:rPr>
      </w:pPr>
    </w:p>
    <w:p>
      <w:pPr>
        <w:ind w:left="5168"/>
        <w:spacing w:after="0"/>
        <w:rPr>
          <w:sz w:val="20"/>
          <w:szCs w:val="20"/>
          <w:color w:val="auto"/>
        </w:rPr>
      </w:pPr>
      <w:r>
        <w:rPr>
          <w:rFonts w:ascii="Times New Roman" w:cs="Times New Roman" w:eastAsia="Times New Roman" w:hAnsi="Times New Roman"/>
          <w:sz w:val="10"/>
          <w:szCs w:val="10"/>
          <w:color w:val="auto"/>
        </w:rPr>
        <w:t>(Exact name of registrant</w:t>
      </w:r>
    </w:p>
    <w:p>
      <w:pPr>
        <w:ind w:left="5168"/>
        <w:spacing w:after="0" w:line="236" w:lineRule="auto"/>
        <w:rPr>
          <w:sz w:val="20"/>
          <w:szCs w:val="20"/>
          <w:color w:val="auto"/>
        </w:rPr>
      </w:pPr>
      <w:r>
        <w:rPr>
          <w:rFonts w:ascii="Times New Roman" w:cs="Times New Roman" w:eastAsia="Times New Roman" w:hAnsi="Times New Roman"/>
          <w:sz w:val="10"/>
          <w:szCs w:val="10"/>
          <w:color w:val="auto"/>
        </w:rPr>
        <w:t>as specified in its charter)</w:t>
      </w:r>
    </w:p>
    <w:p>
      <w:pPr>
        <w:spacing w:after="0" w:line="111" w:lineRule="exact"/>
        <w:rPr>
          <w:sz w:val="24"/>
          <w:szCs w:val="24"/>
          <w:color w:val="auto"/>
        </w:rPr>
      </w:pPr>
    </w:p>
    <w:tbl>
      <w:tblPr>
        <w:tblLayout w:type="fixed"/>
        <w:tblInd w:w="968" w:type="dxa"/>
        <w:tblCellMar>
          <w:top w:w="0" w:type="dxa"/>
          <w:left w:w="0" w:type="dxa"/>
          <w:bottom w:w="0" w:type="dxa"/>
          <w:right w:w="0" w:type="dxa"/>
        </w:tblCellMar>
      </w:tblPr>
      <w:tr>
        <w:trPr>
          <w:trHeight w:val="153"/>
        </w:trPr>
        <w:tc>
          <w:tcPr>
            <w:tcW w:w="2920" w:type="dxa"/>
            <w:vAlign w:val="bottom"/>
          </w:tcPr>
          <w:p>
            <w:pPr>
              <w:jc w:val="center"/>
              <w:ind w:right="1185"/>
              <w:spacing w:after="0"/>
              <w:rPr>
                <w:sz w:val="20"/>
                <w:szCs w:val="20"/>
                <w:color w:val="auto"/>
              </w:rPr>
            </w:pPr>
            <w:r>
              <w:rPr>
                <w:rFonts w:ascii="Times New Roman" w:cs="Times New Roman" w:eastAsia="Times New Roman" w:hAnsi="Times New Roman"/>
                <w:sz w:val="12"/>
                <w:szCs w:val="12"/>
                <w:b w:val="1"/>
                <w:bCs w:val="1"/>
                <w:color w:val="auto"/>
                <w:w w:val="99"/>
              </w:rPr>
              <w:t>Pennsylvania</w:t>
            </w:r>
          </w:p>
        </w:tc>
        <w:tc>
          <w:tcPr>
            <w:tcW w:w="3620" w:type="dxa"/>
            <w:vAlign w:val="bottom"/>
          </w:tcPr>
          <w:p>
            <w:pPr>
              <w:jc w:val="right"/>
              <w:ind w:right="1546"/>
              <w:spacing w:after="0"/>
              <w:rPr>
                <w:sz w:val="20"/>
                <w:szCs w:val="20"/>
                <w:color w:val="auto"/>
              </w:rPr>
            </w:pPr>
            <w:r>
              <w:rPr>
                <w:rFonts w:ascii="Times New Roman" w:cs="Times New Roman" w:eastAsia="Times New Roman" w:hAnsi="Times New Roman"/>
                <w:sz w:val="12"/>
                <w:szCs w:val="12"/>
                <w:b w:val="1"/>
                <w:bCs w:val="1"/>
                <w:color w:val="auto"/>
              </w:rPr>
              <w:t>001-42856</w:t>
            </w:r>
          </w:p>
        </w:tc>
        <w:tc>
          <w:tcPr>
            <w:tcW w:w="2640" w:type="dxa"/>
            <w:vAlign w:val="bottom"/>
          </w:tcPr>
          <w:p>
            <w:pPr>
              <w:jc w:val="right"/>
              <w:ind w:right="306"/>
              <w:spacing w:after="0"/>
              <w:rPr>
                <w:sz w:val="20"/>
                <w:szCs w:val="20"/>
                <w:color w:val="auto"/>
              </w:rPr>
            </w:pPr>
            <w:r>
              <w:rPr>
                <w:rFonts w:ascii="Times New Roman" w:cs="Times New Roman" w:eastAsia="Times New Roman" w:hAnsi="Times New Roman"/>
                <w:sz w:val="12"/>
                <w:szCs w:val="12"/>
                <w:b w:val="1"/>
                <w:bCs w:val="1"/>
                <w:color w:val="auto"/>
              </w:rPr>
              <w:t>39-2087186</w:t>
            </w:r>
          </w:p>
        </w:tc>
      </w:tr>
      <w:tr>
        <w:trPr>
          <w:trHeight w:val="123"/>
        </w:trPr>
        <w:tc>
          <w:tcPr>
            <w:tcW w:w="2920" w:type="dxa"/>
            <w:vAlign w:val="bottom"/>
          </w:tcPr>
          <w:p>
            <w:pPr>
              <w:jc w:val="center"/>
              <w:ind w:right="1185"/>
              <w:spacing w:after="0"/>
              <w:rPr>
                <w:sz w:val="20"/>
                <w:szCs w:val="20"/>
                <w:color w:val="auto"/>
              </w:rPr>
            </w:pPr>
            <w:r>
              <w:rPr>
                <w:rFonts w:ascii="Times New Roman" w:cs="Times New Roman" w:eastAsia="Times New Roman" w:hAnsi="Times New Roman"/>
                <w:sz w:val="10"/>
                <w:szCs w:val="10"/>
                <w:color w:val="auto"/>
                <w:w w:val="95"/>
              </w:rPr>
              <w:t>(State or other jurisdiction of incorporation)</w:t>
            </w:r>
          </w:p>
        </w:tc>
        <w:tc>
          <w:tcPr>
            <w:tcW w:w="3620" w:type="dxa"/>
            <w:vAlign w:val="bottom"/>
          </w:tcPr>
          <w:p>
            <w:pPr>
              <w:jc w:val="center"/>
              <w:ind w:right="66"/>
              <w:spacing w:after="0"/>
              <w:rPr>
                <w:sz w:val="20"/>
                <w:szCs w:val="20"/>
                <w:color w:val="auto"/>
              </w:rPr>
            </w:pPr>
            <w:r>
              <w:rPr>
                <w:rFonts w:ascii="Times New Roman" w:cs="Times New Roman" w:eastAsia="Times New Roman" w:hAnsi="Times New Roman"/>
                <w:sz w:val="10"/>
                <w:szCs w:val="10"/>
                <w:color w:val="auto"/>
                <w:w w:val="95"/>
              </w:rPr>
              <w:t>(Commission File Number)</w:t>
            </w:r>
          </w:p>
        </w:tc>
        <w:tc>
          <w:tcPr>
            <w:tcW w:w="2640" w:type="dxa"/>
            <w:vAlign w:val="bottom"/>
          </w:tcPr>
          <w:p>
            <w:pPr>
              <w:jc w:val="center"/>
              <w:ind w:left="1266"/>
              <w:spacing w:after="0"/>
              <w:rPr>
                <w:sz w:val="20"/>
                <w:szCs w:val="20"/>
                <w:color w:val="auto"/>
              </w:rPr>
            </w:pPr>
            <w:r>
              <w:rPr>
                <w:rFonts w:ascii="Times New Roman" w:cs="Times New Roman" w:eastAsia="Times New Roman" w:hAnsi="Times New Roman"/>
                <w:sz w:val="10"/>
                <w:szCs w:val="10"/>
                <w:color w:val="auto"/>
                <w:w w:val="95"/>
              </w:rPr>
              <w:t>(IRS Employer Identification No.)</w:t>
            </w:r>
          </w:p>
        </w:tc>
      </w:tr>
      <w:tr>
        <w:trPr>
          <w:trHeight w:val="236"/>
        </w:trPr>
        <w:tc>
          <w:tcPr>
            <w:tcW w:w="2920" w:type="dxa"/>
            <w:vAlign w:val="bottom"/>
          </w:tcPr>
          <w:p>
            <w:pPr>
              <w:jc w:val="center"/>
              <w:ind w:right="1185"/>
              <w:spacing w:after="0"/>
              <w:rPr>
                <w:sz w:val="20"/>
                <w:szCs w:val="20"/>
                <w:color w:val="auto"/>
              </w:rPr>
            </w:pPr>
            <w:r>
              <w:rPr>
                <w:rFonts w:ascii="Times New Roman" w:cs="Times New Roman" w:eastAsia="Times New Roman" w:hAnsi="Times New Roman"/>
                <w:sz w:val="12"/>
                <w:szCs w:val="12"/>
                <w:b w:val="1"/>
                <w:bCs w:val="1"/>
                <w:color w:val="auto"/>
              </w:rPr>
              <w:t>229 West 43rd Street</w:t>
            </w:r>
          </w:p>
        </w:tc>
        <w:tc>
          <w:tcPr>
            <w:tcW w:w="362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153"/>
        </w:trPr>
        <w:tc>
          <w:tcPr>
            <w:tcW w:w="2920" w:type="dxa"/>
            <w:vAlign w:val="bottom"/>
          </w:tcPr>
          <w:p>
            <w:pPr>
              <w:jc w:val="center"/>
              <w:ind w:right="1185"/>
              <w:spacing w:after="0"/>
              <w:rPr>
                <w:sz w:val="20"/>
                <w:szCs w:val="20"/>
                <w:color w:val="auto"/>
              </w:rPr>
            </w:pPr>
            <w:r>
              <w:rPr>
                <w:rFonts w:ascii="Times New Roman" w:cs="Times New Roman" w:eastAsia="Times New Roman" w:hAnsi="Times New Roman"/>
                <w:sz w:val="12"/>
                <w:szCs w:val="12"/>
                <w:b w:val="1"/>
                <w:bCs w:val="1"/>
                <w:color w:val="auto"/>
              </w:rPr>
              <w:t>New York, NY</w:t>
            </w:r>
          </w:p>
        </w:tc>
        <w:tc>
          <w:tcPr>
            <w:tcW w:w="3620" w:type="dxa"/>
            <w:vAlign w:val="bottom"/>
          </w:tcPr>
          <w:p>
            <w:pPr>
              <w:spacing w:after="0"/>
              <w:rPr>
                <w:sz w:val="13"/>
                <w:szCs w:val="13"/>
                <w:color w:val="auto"/>
              </w:rPr>
            </w:pPr>
          </w:p>
        </w:tc>
        <w:tc>
          <w:tcPr>
            <w:tcW w:w="2640" w:type="dxa"/>
            <w:vAlign w:val="bottom"/>
          </w:tcPr>
          <w:p>
            <w:pPr>
              <w:jc w:val="right"/>
              <w:ind w:right="446"/>
              <w:spacing w:after="0"/>
              <w:rPr>
                <w:sz w:val="20"/>
                <w:szCs w:val="20"/>
                <w:color w:val="auto"/>
              </w:rPr>
            </w:pPr>
            <w:r>
              <w:rPr>
                <w:rFonts w:ascii="Times New Roman" w:cs="Times New Roman" w:eastAsia="Times New Roman" w:hAnsi="Times New Roman"/>
                <w:sz w:val="12"/>
                <w:szCs w:val="12"/>
                <w:b w:val="1"/>
                <w:bCs w:val="1"/>
                <w:color w:val="auto"/>
              </w:rPr>
              <w:t>10036</w:t>
            </w:r>
          </w:p>
        </w:tc>
      </w:tr>
      <w:tr>
        <w:trPr>
          <w:trHeight w:val="123"/>
        </w:trPr>
        <w:tc>
          <w:tcPr>
            <w:tcW w:w="2920" w:type="dxa"/>
            <w:vAlign w:val="bottom"/>
          </w:tcPr>
          <w:p>
            <w:pPr>
              <w:jc w:val="center"/>
              <w:ind w:right="1185"/>
              <w:spacing w:after="0"/>
              <w:rPr>
                <w:sz w:val="20"/>
                <w:szCs w:val="20"/>
                <w:color w:val="auto"/>
              </w:rPr>
            </w:pPr>
            <w:r>
              <w:rPr>
                <w:rFonts w:ascii="Times New Roman" w:cs="Times New Roman" w:eastAsia="Times New Roman" w:hAnsi="Times New Roman"/>
                <w:sz w:val="10"/>
                <w:szCs w:val="10"/>
                <w:color w:val="auto"/>
                <w:w w:val="95"/>
              </w:rPr>
              <w:t>(Address of principal executive offices)</w:t>
            </w:r>
          </w:p>
        </w:tc>
        <w:tc>
          <w:tcPr>
            <w:tcW w:w="3620" w:type="dxa"/>
            <w:vAlign w:val="bottom"/>
          </w:tcPr>
          <w:p>
            <w:pPr>
              <w:spacing w:after="0"/>
              <w:rPr>
                <w:sz w:val="10"/>
                <w:szCs w:val="10"/>
                <w:color w:val="auto"/>
              </w:rPr>
            </w:pPr>
          </w:p>
        </w:tc>
        <w:tc>
          <w:tcPr>
            <w:tcW w:w="2640" w:type="dxa"/>
            <w:vAlign w:val="bottom"/>
          </w:tcPr>
          <w:p>
            <w:pPr>
              <w:jc w:val="center"/>
              <w:ind w:left="1286"/>
              <w:spacing w:after="0"/>
              <w:rPr>
                <w:sz w:val="20"/>
                <w:szCs w:val="20"/>
                <w:color w:val="auto"/>
              </w:rPr>
            </w:pPr>
            <w:r>
              <w:rPr>
                <w:rFonts w:ascii="Times New Roman" w:cs="Times New Roman" w:eastAsia="Times New Roman" w:hAnsi="Times New Roman"/>
                <w:sz w:val="10"/>
                <w:szCs w:val="10"/>
                <w:color w:val="auto"/>
                <w:w w:val="94"/>
              </w:rPr>
              <w:t>(Zip Code)</w:t>
            </w:r>
          </w:p>
        </w:tc>
      </w:tr>
    </w:tbl>
    <w:p>
      <w:pPr>
        <w:spacing w:after="0" w:line="218"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0"/>
          <w:szCs w:val="10"/>
          <w:color w:val="auto"/>
        </w:rPr>
        <w:t xml:space="preserve">Registrant’s telephone number, including area code: </w:t>
      </w:r>
      <w:r>
        <w:rPr>
          <w:rFonts w:ascii="Times New Roman" w:cs="Times New Roman" w:eastAsia="Times New Roman" w:hAnsi="Times New Roman"/>
          <w:sz w:val="11"/>
          <w:szCs w:val="11"/>
          <w:b w:val="1"/>
          <w:bCs w:val="1"/>
          <w:color w:val="auto"/>
        </w:rPr>
        <w:t>(646) 832-1000</w:t>
      </w:r>
    </w:p>
    <w:p>
      <w:pPr>
        <w:spacing w:after="0" w:line="126" w:lineRule="exact"/>
        <w:rPr>
          <w:sz w:val="24"/>
          <w:szCs w:val="24"/>
          <w:color w:val="auto"/>
        </w:rPr>
      </w:pPr>
    </w:p>
    <w:p>
      <w:pPr>
        <w:ind w:left="4468"/>
        <w:spacing w:after="0"/>
        <w:rPr>
          <w:sz w:val="20"/>
          <w:szCs w:val="20"/>
          <w:color w:val="auto"/>
        </w:rPr>
      </w:pPr>
      <w:r>
        <w:rPr>
          <w:rFonts w:ascii="Times New Roman" w:cs="Times New Roman" w:eastAsia="Times New Roman" w:hAnsi="Times New Roman"/>
          <w:sz w:val="10"/>
          <w:szCs w:val="10"/>
          <w:color w:val="auto"/>
        </w:rPr>
        <w:t>(Former name or former address, if changed since last report)</w:t>
      </w:r>
    </w:p>
    <w:p>
      <w:pPr>
        <w:spacing w:after="0" w:line="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0"/>
          <w:szCs w:val="10"/>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188" w:hanging="188"/>
        <w:spacing w:after="0"/>
        <w:tabs>
          <w:tab w:leader="none" w:pos="188" w:val="left"/>
        </w:tabs>
        <w:numPr>
          <w:ilvl w:val="0"/>
          <w:numId w:val="1"/>
        </w:numPr>
        <w:rPr>
          <w:rFonts w:ascii="MS PGothic" w:cs="MS PGothic" w:eastAsia="MS PGothic" w:hAnsi="MS PGothic"/>
          <w:sz w:val="10"/>
          <w:szCs w:val="10"/>
          <w:color w:val="auto"/>
        </w:rPr>
      </w:pPr>
      <w:r>
        <w:rPr>
          <w:rFonts w:ascii="Times New Roman" w:cs="Times New Roman" w:eastAsia="Times New Roman" w:hAnsi="Times New Roman"/>
          <w:sz w:val="10"/>
          <w:szCs w:val="10"/>
          <w:color w:val="auto"/>
        </w:rPr>
        <w:t>Written communications pursuant to Rule 425 under the Securities Act (17 CFR 230.425)</w:t>
      </w:r>
    </w:p>
    <w:p>
      <w:pPr>
        <w:spacing w:after="0" w:line="47" w:lineRule="exact"/>
        <w:rPr>
          <w:rFonts w:ascii="MS PGothic" w:cs="MS PGothic" w:eastAsia="MS PGothic" w:hAnsi="MS PGothic"/>
          <w:sz w:val="10"/>
          <w:szCs w:val="10"/>
          <w:color w:val="auto"/>
        </w:rPr>
      </w:pPr>
    </w:p>
    <w:p>
      <w:pPr>
        <w:ind w:left="188" w:hanging="188"/>
        <w:spacing w:after="0"/>
        <w:tabs>
          <w:tab w:leader="none" w:pos="188" w:val="left"/>
        </w:tabs>
        <w:numPr>
          <w:ilvl w:val="0"/>
          <w:numId w:val="1"/>
        </w:numPr>
        <w:rPr>
          <w:rFonts w:ascii="MS PGothic" w:cs="MS PGothic" w:eastAsia="MS PGothic" w:hAnsi="MS PGothic"/>
          <w:sz w:val="10"/>
          <w:szCs w:val="10"/>
          <w:color w:val="auto"/>
        </w:rPr>
      </w:pPr>
      <w:r>
        <w:rPr>
          <w:rFonts w:ascii="Times New Roman" w:cs="Times New Roman" w:eastAsia="Times New Roman" w:hAnsi="Times New Roman"/>
          <w:sz w:val="10"/>
          <w:szCs w:val="10"/>
          <w:color w:val="auto"/>
        </w:rPr>
        <w:t>Soliciting material pursuant to Rule 14a-12 under the Exchange Act (17 CFR 240.14a-12)</w:t>
      </w:r>
    </w:p>
    <w:p>
      <w:pPr>
        <w:spacing w:after="0" w:line="47" w:lineRule="exact"/>
        <w:rPr>
          <w:rFonts w:ascii="MS PGothic" w:cs="MS PGothic" w:eastAsia="MS PGothic" w:hAnsi="MS PGothic"/>
          <w:sz w:val="10"/>
          <w:szCs w:val="10"/>
          <w:color w:val="auto"/>
        </w:rPr>
      </w:pPr>
    </w:p>
    <w:p>
      <w:pPr>
        <w:ind w:left="188" w:hanging="188"/>
        <w:spacing w:after="0"/>
        <w:tabs>
          <w:tab w:leader="none" w:pos="188" w:val="left"/>
        </w:tabs>
        <w:numPr>
          <w:ilvl w:val="0"/>
          <w:numId w:val="1"/>
        </w:numPr>
        <w:rPr>
          <w:rFonts w:ascii="MS PGothic" w:cs="MS PGothic" w:eastAsia="MS PGothic" w:hAnsi="MS PGothic"/>
          <w:sz w:val="10"/>
          <w:szCs w:val="10"/>
          <w:color w:val="auto"/>
        </w:rPr>
      </w:pPr>
      <w:r>
        <w:rPr>
          <w:rFonts w:ascii="Times New Roman" w:cs="Times New Roman" w:eastAsia="Times New Roman" w:hAnsi="Times New Roman"/>
          <w:sz w:val="10"/>
          <w:szCs w:val="10"/>
          <w:color w:val="auto"/>
        </w:rPr>
        <w:t>Pre-commencement communications pursuant to Rule 14d-2(b) under the Exchange Act (17 CFR 240.14d-2(b))</w:t>
      </w:r>
    </w:p>
    <w:p>
      <w:pPr>
        <w:spacing w:after="0" w:line="38" w:lineRule="exact"/>
        <w:rPr>
          <w:rFonts w:ascii="MS PGothic" w:cs="MS PGothic" w:eastAsia="MS PGothic" w:hAnsi="MS PGothic"/>
          <w:sz w:val="10"/>
          <w:szCs w:val="10"/>
          <w:color w:val="auto"/>
        </w:rPr>
      </w:pPr>
    </w:p>
    <w:p>
      <w:pPr>
        <w:ind w:left="188" w:hanging="188"/>
        <w:spacing w:after="0"/>
        <w:tabs>
          <w:tab w:leader="none" w:pos="188" w:val="left"/>
        </w:tabs>
        <w:numPr>
          <w:ilvl w:val="0"/>
          <w:numId w:val="1"/>
        </w:numPr>
        <w:rPr>
          <w:rFonts w:ascii="MS PGothic" w:cs="MS PGothic" w:eastAsia="MS PGothic" w:hAnsi="MS PGothic"/>
          <w:sz w:val="10"/>
          <w:szCs w:val="10"/>
          <w:color w:val="auto"/>
        </w:rPr>
      </w:pPr>
      <w:r>
        <w:rPr>
          <w:rFonts w:ascii="Times New Roman" w:cs="Times New Roman" w:eastAsia="Times New Roman" w:hAnsi="Times New Roman"/>
          <w:sz w:val="10"/>
          <w:szCs w:val="10"/>
          <w:color w:val="auto"/>
        </w:rPr>
        <w:t>Pre-commencement communications pursuant to Rule 13e-4(c) under the Exchange Act (17 CFR 240.13e-4(c))</w:t>
      </w:r>
    </w:p>
    <w:p>
      <w:pPr>
        <w:spacing w:after="0" w:line="29" w:lineRule="exact"/>
        <w:rPr>
          <w:sz w:val="24"/>
          <w:szCs w:val="24"/>
          <w:color w:val="auto"/>
        </w:rPr>
      </w:pPr>
    </w:p>
    <w:tbl>
      <w:tblPr>
        <w:tblLayout w:type="fixed"/>
        <w:tblInd w:w="208" w:type="dxa"/>
        <w:tblCellMar>
          <w:top w:w="0" w:type="dxa"/>
          <w:left w:w="0" w:type="dxa"/>
          <w:bottom w:w="0" w:type="dxa"/>
          <w:right w:w="0" w:type="dxa"/>
        </w:tblCellMar>
      </w:tblPr>
      <w:tr>
        <w:trPr>
          <w:trHeight w:val="123"/>
        </w:trPr>
        <w:tc>
          <w:tcPr>
            <w:tcW w:w="3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Securities registered pursuant to Section 12(b) of the Act:</w:t>
            </w:r>
          </w:p>
        </w:tc>
        <w:tc>
          <w:tcPr>
            <w:tcW w:w="3220" w:type="dxa"/>
            <w:vAlign w:val="bottom"/>
          </w:tcPr>
          <w:p>
            <w:pPr>
              <w:spacing w:after="0"/>
              <w:rPr>
                <w:sz w:val="10"/>
                <w:szCs w:val="10"/>
                <w:color w:val="auto"/>
              </w:rPr>
            </w:pPr>
          </w:p>
        </w:tc>
        <w:tc>
          <w:tcPr>
            <w:tcW w:w="3860" w:type="dxa"/>
            <w:vAlign w:val="bottom"/>
          </w:tcPr>
          <w:p>
            <w:pPr>
              <w:spacing w:after="0"/>
              <w:rPr>
                <w:sz w:val="10"/>
                <w:szCs w:val="10"/>
                <w:color w:val="auto"/>
              </w:rPr>
            </w:pPr>
          </w:p>
        </w:tc>
      </w:tr>
      <w:tr>
        <w:trPr>
          <w:trHeight w:val="143"/>
        </w:trPr>
        <w:tc>
          <w:tcPr>
            <w:tcW w:w="380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322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0"/>
                <w:szCs w:val="10"/>
                <w:b w:val="1"/>
                <w:bCs w:val="1"/>
                <w:color w:val="auto"/>
                <w:w w:val="94"/>
              </w:rPr>
              <w:t>Trading Symbol(s)</w:t>
            </w:r>
          </w:p>
        </w:tc>
        <w:tc>
          <w:tcPr>
            <w:tcW w:w="3860" w:type="dxa"/>
            <w:vAlign w:val="bottom"/>
            <w:tcBorders>
              <w:bottom w:val="single" w:sz="8" w:color="auto"/>
            </w:tcBorders>
          </w:tcPr>
          <w:p>
            <w:pPr>
              <w:jc w:val="center"/>
              <w:ind w:left="272"/>
              <w:spacing w:after="0"/>
              <w:rPr>
                <w:sz w:val="20"/>
                <w:szCs w:val="20"/>
                <w:color w:val="auto"/>
              </w:rPr>
            </w:pPr>
            <w:r>
              <w:rPr>
                <w:rFonts w:ascii="Times New Roman" w:cs="Times New Roman" w:eastAsia="Times New Roman" w:hAnsi="Times New Roman"/>
                <w:sz w:val="10"/>
                <w:szCs w:val="10"/>
                <w:b w:val="1"/>
                <w:bCs w:val="1"/>
                <w:color w:val="auto"/>
                <w:w w:val="95"/>
              </w:rPr>
              <w:t>Name of each exchange on which registered</w:t>
            </w:r>
          </w:p>
        </w:tc>
      </w:tr>
      <w:tr>
        <w:trPr>
          <w:trHeight w:val="121"/>
        </w:trPr>
        <w:tc>
          <w:tcPr>
            <w:tcW w:w="3800" w:type="dxa"/>
            <w:vAlign w:val="bottom"/>
          </w:tcPr>
          <w:p>
            <w:pPr>
              <w:jc w:val="center"/>
              <w:ind w:right="212"/>
              <w:spacing w:after="0"/>
              <w:rPr>
                <w:sz w:val="20"/>
                <w:szCs w:val="20"/>
                <w:color w:val="auto"/>
              </w:rPr>
            </w:pPr>
            <w:r>
              <w:rPr>
                <w:rFonts w:ascii="Times New Roman" w:cs="Times New Roman" w:eastAsia="Times New Roman" w:hAnsi="Times New Roman"/>
                <w:sz w:val="10"/>
                <w:szCs w:val="10"/>
                <w:color w:val="auto"/>
                <w:w w:val="96"/>
              </w:rPr>
              <w:t>Class A Common Stock, $0.01 par value</w:t>
            </w:r>
          </w:p>
        </w:tc>
        <w:tc>
          <w:tcPr>
            <w:tcW w:w="32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1"/>
              </w:rPr>
              <w:t>VSNT</w:t>
            </w:r>
          </w:p>
        </w:tc>
        <w:tc>
          <w:tcPr>
            <w:tcW w:w="386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6"/>
              </w:rPr>
              <w:t>The Nasdaq Stock Market LLC</w:t>
            </w:r>
          </w:p>
        </w:tc>
      </w:tr>
    </w:tbl>
    <w:p>
      <w:pPr>
        <w:spacing w:after="0" w:line="6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0"/>
          <w:szCs w:val="1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
        <w:spacing w:after="0" w:line="115" w:lineRule="exact"/>
        <w:rPr>
          <w:sz w:val="20"/>
          <w:szCs w:val="20"/>
          <w:color w:val="auto"/>
        </w:rPr>
      </w:pPr>
      <w:r>
        <w:rPr>
          <w:rFonts w:ascii="Times New Roman" w:cs="Times New Roman" w:eastAsia="Times New Roman" w:hAnsi="Times New Roman"/>
          <w:sz w:val="10"/>
          <w:szCs w:val="10"/>
          <w:color w:val="auto"/>
        </w:rPr>
        <w:t xml:space="preserve">Emerging growth company </w:t>
      </w:r>
      <w:r>
        <w:rPr>
          <w:rFonts w:ascii="MS PGothic" w:cs="MS PGothic" w:eastAsia="MS PGothic" w:hAnsi="MS PGothic"/>
          <w:sz w:val="10"/>
          <w:szCs w:val="10"/>
          <w:color w:val="auto"/>
        </w:rPr>
        <w:t>☐</w:t>
      </w:r>
    </w:p>
    <w:p>
      <w:pPr>
        <w:spacing w:after="0" w:line="173" w:lineRule="exact"/>
        <w:rPr>
          <w:sz w:val="24"/>
          <w:szCs w:val="24"/>
          <w:color w:val="auto"/>
        </w:rPr>
      </w:pPr>
    </w:p>
    <w:p>
      <w:pPr>
        <w:ind w:left="8"/>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1005840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275590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235585</wp:posOffset>
            </wp:positionV>
            <wp:extent cx="717804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34290"/>
                    </a:xfrm>
                    <a:prstGeom prst="rect">
                      <a:avLst/>
                    </a:prstGeom>
                    <a:noFill/>
                  </pic:spPr>
                </pic:pic>
              </a:graphicData>
            </a:graphic>
          </wp:anchor>
        </w:drawing>
      </w:r>
    </w:p>
    <w:p>
      <w:pPr>
        <w:sectPr>
          <w:pgSz w:w="11900" w:h="16838" w:orient="portrait"/>
          <w:cols w:equalWidth="0" w:num="1">
            <w:col w:w="11088"/>
          </w:cols>
          <w:pgMar w:left="292" w:top="1440"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45"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2"/>
          <w:szCs w:val="12"/>
          <w:color w:val="auto"/>
        </w:rPr>
        <w:t>On March 3, 2026, Versant Media Group, Inc (“Versant”) issued a press release reporting its financial results and the results of its operations for the year ended December 31, 2025. A copy of the press release is furnished as Exhibit 99.1 to this Current Report on Form 8-K and is incorporated herein by reference.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6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2"/>
          <w:szCs w:val="12"/>
          <w:color w:val="auto"/>
        </w:rPr>
        <w:t>In addition, Versant also posted certain supplemental financial information on its website. A copy of this supplemental financial information is furnished as Exhibit 99.2 to this Current Report on Form 8-K and is incorporated herein by reference.</w:t>
      </w:r>
    </w:p>
    <w:p>
      <w:pPr>
        <w:spacing w:after="0" w:line="128"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2"/>
          <w:szCs w:val="12"/>
          <w:color w:val="auto"/>
        </w:rPr>
        <w:t>The information being furnished pursuant to Item 2.02, including Exhibit 99.1, and Item 7.01, including Exhibit 99.2, of this Current Report on Form 8-K shall not be deemed to be “filed” for purposes of Section 18 of the Securities Exchange Act of 1934, as amended (the “Exchange Act”), or otherwise be subject to the liability of that section, and shall not be incorporated by reference into any other document filed under the Securities Act of 1933, as amended, or the Exchange Act, except as shall be expressly set forth by specific reference in such filing.</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300" w:type="dxa"/>
            <w:vAlign w:val="bottom"/>
            <w:gridSpan w:val="10"/>
          </w:tcPr>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7"/>
              </w:rPr>
              <w:t>Description</w:t>
            </w:r>
          </w:p>
        </w:tc>
        <w:tc>
          <w:tcPr>
            <w:tcW w:w="952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w w:val="85"/>
              </w:rPr>
              <w:t>99.</w:t>
            </w:r>
            <w:r>
              <w:rPr>
                <w:rFonts w:ascii="Times New Roman" w:cs="Times New Roman" w:eastAsia="Times New Roman" w:hAnsi="Times New Roman"/>
                <w:sz w:val="12"/>
                <w:szCs w:val="12"/>
                <w:u w:val="single" w:color="auto"/>
                <w:color w:val="0000FF"/>
                <w:w w:val="85"/>
              </w:rPr>
              <w:t>1</w:t>
            </w:r>
          </w:p>
        </w:tc>
        <w:tc>
          <w:tcPr>
            <w:tcW w:w="2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95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12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Full Year 2025 Earnings Press Release dated March 3, 2026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85"/>
              </w:rPr>
              <w:t>99.</w:t>
            </w:r>
            <w:r>
              <w:rPr>
                <w:rFonts w:ascii="Times New Roman" w:cs="Times New Roman" w:eastAsia="Times New Roman" w:hAnsi="Times New Roman"/>
                <w:sz w:val="12"/>
                <w:szCs w:val="12"/>
                <w:u w:val="single" w:color="auto"/>
                <w:color w:val="0000FF"/>
                <w:w w:val="85"/>
              </w:rPr>
              <w:t>2</w:t>
            </w:r>
          </w:p>
        </w:tc>
        <w:tc>
          <w:tcPr>
            <w:tcW w:w="20" w:type="dxa"/>
            <w:vAlign w:val="bottom"/>
            <w:tcBorders>
              <w:top w:val="single" w:sz="8" w:color="0000FF"/>
              <w:bottom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rPr>
              <w:t>Supplemental Financial Information</w:t>
            </w:r>
          </w:p>
        </w:tc>
        <w:tc>
          <w:tcPr>
            <w:tcW w:w="7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1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1161"/>
        </w:trPr>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51"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7660" w:type="dxa"/>
            <w:vAlign w:val="bottom"/>
            <w:gridSpan w:val="2"/>
          </w:tcPr>
          <w:p>
            <w:pPr>
              <w:ind w:left="1980"/>
              <w:spacing w:after="0"/>
              <w:rPr>
                <w:sz w:val="20"/>
                <w:szCs w:val="20"/>
                <w:color w:val="auto"/>
              </w:rPr>
            </w:pPr>
            <w:r>
              <w:rPr>
                <w:rFonts w:ascii="Times New Roman" w:cs="Times New Roman" w:eastAsia="Times New Roman" w:hAnsi="Times New Roman"/>
                <w:sz w:val="12"/>
                <w:szCs w:val="12"/>
                <w:b w:val="1"/>
                <w:bCs w:val="1"/>
                <w:color w:val="auto"/>
              </w:rPr>
              <w:t>VERSANT MEDIA GROUP, INC</w:t>
            </w:r>
          </w:p>
        </w:tc>
      </w:tr>
      <w:tr>
        <w:trPr>
          <w:trHeight w:val="180"/>
        </w:trPr>
        <w:tc>
          <w:tcPr>
            <w:tcW w:w="62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30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March 3, 2026</w:t>
            </w:r>
          </w:p>
        </w:tc>
        <w:tc>
          <w:tcPr>
            <w:tcW w:w="2940" w:type="dxa"/>
            <w:vAlign w:val="bottom"/>
          </w:tcPr>
          <w:p>
            <w:pPr>
              <w:ind w:left="1980"/>
              <w:spacing w:after="0"/>
              <w:rPr>
                <w:sz w:val="20"/>
                <w:szCs w:val="20"/>
                <w:color w:val="auto"/>
              </w:rPr>
            </w:pPr>
            <w:r>
              <w:rPr>
                <w:rFonts w:ascii="Times New Roman" w:cs="Times New Roman" w:eastAsia="Times New Roman" w:hAnsi="Times New Roman"/>
                <w:sz w:val="12"/>
                <w:szCs w:val="12"/>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Anand M. Kini</w:t>
            </w:r>
          </w:p>
        </w:tc>
      </w:tr>
      <w:tr>
        <w:trPr>
          <w:trHeight w:val="140"/>
        </w:trPr>
        <w:tc>
          <w:tcPr>
            <w:tcW w:w="6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940" w:type="dxa"/>
            <w:vAlign w:val="bottom"/>
          </w:tcPr>
          <w:p>
            <w:pPr>
              <w:ind w:left="1980"/>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Anand M. Kini</w:t>
            </w:r>
          </w:p>
        </w:tc>
      </w:tr>
      <w:tr>
        <w:trPr>
          <w:trHeight w:val="155"/>
        </w:trPr>
        <w:tc>
          <w:tcPr>
            <w:tcW w:w="6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940" w:type="dxa"/>
            <w:vAlign w:val="bottom"/>
          </w:tcPr>
          <w:p>
            <w:pPr>
              <w:ind w:left="1980"/>
              <w:spacing w:after="0"/>
              <w:rPr>
                <w:sz w:val="20"/>
                <w:szCs w:val="20"/>
                <w:color w:val="auto"/>
              </w:rPr>
            </w:pPr>
            <w:r>
              <w:rPr>
                <w:rFonts w:ascii="Times New Roman" w:cs="Times New Roman" w:eastAsia="Times New Roman" w:hAnsi="Times New Roman"/>
                <w:sz w:val="12"/>
                <w:szCs w:val="12"/>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 and Chief Operating Officer</w:t>
            </w:r>
          </w:p>
        </w:tc>
      </w:tr>
    </w:tbl>
    <w:p>
      <w:pPr>
        <w:sectPr>
          <w:pgSz w:w="11900" w:h="16838" w:orient="portrait"/>
          <w:cols w:equalWidth="0" w:num="1">
            <w:col w:w="11300"/>
          </w:cols>
          <w:pgMar w:left="300" w:top="989" w:right="2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2294255</wp:posOffset>
            </wp:positionH>
            <wp:positionV relativeFrom="page">
              <wp:posOffset>660400</wp:posOffset>
            </wp:positionV>
            <wp:extent cx="3000375" cy="491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3000375" cy="4914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Versant Media Reports Full-Year 2025</w:t>
      </w:r>
    </w:p>
    <w:p>
      <w:pPr>
        <w:spacing w:after="0" w:line="81"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Operating and Financial Results</w:t>
      </w:r>
    </w:p>
    <w:p>
      <w:pPr>
        <w:spacing w:after="0" w:line="276" w:lineRule="exact"/>
        <w:rPr>
          <w:sz w:val="20"/>
          <w:szCs w:val="20"/>
          <w:color w:val="auto"/>
        </w:rPr>
      </w:pPr>
    </w:p>
    <w:p>
      <w:pPr>
        <w:ind w:left="428" w:hanging="212"/>
        <w:spacing w:after="0"/>
        <w:tabs>
          <w:tab w:leader="none" w:pos="428"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2025 Revenue of $6.69 Billion</w:t>
      </w:r>
    </w:p>
    <w:p>
      <w:pPr>
        <w:spacing w:after="0" w:line="42" w:lineRule="exact"/>
        <w:rPr>
          <w:rFonts w:ascii="Arial" w:cs="Arial" w:eastAsia="Arial" w:hAnsi="Arial"/>
          <w:sz w:val="12"/>
          <w:szCs w:val="12"/>
          <w:b w:val="1"/>
          <w:bCs w:val="1"/>
          <w:color w:val="auto"/>
        </w:rPr>
      </w:pPr>
    </w:p>
    <w:p>
      <w:pPr>
        <w:ind w:left="428" w:hanging="212"/>
        <w:spacing w:after="0"/>
        <w:tabs>
          <w:tab w:leader="none" w:pos="428"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2025 Net Income Attributable to Versant of $930 Million</w:t>
      </w:r>
    </w:p>
    <w:p>
      <w:pPr>
        <w:spacing w:after="0" w:line="39" w:lineRule="exact"/>
        <w:rPr>
          <w:rFonts w:ascii="Arial" w:cs="Arial" w:eastAsia="Arial" w:hAnsi="Arial"/>
          <w:sz w:val="12"/>
          <w:szCs w:val="12"/>
          <w:b w:val="1"/>
          <w:bCs w:val="1"/>
          <w:color w:val="auto"/>
        </w:rPr>
      </w:pPr>
    </w:p>
    <w:p>
      <w:pPr>
        <w:ind w:left="428" w:hanging="212"/>
        <w:spacing w:after="0"/>
        <w:tabs>
          <w:tab w:leader="none" w:pos="428"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2025 Adjusted EBITDA of $2.42 Billion</w:t>
      </w:r>
      <w:r>
        <w:rPr>
          <w:rFonts w:ascii="Arial" w:cs="Arial" w:eastAsia="Arial" w:hAnsi="Arial"/>
          <w:sz w:val="15"/>
          <w:szCs w:val="15"/>
          <w:b w:val="1"/>
          <w:bCs w:val="1"/>
          <w:color w:val="auto"/>
          <w:vertAlign w:val="superscript"/>
        </w:rPr>
        <w:t>1</w:t>
      </w:r>
    </w:p>
    <w:p>
      <w:pPr>
        <w:spacing w:after="0" w:line="22" w:lineRule="exact"/>
        <w:rPr>
          <w:rFonts w:ascii="Arial" w:cs="Arial" w:eastAsia="Arial" w:hAnsi="Arial"/>
          <w:sz w:val="12"/>
          <w:szCs w:val="12"/>
          <w:b w:val="1"/>
          <w:bCs w:val="1"/>
          <w:color w:val="auto"/>
        </w:rPr>
      </w:pPr>
    </w:p>
    <w:p>
      <w:pPr>
        <w:ind w:left="428" w:hanging="212"/>
        <w:spacing w:after="0"/>
        <w:tabs>
          <w:tab w:leader="none" w:pos="428"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2025 Standalone Adjusted EBITDA of $2.18 Billion</w:t>
      </w:r>
      <w:r>
        <w:rPr>
          <w:rFonts w:ascii="Arial" w:cs="Arial" w:eastAsia="Arial" w:hAnsi="Arial"/>
          <w:sz w:val="15"/>
          <w:szCs w:val="15"/>
          <w:b w:val="1"/>
          <w:bCs w:val="1"/>
          <w:color w:val="auto"/>
          <w:vertAlign w:val="superscript"/>
        </w:rPr>
        <w:t>1</w:t>
      </w:r>
    </w:p>
    <w:p>
      <w:pPr>
        <w:spacing w:after="0" w:line="7" w:lineRule="exact"/>
        <w:rPr>
          <w:rFonts w:ascii="Arial" w:cs="Arial" w:eastAsia="Arial" w:hAnsi="Arial"/>
          <w:sz w:val="12"/>
          <w:szCs w:val="12"/>
          <w:b w:val="1"/>
          <w:bCs w:val="1"/>
          <w:color w:val="auto"/>
        </w:rPr>
      </w:pPr>
    </w:p>
    <w:p>
      <w:pPr>
        <w:ind w:left="428" w:hanging="212"/>
        <w:spacing w:after="0"/>
        <w:tabs>
          <w:tab w:leader="none" w:pos="428"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Versant Announces Dividend and Board Approved $1 Billion Share Repurchase Authorization</w:t>
      </w:r>
    </w:p>
    <w:p>
      <w:pPr>
        <w:spacing w:after="0" w:line="174" w:lineRule="exact"/>
        <w:rPr>
          <w:sz w:val="20"/>
          <w:szCs w:val="20"/>
          <w:color w:val="auto"/>
        </w:rPr>
      </w:pPr>
    </w:p>
    <w:p>
      <w:pPr>
        <w:ind w:left="8"/>
        <w:spacing w:after="0" w:line="330" w:lineRule="auto"/>
        <w:rPr>
          <w:sz w:val="20"/>
          <w:szCs w:val="20"/>
          <w:color w:val="auto"/>
        </w:rPr>
      </w:pPr>
      <w:r>
        <w:rPr>
          <w:rFonts w:ascii="Arial" w:cs="Arial" w:eastAsia="Arial" w:hAnsi="Arial"/>
          <w:sz w:val="12"/>
          <w:szCs w:val="12"/>
          <w:b w:val="1"/>
          <w:bCs w:val="1"/>
          <w:color w:val="auto"/>
        </w:rPr>
        <w:t xml:space="preserve">NEW YORK, NY – March 3, 2026. </w:t>
      </w:r>
      <w:r>
        <w:rPr>
          <w:rFonts w:ascii="Arial" w:cs="Arial" w:eastAsia="Arial" w:hAnsi="Arial"/>
          <w:sz w:val="12"/>
          <w:szCs w:val="12"/>
          <w:color w:val="auto"/>
        </w:rPr>
        <w:t>Versant Media Group, Inc. (NASDAQ: VSNT) today reported operating and financial results for full-year 2025, including $6.69 billion in revenue, $930 million of net income</w:t>
      </w:r>
      <w:r>
        <w:rPr>
          <w:rFonts w:ascii="Arial" w:cs="Arial" w:eastAsia="Arial" w:hAnsi="Arial"/>
          <w:sz w:val="12"/>
          <w:szCs w:val="12"/>
          <w:b w:val="1"/>
          <w:bCs w:val="1"/>
          <w:color w:val="auto"/>
        </w:rPr>
        <w:t xml:space="preserve"> </w:t>
      </w:r>
      <w:r>
        <w:rPr>
          <w:rFonts w:ascii="Arial" w:cs="Arial" w:eastAsia="Arial" w:hAnsi="Arial"/>
          <w:sz w:val="12"/>
          <w:szCs w:val="12"/>
          <w:color w:val="auto"/>
        </w:rPr>
        <w:t>attributable to Versant, $2.42 billion of Adjusted EBITDA and $2.18 billion of Standalone Adjusted EBITDA. The Company also declared a $0.375 per share quarterly cash dividend. In addition, the Board authorized the repurchase of up to $1 billion of the Company's outstanding Class A common stock.</w:t>
      </w:r>
    </w:p>
    <w:p>
      <w:pPr>
        <w:spacing w:after="0" w:line="133" w:lineRule="exact"/>
        <w:rPr>
          <w:sz w:val="20"/>
          <w:szCs w:val="20"/>
          <w:color w:val="auto"/>
        </w:rPr>
      </w:pPr>
    </w:p>
    <w:p>
      <w:pPr>
        <w:ind w:left="8" w:right="180"/>
        <w:spacing w:after="0" w:line="330" w:lineRule="auto"/>
        <w:rPr>
          <w:sz w:val="20"/>
          <w:szCs w:val="20"/>
          <w:color w:val="auto"/>
        </w:rPr>
      </w:pPr>
      <w:r>
        <w:rPr>
          <w:rFonts w:ascii="Arial" w:cs="Arial" w:eastAsia="Arial" w:hAnsi="Arial"/>
          <w:sz w:val="12"/>
          <w:szCs w:val="12"/>
          <w:color w:val="auto"/>
        </w:rPr>
        <w:t>“Versant enters this next chapter as an independent, well-positioned media and entertainment company with strong momentum and clear strategic focus. In 2025, we strengthened our leadership in premium programming, expanded our audience, grew our platforms businesses, and successfully established ourselves as a standalone company. I couldn’t be more excited about what’s ahead as we invest in our iconic brands to evolve our business model. We aim to do so with a focus on delivering strong shareholder returns, both in the near and long term," said Mark Lazarus, Chief Executive Officer.</w:t>
      </w:r>
    </w:p>
    <w:p>
      <w:pPr>
        <w:spacing w:after="0" w:line="133" w:lineRule="exact"/>
        <w:rPr>
          <w:sz w:val="20"/>
          <w:szCs w:val="20"/>
          <w:color w:val="auto"/>
        </w:rPr>
      </w:pPr>
    </w:p>
    <w:p>
      <w:pPr>
        <w:ind w:left="8" w:right="180"/>
        <w:spacing w:after="0" w:line="330" w:lineRule="auto"/>
        <w:rPr>
          <w:sz w:val="20"/>
          <w:szCs w:val="20"/>
          <w:color w:val="auto"/>
        </w:rPr>
      </w:pPr>
      <w:r>
        <w:rPr>
          <w:rFonts w:ascii="Arial" w:cs="Arial" w:eastAsia="Arial" w:hAnsi="Arial"/>
          <w:sz w:val="12"/>
          <w:szCs w:val="12"/>
          <w:color w:val="auto"/>
        </w:rPr>
        <w:t>“We believe our 2025 results demonstrate the underlying strength and durability of Versant’s business, with strong profitability, margins and cash flow generation. Looking ahead, we are investing in exciting new initiatives across our brands to extend audience reach, grow new revenue streams, and deliver attractive financial returns. We are committed to driving value for our shareholders, as highlighted by our Board’s declaration of a $0.375 per share quarterly cash dividend and authorization to repurchase up to $1 billion in shares,” said Anand Kini, Chief Financial Officer and Chief Operating Officer.</w:t>
      </w:r>
    </w:p>
    <w:p>
      <w:pPr>
        <w:spacing w:after="0" w:line="9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Business Highlights</w:t>
      </w:r>
    </w:p>
    <w:p>
      <w:pPr>
        <w:spacing w:after="0" w:line="168" w:lineRule="exact"/>
        <w:rPr>
          <w:sz w:val="20"/>
          <w:szCs w:val="20"/>
          <w:color w:val="auto"/>
        </w:rPr>
      </w:pPr>
    </w:p>
    <w:p>
      <w:pPr>
        <w:ind w:left="8" w:right="300"/>
        <w:spacing w:after="0" w:line="286" w:lineRule="auto"/>
        <w:rPr>
          <w:sz w:val="20"/>
          <w:szCs w:val="20"/>
          <w:color w:val="auto"/>
        </w:rPr>
      </w:pPr>
      <w:r>
        <w:rPr>
          <w:rFonts w:ascii="Arial" w:cs="Arial" w:eastAsia="Arial" w:hAnsi="Arial"/>
          <w:sz w:val="12"/>
          <w:szCs w:val="12"/>
          <w:color w:val="auto"/>
        </w:rPr>
        <w:t>In 2025, Versant completed the work to establish itself as a standalone public company, strengthened its leadership across four large and growing markets and executed against its strategic priorities: win with premium content, extend the reach of its brands, and accelerate the growth of its digital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150876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08760" cy="5715"/>
                    </a:xfrm>
                    <a:prstGeom prst="rect">
                      <a:avLst/>
                    </a:prstGeom>
                    <a:noFill/>
                  </pic:spPr>
                </pic:pic>
              </a:graphicData>
            </a:graphic>
          </wp:anchor>
        </w:drawing>
      </w:r>
    </w:p>
    <w:p>
      <w:pPr>
        <w:spacing w:after="0" w:line="69" w:lineRule="exact"/>
        <w:rPr>
          <w:sz w:val="20"/>
          <w:szCs w:val="20"/>
          <w:color w:val="auto"/>
        </w:rPr>
      </w:pPr>
    </w:p>
    <w:p>
      <w:pPr>
        <w:ind w:left="88" w:hanging="88"/>
        <w:spacing w:after="0"/>
        <w:tabs>
          <w:tab w:leader="none" w:pos="88" w:val="left"/>
        </w:tabs>
        <w:numPr>
          <w:ilvl w:val="0"/>
          <w:numId w:val="3"/>
        </w:numPr>
        <w:rPr>
          <w:rFonts w:ascii="Times New Roman" w:cs="Times New Roman" w:eastAsia="Times New Roman" w:hAnsi="Times New Roman"/>
          <w:sz w:val="19"/>
          <w:szCs w:val="19"/>
          <w:color w:val="auto"/>
          <w:vertAlign w:val="superscript"/>
        </w:rPr>
      </w:pPr>
      <w:r>
        <w:rPr>
          <w:rFonts w:ascii="Arial" w:cs="Arial" w:eastAsia="Arial" w:hAnsi="Arial"/>
          <w:sz w:val="10"/>
          <w:szCs w:val="10"/>
          <w:color w:val="auto"/>
        </w:rPr>
        <w:t>Adjusted EBITDA and Standalone Adjusted EBITDA presented in this release are non-GAAP financial measures. Further information and reconciliations to the most comparable GAAP measures can be found under Table 4 below.</w:t>
      </w:r>
    </w:p>
    <w:p>
      <w:pPr>
        <w:sectPr>
          <w:pgSz w:w="11900" w:h="16838" w:orient="portrait"/>
          <w:cols w:equalWidth="0" w:num="1">
            <w:col w:w="11288"/>
          </w:cols>
          <w:pgMar w:left="292" w:top="1440" w:right="319" w:bottom="1440" w:gutter="0" w:footer="0" w:header="0"/>
        </w:sectPr>
      </w:pPr>
    </w:p>
    <w:bookmarkStart w:id="4" w:name="page5"/>
    <w:bookmarkEnd w:id="4"/>
    <w:p>
      <w:pPr>
        <w:ind w:left="8" w:right="140"/>
        <w:spacing w:after="0" w:line="286" w:lineRule="auto"/>
        <w:rPr>
          <w:sz w:val="20"/>
          <w:szCs w:val="20"/>
          <w:color w:val="auto"/>
        </w:rPr>
      </w:pPr>
      <w:r>
        <w:rPr>
          <w:rFonts w:ascii="Arial" w:cs="Arial" w:eastAsia="Arial" w:hAnsi="Arial"/>
          <w:sz w:val="12"/>
          <w:szCs w:val="12"/>
          <w:b w:val="1"/>
          <w:bCs w:val="1"/>
          <w:color w:val="auto"/>
        </w:rPr>
        <w:t xml:space="preserve">Business News and Personal Finance: </w:t>
      </w:r>
      <w:r>
        <w:rPr>
          <w:rFonts w:ascii="Arial" w:cs="Arial" w:eastAsia="Arial" w:hAnsi="Arial"/>
          <w:sz w:val="12"/>
          <w:szCs w:val="12"/>
          <w:color w:val="auto"/>
        </w:rPr>
        <w:t>In 2025, CNBC reinforced its position as the #1 global business news brand, delivering more than 6,000 hours of live on-air coverage and expanding coverage through a</w:t>
      </w:r>
      <w:r>
        <w:rPr>
          <w:rFonts w:ascii="Arial" w:cs="Arial" w:eastAsia="Arial" w:hAnsi="Arial"/>
          <w:sz w:val="12"/>
          <w:szCs w:val="12"/>
          <w:b w:val="1"/>
          <w:bCs w:val="1"/>
          <w:color w:val="auto"/>
        </w:rPr>
        <w:t xml:space="preserve"> </w:t>
      </w:r>
      <w:r>
        <w:rPr>
          <w:rFonts w:ascii="Arial" w:cs="Arial" w:eastAsia="Arial" w:hAnsi="Arial"/>
          <w:sz w:val="12"/>
          <w:szCs w:val="12"/>
          <w:color w:val="auto"/>
        </w:rPr>
        <w:t>multi-year exclusive partnership with Kalshi. CNBC also announced plans to launch a next-generation direct-to-consumer subscription service tailored to retail investors.</w:t>
      </w:r>
    </w:p>
    <w:p>
      <w:pPr>
        <w:spacing w:after="0" w:line="67" w:lineRule="exact"/>
        <w:rPr>
          <w:sz w:val="20"/>
          <w:szCs w:val="20"/>
          <w:color w:val="auto"/>
        </w:rPr>
      </w:pPr>
    </w:p>
    <w:p>
      <w:pPr>
        <w:ind w:left="8" w:right="80"/>
        <w:spacing w:after="0" w:line="286" w:lineRule="auto"/>
        <w:rPr>
          <w:sz w:val="20"/>
          <w:szCs w:val="20"/>
          <w:color w:val="auto"/>
        </w:rPr>
      </w:pPr>
      <w:r>
        <w:rPr>
          <w:rFonts w:ascii="Arial" w:cs="Arial" w:eastAsia="Arial" w:hAnsi="Arial"/>
          <w:sz w:val="12"/>
          <w:szCs w:val="12"/>
          <w:b w:val="1"/>
          <w:bCs w:val="1"/>
          <w:color w:val="auto"/>
        </w:rPr>
        <w:t xml:space="preserve">Political News and Opinion: </w:t>
      </w:r>
      <w:r>
        <w:rPr>
          <w:rFonts w:ascii="Arial" w:cs="Arial" w:eastAsia="Arial" w:hAnsi="Arial"/>
          <w:sz w:val="12"/>
          <w:szCs w:val="12"/>
          <w:color w:val="auto"/>
        </w:rPr>
        <w:t>MS NOW was the most watched network on election night in November 2025 and, for the full year, generated nearly 8 billion views across TikTok and YouTube, along with more than</w:t>
      </w:r>
      <w:r>
        <w:rPr>
          <w:rFonts w:ascii="Arial" w:cs="Arial" w:eastAsia="Arial" w:hAnsi="Arial"/>
          <w:sz w:val="12"/>
          <w:szCs w:val="12"/>
          <w:b w:val="1"/>
          <w:bCs w:val="1"/>
          <w:color w:val="auto"/>
        </w:rPr>
        <w:t xml:space="preserve"> </w:t>
      </w:r>
      <w:r>
        <w:rPr>
          <w:rFonts w:ascii="Arial" w:cs="Arial" w:eastAsia="Arial" w:hAnsi="Arial"/>
          <w:sz w:val="12"/>
          <w:szCs w:val="12"/>
          <w:color w:val="auto"/>
        </w:rPr>
        <w:t>140 million podcast downloads. MS NOW also announced plans to introduce a direct-to-consumer platform centered on community, access and exclusive content in 2026.</w:t>
      </w:r>
    </w:p>
    <w:p>
      <w:pPr>
        <w:spacing w:after="0" w:line="67" w:lineRule="exact"/>
        <w:rPr>
          <w:sz w:val="20"/>
          <w:szCs w:val="20"/>
          <w:color w:val="auto"/>
        </w:rPr>
      </w:pPr>
    </w:p>
    <w:p>
      <w:pPr>
        <w:ind w:left="8" w:right="420"/>
        <w:spacing w:after="0" w:line="286" w:lineRule="auto"/>
        <w:rPr>
          <w:sz w:val="20"/>
          <w:szCs w:val="20"/>
          <w:color w:val="auto"/>
        </w:rPr>
      </w:pPr>
      <w:r>
        <w:rPr>
          <w:rFonts w:ascii="Arial" w:cs="Arial" w:eastAsia="Arial" w:hAnsi="Arial"/>
          <w:sz w:val="12"/>
          <w:szCs w:val="12"/>
          <w:b w:val="1"/>
          <w:bCs w:val="1"/>
          <w:color w:val="auto"/>
        </w:rPr>
        <w:t xml:space="preserve">Golf and Athletics Participation: </w:t>
      </w:r>
      <w:r>
        <w:rPr>
          <w:rFonts w:ascii="Arial" w:cs="Arial" w:eastAsia="Arial" w:hAnsi="Arial"/>
          <w:sz w:val="12"/>
          <w:szCs w:val="12"/>
          <w:color w:val="auto"/>
        </w:rPr>
        <w:t>During 2025, Golf Channel delivered more than 2,000 hours of live coverage across 200+ events and extended its USGA partnership through 2032. The GolfNow platform</w:t>
      </w:r>
      <w:r>
        <w:rPr>
          <w:rFonts w:ascii="Arial" w:cs="Arial" w:eastAsia="Arial" w:hAnsi="Arial"/>
          <w:sz w:val="12"/>
          <w:szCs w:val="12"/>
          <w:b w:val="1"/>
          <w:bCs w:val="1"/>
          <w:color w:val="auto"/>
        </w:rPr>
        <w:t xml:space="preserve"> </w:t>
      </w:r>
      <w:r>
        <w:rPr>
          <w:rFonts w:ascii="Arial" w:cs="Arial" w:eastAsia="Arial" w:hAnsi="Arial"/>
          <w:sz w:val="12"/>
          <w:szCs w:val="12"/>
          <w:color w:val="auto"/>
        </w:rPr>
        <w:t>powered a record 40 million annual rounds across 9,000 courses worldwide.</w:t>
      </w:r>
    </w:p>
    <w:p>
      <w:pPr>
        <w:spacing w:after="0" w:line="67" w:lineRule="exact"/>
        <w:rPr>
          <w:sz w:val="20"/>
          <w:szCs w:val="20"/>
          <w:color w:val="auto"/>
        </w:rPr>
      </w:pPr>
    </w:p>
    <w:p>
      <w:pPr>
        <w:ind w:left="8" w:right="480"/>
        <w:spacing w:after="0" w:line="286" w:lineRule="auto"/>
        <w:rPr>
          <w:sz w:val="20"/>
          <w:szCs w:val="20"/>
          <w:color w:val="auto"/>
        </w:rPr>
      </w:pPr>
      <w:r>
        <w:rPr>
          <w:rFonts w:ascii="Arial" w:cs="Arial" w:eastAsia="Arial" w:hAnsi="Arial"/>
          <w:sz w:val="12"/>
          <w:szCs w:val="12"/>
          <w:b w:val="1"/>
          <w:bCs w:val="1"/>
          <w:color w:val="auto"/>
        </w:rPr>
        <w:t>Sports and Genre Entertainment</w:t>
      </w:r>
      <w:r>
        <w:rPr>
          <w:rFonts w:ascii="Arial" w:cs="Arial" w:eastAsia="Arial" w:hAnsi="Arial"/>
          <w:sz w:val="12"/>
          <w:szCs w:val="12"/>
          <w:color w:val="auto"/>
        </w:rPr>
        <w:t>: USA Network delivered the #1 scripted cable original premiere of 2025 with</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The Rainmaker</w:t>
      </w:r>
      <w:r>
        <w:rPr>
          <w:rFonts w:ascii="Arial" w:cs="Arial" w:eastAsia="Arial" w:hAnsi="Arial"/>
          <w:sz w:val="12"/>
          <w:szCs w:val="12"/>
          <w:color w:val="auto"/>
        </w:rPr>
        <w:t>, USA Sports expanded its premium sports portfolio through new Pac-12 and</w:t>
      </w:r>
      <w:r>
        <w:rPr>
          <w:rFonts w:ascii="Arial" w:cs="Arial" w:eastAsia="Arial" w:hAnsi="Arial"/>
          <w:sz w:val="12"/>
          <w:szCs w:val="12"/>
          <w:b w:val="1"/>
          <w:bCs w:val="1"/>
          <w:color w:val="auto"/>
        </w:rPr>
        <w:t xml:space="preserve"> </w:t>
      </w:r>
      <w:r>
        <w:rPr>
          <w:rFonts w:ascii="Arial" w:cs="Arial" w:eastAsia="Arial" w:hAnsi="Arial"/>
          <w:sz w:val="12"/>
          <w:szCs w:val="12"/>
          <w:color w:val="auto"/>
        </w:rPr>
        <w:t>women’s sports agreements, and Fandango announced plans to launch an ad-supported streaming service in 2026.</w:t>
      </w:r>
    </w:p>
    <w:p>
      <w:pPr>
        <w:spacing w:after="0" w:line="67" w:lineRule="exact"/>
        <w:rPr>
          <w:sz w:val="20"/>
          <w:szCs w:val="20"/>
          <w:color w:val="auto"/>
        </w:rPr>
      </w:pPr>
    </w:p>
    <w:p>
      <w:pPr>
        <w:ind w:left="8" w:right="60"/>
        <w:spacing w:after="0" w:line="268" w:lineRule="auto"/>
        <w:rPr>
          <w:sz w:val="20"/>
          <w:szCs w:val="20"/>
          <w:color w:val="auto"/>
        </w:rPr>
      </w:pPr>
      <w:r>
        <w:rPr>
          <w:rFonts w:ascii="Arial" w:cs="Arial" w:eastAsia="Arial" w:hAnsi="Arial"/>
          <w:sz w:val="12"/>
          <w:szCs w:val="12"/>
          <w:b w:val="1"/>
          <w:bCs w:val="1"/>
          <w:color w:val="auto"/>
        </w:rPr>
        <w:t xml:space="preserve">Strategic Acquisitions: </w:t>
      </w:r>
      <w:r>
        <w:rPr>
          <w:rFonts w:ascii="Arial" w:cs="Arial" w:eastAsia="Arial" w:hAnsi="Arial"/>
          <w:sz w:val="12"/>
          <w:szCs w:val="12"/>
          <w:color w:val="auto"/>
        </w:rPr>
        <w:t>Versant completed the acquisitions of Free TV Networks in January 2026, expanding national over-the-air distribution, and INDY Cinema Group in the fourth quarter of 2025, strengthening</w:t>
      </w:r>
      <w:r>
        <w:rPr>
          <w:rFonts w:ascii="Arial" w:cs="Arial" w:eastAsia="Arial" w:hAnsi="Arial"/>
          <w:sz w:val="12"/>
          <w:szCs w:val="12"/>
          <w:b w:val="1"/>
          <w:bCs w:val="1"/>
          <w:color w:val="auto"/>
        </w:rPr>
        <w:t xml:space="preserve"> </w:t>
      </w:r>
      <w:r>
        <w:rPr>
          <w:rFonts w:ascii="Arial" w:cs="Arial" w:eastAsia="Arial" w:hAnsi="Arial"/>
          <w:sz w:val="12"/>
          <w:szCs w:val="12"/>
          <w:color w:val="auto"/>
        </w:rPr>
        <w:t>Fandango’s digital and B2B platform capabilities. These acquisitions reinforce Versant’s strategy to extend distribution, deepen engagement, and create new audience touchpoints across both existing and new platforms.</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Full Year 2025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183755"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755" cy="291465"/>
                    </a:xfrm>
                    <a:prstGeom prst="rect">
                      <a:avLst/>
                    </a:prstGeom>
                    <a:noFill/>
                  </pic:spPr>
                </pic:pic>
              </a:graphicData>
            </a:graphic>
          </wp:anchor>
        </w:drawing>
      </w:r>
    </w:p>
    <w:p>
      <w:pPr>
        <w:spacing w:after="0" w:line="62" w:lineRule="exact"/>
        <w:rPr>
          <w:sz w:val="20"/>
          <w:szCs w:val="20"/>
          <w:color w:val="auto"/>
        </w:rPr>
      </w:pPr>
    </w:p>
    <w:tbl>
      <w:tblPr>
        <w:tblLayout w:type="fixed"/>
        <w:tblInd w:w="28" w:type="dxa"/>
        <w:tblCellMar>
          <w:top w:w="0" w:type="dxa"/>
          <w:left w:w="0" w:type="dxa"/>
          <w:bottom w:w="0" w:type="dxa"/>
          <w:right w:w="0" w:type="dxa"/>
        </w:tblCellMar>
      </w:tblPr>
      <w:tr>
        <w:trPr>
          <w:trHeight w:val="144"/>
        </w:trPr>
        <w:tc>
          <w:tcPr>
            <w:tcW w:w="738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11"/>
                <w:szCs w:val="11"/>
                <w:b w:val="1"/>
                <w:bCs w:val="1"/>
                <w:color w:val="auto"/>
              </w:rPr>
              <w:t>Year Ended December 31,</w:t>
            </w:r>
          </w:p>
        </w:tc>
        <w:tc>
          <w:tcPr>
            <w:tcW w:w="1060" w:type="dxa"/>
            <w:vAlign w:val="bottom"/>
            <w:tcBorders>
              <w:bottom w:val="single" w:sz="8" w:color="auto"/>
            </w:tcBorders>
          </w:tcPr>
          <w:p>
            <w:pPr>
              <w:spacing w:after="0"/>
              <w:rPr>
                <w:sz w:val="12"/>
                <w:szCs w:val="12"/>
                <w:color w:val="auto"/>
              </w:rPr>
            </w:pPr>
          </w:p>
        </w:tc>
      </w:tr>
      <w:tr>
        <w:trPr>
          <w:trHeight w:val="133"/>
        </w:trPr>
        <w:tc>
          <w:tcPr>
            <w:tcW w:w="738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4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762"/>
              <w:spacing w:after="0"/>
              <w:rPr>
                <w:sz w:val="20"/>
                <w:szCs w:val="20"/>
                <w:color w:val="auto"/>
              </w:rPr>
            </w:pPr>
            <w:r>
              <w:rPr>
                <w:rFonts w:ascii="Arial" w:cs="Arial" w:eastAsia="Arial" w:hAnsi="Arial"/>
                <w:sz w:val="11"/>
                <w:szCs w:val="11"/>
                <w:b w:val="1"/>
                <w:bCs w:val="1"/>
                <w:color w:val="auto"/>
              </w:rPr>
              <w:t>2024</w:t>
            </w:r>
          </w:p>
        </w:tc>
        <w:tc>
          <w:tcPr>
            <w:tcW w:w="106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Change</w:t>
            </w:r>
          </w:p>
        </w:tc>
      </w:tr>
      <w:tr>
        <w:trPr>
          <w:trHeight w:val="122"/>
        </w:trPr>
        <w:tc>
          <w:tcPr>
            <w:tcW w:w="7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tcPr>
          <w:p>
            <w:pPr>
              <w:jc w:val="right"/>
              <w:ind w:right="562"/>
              <w:spacing w:after="0"/>
              <w:rPr>
                <w:sz w:val="20"/>
                <w:szCs w:val="20"/>
                <w:color w:val="auto"/>
              </w:rPr>
            </w:pPr>
            <w:r>
              <w:rPr>
                <w:rFonts w:ascii="Arial" w:cs="Arial" w:eastAsia="Arial" w:hAnsi="Arial"/>
                <w:sz w:val="10"/>
                <w:szCs w:val="10"/>
                <w:b w:val="1"/>
                <w:bCs w:val="1"/>
                <w:i w:val="1"/>
                <w:iCs w:val="1"/>
                <w:color w:val="auto"/>
              </w:rPr>
              <w:t>(in millions)</w:t>
            </w:r>
          </w:p>
        </w:tc>
        <w:tc>
          <w:tcPr>
            <w:tcW w:w="1060" w:type="dxa"/>
            <w:vAlign w:val="bottom"/>
          </w:tcPr>
          <w:p>
            <w:pPr>
              <w:spacing w:after="0"/>
              <w:rPr>
                <w:sz w:val="10"/>
                <w:szCs w:val="10"/>
                <w:color w:val="auto"/>
              </w:rPr>
            </w:pPr>
          </w:p>
        </w:tc>
      </w:tr>
      <w:tr>
        <w:trPr>
          <w:trHeight w:val="169"/>
        </w:trPr>
        <w:tc>
          <w:tcPr>
            <w:tcW w:w="7380" w:type="dxa"/>
            <w:vAlign w:val="bottom"/>
          </w:tcPr>
          <w:p>
            <w:pPr>
              <w:spacing w:after="0"/>
              <w:rPr>
                <w:sz w:val="20"/>
                <w:szCs w:val="20"/>
                <w:color w:val="auto"/>
              </w:rPr>
            </w:pPr>
            <w:r>
              <w:rPr>
                <w:rFonts w:ascii="Arial" w:cs="Arial" w:eastAsia="Arial" w:hAnsi="Arial"/>
                <w:sz w:val="12"/>
                <w:szCs w:val="12"/>
                <w:b w:val="1"/>
                <w:bCs w:val="1"/>
                <w:color w:val="auto"/>
              </w:rPr>
              <w:t>Revenue:</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59"/>
        </w:trPr>
        <w:tc>
          <w:tcPr>
            <w:tcW w:w="7380" w:type="dxa"/>
            <w:vAlign w:val="bottom"/>
          </w:tcPr>
          <w:p>
            <w:pPr>
              <w:ind w:left="160"/>
              <w:spacing w:after="0"/>
              <w:rPr>
                <w:sz w:val="20"/>
                <w:szCs w:val="20"/>
                <w:color w:val="auto"/>
              </w:rPr>
            </w:pPr>
            <w:r>
              <w:rPr>
                <w:rFonts w:ascii="Arial" w:cs="Arial" w:eastAsia="Arial" w:hAnsi="Arial"/>
                <w:sz w:val="12"/>
                <w:szCs w:val="12"/>
                <w:color w:val="auto"/>
              </w:rPr>
              <w:t>Linear distribution</w:t>
            </w:r>
          </w:p>
        </w:tc>
        <w:tc>
          <w:tcPr>
            <w:tcW w:w="780" w:type="dxa"/>
            <w:vAlign w:val="bottom"/>
          </w:tcPr>
          <w:p>
            <w:pPr>
              <w:jc w:val="right"/>
              <w:ind w:right="621"/>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20"/>
              <w:spacing w:after="0"/>
              <w:rPr>
                <w:sz w:val="20"/>
                <w:szCs w:val="20"/>
                <w:color w:val="auto"/>
              </w:rPr>
            </w:pPr>
            <w:r>
              <w:rPr>
                <w:rFonts w:ascii="Arial" w:cs="Arial" w:eastAsia="Arial" w:hAnsi="Arial"/>
                <w:sz w:val="12"/>
                <w:szCs w:val="12"/>
                <w:color w:val="auto"/>
              </w:rPr>
              <w:t>4,092</w:t>
            </w:r>
          </w:p>
        </w:tc>
        <w:tc>
          <w:tcPr>
            <w:tcW w:w="3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362"/>
              <w:spacing w:after="0"/>
              <w:rPr>
                <w:sz w:val="20"/>
                <w:szCs w:val="20"/>
                <w:color w:val="auto"/>
              </w:rPr>
            </w:pPr>
            <w:r>
              <w:rPr>
                <w:rFonts w:ascii="Arial" w:cs="Arial" w:eastAsia="Arial" w:hAnsi="Arial"/>
                <w:sz w:val="12"/>
                <w:szCs w:val="12"/>
                <w:color w:val="auto"/>
              </w:rPr>
              <w:t>4,325</w:t>
            </w:r>
          </w:p>
        </w:tc>
        <w:tc>
          <w:tcPr>
            <w:tcW w:w="1060" w:type="dxa"/>
            <w:vAlign w:val="bottom"/>
          </w:tcPr>
          <w:p>
            <w:pPr>
              <w:jc w:val="right"/>
              <w:spacing w:after="0"/>
              <w:rPr>
                <w:sz w:val="20"/>
                <w:szCs w:val="20"/>
                <w:color w:val="auto"/>
              </w:rPr>
            </w:pPr>
            <w:r>
              <w:rPr>
                <w:rFonts w:ascii="Arial" w:cs="Arial" w:eastAsia="Arial" w:hAnsi="Arial"/>
                <w:sz w:val="12"/>
                <w:szCs w:val="12"/>
                <w:color w:val="auto"/>
              </w:rPr>
              <w:t>(5.4)%</w:t>
            </w:r>
          </w:p>
        </w:tc>
      </w:tr>
      <w:tr>
        <w:trPr>
          <w:trHeight w:val="162"/>
        </w:trPr>
        <w:tc>
          <w:tcPr>
            <w:tcW w:w="7380" w:type="dxa"/>
            <w:vAlign w:val="bottom"/>
          </w:tcPr>
          <w:p>
            <w:pPr>
              <w:ind w:left="160"/>
              <w:spacing w:after="0"/>
              <w:rPr>
                <w:sz w:val="20"/>
                <w:szCs w:val="20"/>
                <w:color w:val="auto"/>
              </w:rPr>
            </w:pPr>
            <w:r>
              <w:rPr>
                <w:rFonts w:ascii="Arial" w:cs="Arial" w:eastAsia="Arial" w:hAnsi="Arial"/>
                <w:sz w:val="12"/>
                <w:szCs w:val="12"/>
                <w:color w:val="auto"/>
              </w:rPr>
              <w:t>Advertising</w:t>
            </w:r>
          </w:p>
        </w:tc>
        <w:tc>
          <w:tcPr>
            <w:tcW w:w="780" w:type="dxa"/>
            <w:vAlign w:val="bottom"/>
          </w:tcPr>
          <w:p>
            <w:pPr>
              <w:spacing w:after="0"/>
              <w:rPr>
                <w:sz w:val="14"/>
                <w:szCs w:val="14"/>
                <w:color w:val="auto"/>
              </w:rPr>
            </w:pPr>
          </w:p>
        </w:tc>
        <w:tc>
          <w:tcPr>
            <w:tcW w:w="440" w:type="dxa"/>
            <w:vAlign w:val="bottom"/>
          </w:tcPr>
          <w:p>
            <w:pPr>
              <w:jc w:val="right"/>
              <w:ind w:right="20"/>
              <w:spacing w:after="0"/>
              <w:rPr>
                <w:sz w:val="20"/>
                <w:szCs w:val="20"/>
                <w:color w:val="auto"/>
              </w:rPr>
            </w:pPr>
            <w:r>
              <w:rPr>
                <w:rFonts w:ascii="Arial" w:cs="Arial" w:eastAsia="Arial" w:hAnsi="Arial"/>
                <w:sz w:val="12"/>
                <w:szCs w:val="12"/>
                <w:color w:val="auto"/>
              </w:rPr>
              <w:t>1,577</w:t>
            </w:r>
          </w:p>
        </w:tc>
        <w:tc>
          <w:tcPr>
            <w:tcW w:w="320" w:type="dxa"/>
            <w:vAlign w:val="bottom"/>
          </w:tcPr>
          <w:p>
            <w:pPr>
              <w:spacing w:after="0"/>
              <w:rPr>
                <w:sz w:val="14"/>
                <w:szCs w:val="14"/>
                <w:color w:val="auto"/>
              </w:rPr>
            </w:pPr>
          </w:p>
        </w:tc>
        <w:tc>
          <w:tcPr>
            <w:tcW w:w="1300" w:type="dxa"/>
            <w:vAlign w:val="bottom"/>
          </w:tcPr>
          <w:p>
            <w:pPr>
              <w:jc w:val="right"/>
              <w:ind w:right="362"/>
              <w:spacing w:after="0"/>
              <w:rPr>
                <w:sz w:val="20"/>
                <w:szCs w:val="20"/>
                <w:color w:val="auto"/>
              </w:rPr>
            </w:pPr>
            <w:r>
              <w:rPr>
                <w:rFonts w:ascii="Arial" w:cs="Arial" w:eastAsia="Arial" w:hAnsi="Arial"/>
                <w:sz w:val="12"/>
                <w:szCs w:val="12"/>
                <w:color w:val="auto"/>
              </w:rPr>
              <w:t>1,731</w:t>
            </w:r>
          </w:p>
        </w:tc>
        <w:tc>
          <w:tcPr>
            <w:tcW w:w="1060" w:type="dxa"/>
            <w:vAlign w:val="bottom"/>
          </w:tcPr>
          <w:p>
            <w:pPr>
              <w:jc w:val="right"/>
              <w:spacing w:after="0"/>
              <w:rPr>
                <w:sz w:val="20"/>
                <w:szCs w:val="20"/>
                <w:color w:val="auto"/>
              </w:rPr>
            </w:pPr>
            <w:r>
              <w:rPr>
                <w:rFonts w:ascii="Arial" w:cs="Arial" w:eastAsia="Arial" w:hAnsi="Arial"/>
                <w:sz w:val="12"/>
                <w:szCs w:val="12"/>
                <w:color w:val="auto"/>
              </w:rPr>
              <w:t>(8.9)%</w:t>
            </w:r>
          </w:p>
        </w:tc>
      </w:tr>
      <w:tr>
        <w:trPr>
          <w:trHeight w:val="162"/>
        </w:trPr>
        <w:tc>
          <w:tcPr>
            <w:tcW w:w="7380" w:type="dxa"/>
            <w:vAlign w:val="bottom"/>
          </w:tcPr>
          <w:p>
            <w:pPr>
              <w:ind w:left="160"/>
              <w:spacing w:after="0"/>
              <w:rPr>
                <w:sz w:val="20"/>
                <w:szCs w:val="20"/>
                <w:color w:val="auto"/>
              </w:rPr>
            </w:pPr>
            <w:r>
              <w:rPr>
                <w:rFonts w:ascii="Arial" w:cs="Arial" w:eastAsia="Arial" w:hAnsi="Arial"/>
                <w:sz w:val="12"/>
                <w:szCs w:val="12"/>
                <w:color w:val="auto"/>
              </w:rPr>
              <w:t>Platforms</w:t>
            </w:r>
          </w:p>
        </w:tc>
        <w:tc>
          <w:tcPr>
            <w:tcW w:w="780" w:type="dxa"/>
            <w:vAlign w:val="bottom"/>
          </w:tcPr>
          <w:p>
            <w:pPr>
              <w:spacing w:after="0"/>
              <w:rPr>
                <w:sz w:val="14"/>
                <w:szCs w:val="14"/>
                <w:color w:val="auto"/>
              </w:rPr>
            </w:pPr>
          </w:p>
        </w:tc>
        <w:tc>
          <w:tcPr>
            <w:tcW w:w="440" w:type="dxa"/>
            <w:vAlign w:val="bottom"/>
          </w:tcPr>
          <w:p>
            <w:pPr>
              <w:jc w:val="right"/>
              <w:ind w:right="20"/>
              <w:spacing w:after="0"/>
              <w:rPr>
                <w:sz w:val="20"/>
                <w:szCs w:val="20"/>
                <w:color w:val="auto"/>
              </w:rPr>
            </w:pPr>
            <w:r>
              <w:rPr>
                <w:rFonts w:ascii="Arial" w:cs="Arial" w:eastAsia="Arial" w:hAnsi="Arial"/>
                <w:sz w:val="12"/>
                <w:szCs w:val="12"/>
                <w:color w:val="auto"/>
              </w:rPr>
              <w:t>826</w:t>
            </w:r>
          </w:p>
        </w:tc>
        <w:tc>
          <w:tcPr>
            <w:tcW w:w="320" w:type="dxa"/>
            <w:vAlign w:val="bottom"/>
          </w:tcPr>
          <w:p>
            <w:pPr>
              <w:spacing w:after="0"/>
              <w:rPr>
                <w:sz w:val="14"/>
                <w:szCs w:val="14"/>
                <w:color w:val="auto"/>
              </w:rPr>
            </w:pPr>
          </w:p>
        </w:tc>
        <w:tc>
          <w:tcPr>
            <w:tcW w:w="1300" w:type="dxa"/>
            <w:vAlign w:val="bottom"/>
          </w:tcPr>
          <w:p>
            <w:pPr>
              <w:jc w:val="right"/>
              <w:ind w:right="362"/>
              <w:spacing w:after="0"/>
              <w:rPr>
                <w:sz w:val="20"/>
                <w:szCs w:val="20"/>
                <w:color w:val="auto"/>
              </w:rPr>
            </w:pPr>
            <w:r>
              <w:rPr>
                <w:rFonts w:ascii="Arial" w:cs="Arial" w:eastAsia="Arial" w:hAnsi="Arial"/>
                <w:sz w:val="12"/>
                <w:szCs w:val="12"/>
                <w:color w:val="auto"/>
              </w:rPr>
              <w:t>795</w:t>
            </w:r>
          </w:p>
        </w:tc>
        <w:tc>
          <w:tcPr>
            <w:tcW w:w="1060" w:type="dxa"/>
            <w:vAlign w:val="bottom"/>
          </w:tcPr>
          <w:p>
            <w:pPr>
              <w:jc w:val="right"/>
              <w:spacing w:after="0"/>
              <w:rPr>
                <w:sz w:val="20"/>
                <w:szCs w:val="20"/>
                <w:color w:val="auto"/>
              </w:rPr>
            </w:pPr>
            <w:r>
              <w:rPr>
                <w:rFonts w:ascii="Arial" w:cs="Arial" w:eastAsia="Arial" w:hAnsi="Arial"/>
                <w:sz w:val="12"/>
                <w:szCs w:val="12"/>
                <w:color w:val="auto"/>
              </w:rPr>
              <w:t>3.9 %</w:t>
            </w:r>
          </w:p>
        </w:tc>
      </w:tr>
      <w:tr>
        <w:trPr>
          <w:trHeight w:val="162"/>
        </w:trPr>
        <w:tc>
          <w:tcPr>
            <w:tcW w:w="7380" w:type="dxa"/>
            <w:vAlign w:val="bottom"/>
          </w:tcPr>
          <w:p>
            <w:pPr>
              <w:ind w:left="160"/>
              <w:spacing w:after="0"/>
              <w:rPr>
                <w:sz w:val="20"/>
                <w:szCs w:val="20"/>
                <w:color w:val="auto"/>
              </w:rPr>
            </w:pPr>
            <w:r>
              <w:rPr>
                <w:rFonts w:ascii="Arial" w:cs="Arial" w:eastAsia="Arial" w:hAnsi="Arial"/>
                <w:sz w:val="12"/>
                <w:szCs w:val="12"/>
                <w:color w:val="auto"/>
              </w:rPr>
              <w:t>Content licensing and other</w:t>
            </w:r>
          </w:p>
        </w:tc>
        <w:tc>
          <w:tcPr>
            <w:tcW w:w="780" w:type="dxa"/>
            <w:vAlign w:val="bottom"/>
          </w:tcPr>
          <w:p>
            <w:pPr>
              <w:spacing w:after="0"/>
              <w:rPr>
                <w:sz w:val="14"/>
                <w:szCs w:val="14"/>
                <w:color w:val="auto"/>
              </w:rPr>
            </w:pPr>
          </w:p>
        </w:tc>
        <w:tc>
          <w:tcPr>
            <w:tcW w:w="440" w:type="dxa"/>
            <w:vAlign w:val="bottom"/>
          </w:tcPr>
          <w:p>
            <w:pPr>
              <w:jc w:val="right"/>
              <w:ind w:right="20"/>
              <w:spacing w:after="0"/>
              <w:rPr>
                <w:sz w:val="20"/>
                <w:szCs w:val="20"/>
                <w:color w:val="auto"/>
              </w:rPr>
            </w:pPr>
            <w:r>
              <w:rPr>
                <w:rFonts w:ascii="Arial" w:cs="Arial" w:eastAsia="Arial" w:hAnsi="Arial"/>
                <w:sz w:val="12"/>
                <w:szCs w:val="12"/>
                <w:color w:val="auto"/>
              </w:rPr>
              <w:t>193</w:t>
            </w:r>
          </w:p>
        </w:tc>
        <w:tc>
          <w:tcPr>
            <w:tcW w:w="320" w:type="dxa"/>
            <w:vAlign w:val="bottom"/>
          </w:tcPr>
          <w:p>
            <w:pPr>
              <w:spacing w:after="0"/>
              <w:rPr>
                <w:sz w:val="14"/>
                <w:szCs w:val="14"/>
                <w:color w:val="auto"/>
              </w:rPr>
            </w:pPr>
          </w:p>
        </w:tc>
        <w:tc>
          <w:tcPr>
            <w:tcW w:w="1300" w:type="dxa"/>
            <w:vAlign w:val="bottom"/>
          </w:tcPr>
          <w:p>
            <w:pPr>
              <w:jc w:val="right"/>
              <w:ind w:right="362"/>
              <w:spacing w:after="0"/>
              <w:rPr>
                <w:sz w:val="20"/>
                <w:szCs w:val="20"/>
                <w:color w:val="auto"/>
              </w:rPr>
            </w:pPr>
            <w:r>
              <w:rPr>
                <w:rFonts w:ascii="Arial" w:cs="Arial" w:eastAsia="Arial" w:hAnsi="Arial"/>
                <w:sz w:val="12"/>
                <w:szCs w:val="12"/>
                <w:color w:val="auto"/>
              </w:rPr>
              <w:t>211</w:t>
            </w:r>
          </w:p>
        </w:tc>
        <w:tc>
          <w:tcPr>
            <w:tcW w:w="1060" w:type="dxa"/>
            <w:vAlign w:val="bottom"/>
          </w:tcPr>
          <w:p>
            <w:pPr>
              <w:jc w:val="right"/>
              <w:spacing w:after="0"/>
              <w:rPr>
                <w:sz w:val="20"/>
                <w:szCs w:val="20"/>
                <w:color w:val="auto"/>
              </w:rPr>
            </w:pPr>
            <w:r>
              <w:rPr>
                <w:rFonts w:ascii="Arial" w:cs="Arial" w:eastAsia="Arial" w:hAnsi="Arial"/>
                <w:sz w:val="12"/>
                <w:szCs w:val="12"/>
                <w:color w:val="auto"/>
              </w:rPr>
              <w:t>(8.5)%</w:t>
            </w:r>
          </w:p>
        </w:tc>
      </w:tr>
      <w:tr>
        <w:trPr>
          <w:trHeight w:val="162"/>
        </w:trPr>
        <w:tc>
          <w:tcPr>
            <w:tcW w:w="7380" w:type="dxa"/>
            <w:vAlign w:val="bottom"/>
          </w:tcPr>
          <w:p>
            <w:pPr>
              <w:spacing w:after="0"/>
              <w:rPr>
                <w:sz w:val="20"/>
                <w:szCs w:val="20"/>
                <w:color w:val="auto"/>
              </w:rPr>
            </w:pPr>
            <w:r>
              <w:rPr>
                <w:rFonts w:ascii="Arial" w:cs="Arial" w:eastAsia="Arial" w:hAnsi="Arial"/>
                <w:sz w:val="12"/>
                <w:szCs w:val="12"/>
                <w:color w:val="auto"/>
              </w:rPr>
              <w:t>Total revenue</w:t>
            </w:r>
          </w:p>
        </w:tc>
        <w:tc>
          <w:tcPr>
            <w:tcW w:w="780" w:type="dxa"/>
            <w:vAlign w:val="bottom"/>
          </w:tcPr>
          <w:p>
            <w:pPr>
              <w:jc w:val="right"/>
              <w:ind w:right="621"/>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20"/>
              <w:spacing w:after="0"/>
              <w:rPr>
                <w:sz w:val="20"/>
                <w:szCs w:val="20"/>
                <w:color w:val="auto"/>
              </w:rPr>
            </w:pPr>
            <w:r>
              <w:rPr>
                <w:rFonts w:ascii="Arial" w:cs="Arial" w:eastAsia="Arial" w:hAnsi="Arial"/>
                <w:sz w:val="12"/>
                <w:szCs w:val="12"/>
                <w:color w:val="auto"/>
              </w:rPr>
              <w:t>6,688</w:t>
            </w:r>
          </w:p>
        </w:tc>
        <w:tc>
          <w:tcPr>
            <w:tcW w:w="3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362"/>
              <w:spacing w:after="0"/>
              <w:rPr>
                <w:sz w:val="20"/>
                <w:szCs w:val="20"/>
                <w:color w:val="auto"/>
              </w:rPr>
            </w:pPr>
            <w:r>
              <w:rPr>
                <w:rFonts w:ascii="Arial" w:cs="Arial" w:eastAsia="Arial" w:hAnsi="Arial"/>
                <w:sz w:val="12"/>
                <w:szCs w:val="12"/>
                <w:color w:val="auto"/>
              </w:rPr>
              <w:t>7,062</w:t>
            </w:r>
          </w:p>
        </w:tc>
        <w:tc>
          <w:tcPr>
            <w:tcW w:w="1060" w:type="dxa"/>
            <w:vAlign w:val="bottom"/>
          </w:tcPr>
          <w:p>
            <w:pPr>
              <w:jc w:val="right"/>
              <w:spacing w:after="0"/>
              <w:rPr>
                <w:sz w:val="20"/>
                <w:szCs w:val="20"/>
                <w:color w:val="auto"/>
              </w:rPr>
            </w:pPr>
            <w:r>
              <w:rPr>
                <w:rFonts w:ascii="Arial" w:cs="Arial" w:eastAsia="Arial" w:hAnsi="Arial"/>
                <w:sz w:val="12"/>
                <w:szCs w:val="12"/>
                <w:color w:val="auto"/>
              </w:rPr>
              <w:t>(5.3)%</w:t>
            </w:r>
          </w:p>
        </w:tc>
      </w:tr>
      <w:tr>
        <w:trPr>
          <w:trHeight w:val="162"/>
        </w:trPr>
        <w:tc>
          <w:tcPr>
            <w:tcW w:w="7380" w:type="dxa"/>
            <w:vAlign w:val="bottom"/>
          </w:tcPr>
          <w:p>
            <w:pPr>
              <w:ind w:left="20"/>
              <w:spacing w:after="0"/>
              <w:rPr>
                <w:sz w:val="20"/>
                <w:szCs w:val="20"/>
                <w:color w:val="auto"/>
              </w:rPr>
            </w:pPr>
            <w:r>
              <w:rPr>
                <w:rFonts w:ascii="Arial" w:cs="Arial" w:eastAsia="Arial" w:hAnsi="Arial"/>
                <w:sz w:val="12"/>
                <w:szCs w:val="12"/>
                <w:color w:val="auto"/>
              </w:rPr>
              <w:t>Net income attributable to Versant</w:t>
            </w:r>
          </w:p>
        </w:tc>
        <w:tc>
          <w:tcPr>
            <w:tcW w:w="780" w:type="dxa"/>
            <w:vAlign w:val="bottom"/>
          </w:tcPr>
          <w:p>
            <w:pPr>
              <w:jc w:val="right"/>
              <w:ind w:right="621"/>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930</w:t>
            </w:r>
          </w:p>
        </w:tc>
        <w:tc>
          <w:tcPr>
            <w:tcW w:w="3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362"/>
              <w:spacing w:after="0"/>
              <w:rPr>
                <w:sz w:val="20"/>
                <w:szCs w:val="20"/>
                <w:color w:val="auto"/>
              </w:rPr>
            </w:pPr>
            <w:r>
              <w:rPr>
                <w:rFonts w:ascii="Arial" w:cs="Arial" w:eastAsia="Arial" w:hAnsi="Arial"/>
                <w:sz w:val="12"/>
                <w:szCs w:val="12"/>
                <w:color w:val="auto"/>
              </w:rPr>
              <w:t>1,363</w:t>
            </w:r>
          </w:p>
        </w:tc>
        <w:tc>
          <w:tcPr>
            <w:tcW w:w="1060" w:type="dxa"/>
            <w:vAlign w:val="bottom"/>
          </w:tcPr>
          <w:p>
            <w:pPr>
              <w:jc w:val="right"/>
              <w:spacing w:after="0"/>
              <w:rPr>
                <w:sz w:val="20"/>
                <w:szCs w:val="20"/>
                <w:color w:val="auto"/>
              </w:rPr>
            </w:pPr>
            <w:r>
              <w:rPr>
                <w:rFonts w:ascii="Arial" w:cs="Arial" w:eastAsia="Arial" w:hAnsi="Arial"/>
                <w:sz w:val="12"/>
                <w:szCs w:val="12"/>
                <w:color w:val="auto"/>
              </w:rPr>
              <w:t>(31.8)%</w:t>
            </w:r>
          </w:p>
        </w:tc>
      </w:tr>
      <w:tr>
        <w:trPr>
          <w:trHeight w:val="164"/>
        </w:trPr>
        <w:tc>
          <w:tcPr>
            <w:tcW w:w="7380" w:type="dxa"/>
            <w:vAlign w:val="bottom"/>
          </w:tcPr>
          <w:p>
            <w:pPr>
              <w:ind w:left="20"/>
              <w:spacing w:after="0" w:line="164" w:lineRule="exact"/>
              <w:rPr>
                <w:sz w:val="20"/>
                <w:szCs w:val="20"/>
                <w:color w:val="auto"/>
              </w:rPr>
            </w:pPr>
            <w:r>
              <w:rPr>
                <w:rFonts w:ascii="Arial" w:cs="Arial" w:eastAsia="Arial" w:hAnsi="Arial"/>
                <w:sz w:val="12"/>
                <w:szCs w:val="12"/>
                <w:color w:val="auto"/>
              </w:rPr>
              <w:t>Adjusted EBITDA</w:t>
            </w:r>
            <w:r>
              <w:rPr>
                <w:rFonts w:ascii="Arial" w:cs="Arial" w:eastAsia="Arial" w:hAnsi="Arial"/>
                <w:sz w:val="15"/>
                <w:szCs w:val="15"/>
                <w:color w:val="auto"/>
                <w:vertAlign w:val="superscript"/>
              </w:rPr>
              <w:t>1</w:t>
            </w:r>
          </w:p>
        </w:tc>
        <w:tc>
          <w:tcPr>
            <w:tcW w:w="780" w:type="dxa"/>
            <w:vAlign w:val="bottom"/>
          </w:tcPr>
          <w:p>
            <w:pPr>
              <w:jc w:val="right"/>
              <w:ind w:right="621"/>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2,425</w:t>
            </w:r>
          </w:p>
        </w:tc>
        <w:tc>
          <w:tcPr>
            <w:tcW w:w="3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362"/>
              <w:spacing w:after="0"/>
              <w:rPr>
                <w:sz w:val="20"/>
                <w:szCs w:val="20"/>
                <w:color w:val="auto"/>
              </w:rPr>
            </w:pPr>
            <w:r>
              <w:rPr>
                <w:rFonts w:ascii="Arial" w:cs="Arial" w:eastAsia="Arial" w:hAnsi="Arial"/>
                <w:sz w:val="12"/>
                <w:szCs w:val="12"/>
                <w:color w:val="auto"/>
              </w:rPr>
              <w:t>2,837</w:t>
            </w:r>
          </w:p>
        </w:tc>
        <w:tc>
          <w:tcPr>
            <w:tcW w:w="1060" w:type="dxa"/>
            <w:vAlign w:val="bottom"/>
          </w:tcPr>
          <w:p>
            <w:pPr>
              <w:jc w:val="right"/>
              <w:spacing w:after="0"/>
              <w:rPr>
                <w:sz w:val="20"/>
                <w:szCs w:val="20"/>
                <w:color w:val="auto"/>
              </w:rPr>
            </w:pPr>
            <w:r>
              <w:rPr>
                <w:rFonts w:ascii="Arial" w:cs="Arial" w:eastAsia="Arial" w:hAnsi="Arial"/>
                <w:sz w:val="12"/>
                <w:szCs w:val="12"/>
                <w:color w:val="auto"/>
              </w:rPr>
              <w:t>(14.5)%</w:t>
            </w:r>
          </w:p>
        </w:tc>
      </w:tr>
      <w:tr>
        <w:trPr>
          <w:trHeight w:val="206"/>
        </w:trPr>
        <w:tc>
          <w:tcPr>
            <w:tcW w:w="7380" w:type="dxa"/>
            <w:vAlign w:val="bottom"/>
          </w:tcPr>
          <w:p>
            <w:pPr>
              <w:ind w:left="20"/>
              <w:spacing w:after="0"/>
              <w:rPr>
                <w:sz w:val="20"/>
                <w:szCs w:val="20"/>
                <w:color w:val="auto"/>
              </w:rPr>
            </w:pPr>
            <w:r>
              <w:rPr>
                <w:rFonts w:ascii="Arial" w:cs="Arial" w:eastAsia="Arial" w:hAnsi="Arial"/>
                <w:sz w:val="12"/>
                <w:szCs w:val="12"/>
                <w:color w:val="auto"/>
              </w:rPr>
              <w:t>Standalone Adjusted EBITDA</w:t>
            </w:r>
            <w:r>
              <w:rPr>
                <w:rFonts w:ascii="Arial" w:cs="Arial" w:eastAsia="Arial" w:hAnsi="Arial"/>
                <w:sz w:val="15"/>
                <w:szCs w:val="15"/>
                <w:color w:val="auto"/>
                <w:vertAlign w:val="superscript"/>
              </w:rPr>
              <w:t>1</w:t>
            </w:r>
          </w:p>
        </w:tc>
        <w:tc>
          <w:tcPr>
            <w:tcW w:w="780" w:type="dxa"/>
            <w:vAlign w:val="bottom"/>
          </w:tcPr>
          <w:p>
            <w:pPr>
              <w:jc w:val="right"/>
              <w:ind w:right="621"/>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2,180</w:t>
            </w:r>
          </w:p>
        </w:tc>
        <w:tc>
          <w:tcPr>
            <w:tcW w:w="3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362"/>
              <w:spacing w:after="0"/>
              <w:rPr>
                <w:sz w:val="20"/>
                <w:szCs w:val="20"/>
                <w:color w:val="auto"/>
              </w:rPr>
            </w:pPr>
            <w:r>
              <w:rPr>
                <w:rFonts w:ascii="Arial" w:cs="Arial" w:eastAsia="Arial" w:hAnsi="Arial"/>
                <w:sz w:val="12"/>
                <w:szCs w:val="12"/>
                <w:color w:val="auto"/>
              </w:rPr>
              <w:t>2,399</w:t>
            </w:r>
          </w:p>
        </w:tc>
        <w:tc>
          <w:tcPr>
            <w:tcW w:w="1060" w:type="dxa"/>
            <w:vAlign w:val="bottom"/>
          </w:tcPr>
          <w:p>
            <w:pPr>
              <w:jc w:val="right"/>
              <w:spacing w:after="0"/>
              <w:rPr>
                <w:sz w:val="20"/>
                <w:szCs w:val="20"/>
                <w:color w:val="auto"/>
              </w:rPr>
            </w:pPr>
            <w:r>
              <w:rPr>
                <w:rFonts w:ascii="Arial" w:cs="Arial" w:eastAsia="Arial" w:hAnsi="Arial"/>
                <w:sz w:val="12"/>
                <w:szCs w:val="12"/>
                <w:color w:val="auto"/>
              </w:rPr>
              <w:t>(9.1)%</w:t>
            </w:r>
          </w:p>
        </w:tc>
      </w:tr>
    </w:tbl>
    <w:p>
      <w:pPr>
        <w:ind w:left="8"/>
        <w:spacing w:after="0"/>
        <w:rPr>
          <w:sz w:val="20"/>
          <w:szCs w:val="20"/>
          <w:color w:val="auto"/>
        </w:rPr>
      </w:pPr>
      <w:r>
        <w:rPr>
          <w:rFonts w:ascii="Times New Roman" w:cs="Times New Roman" w:eastAsia="Times New Roman" w:hAnsi="Times New Roman"/>
          <w:sz w:val="7"/>
          <w:szCs w:val="7"/>
          <w:color w:val="auto"/>
        </w:rPr>
        <w:t>_____________________________________</w:t>
      </w:r>
    </w:p>
    <w:p>
      <w:pPr>
        <w:spacing w:after="0" w:line="5" w:lineRule="exact"/>
        <w:rPr>
          <w:sz w:val="20"/>
          <w:szCs w:val="20"/>
          <w:color w:val="auto"/>
        </w:rPr>
      </w:pPr>
    </w:p>
    <w:p>
      <w:pPr>
        <w:ind w:left="68" w:hanging="68"/>
        <w:spacing w:after="0"/>
        <w:tabs>
          <w:tab w:leader="none" w:pos="68" w:val="left"/>
        </w:tabs>
        <w:numPr>
          <w:ilvl w:val="0"/>
          <w:numId w:val="4"/>
        </w:numPr>
        <w:rPr>
          <w:rFonts w:ascii="Times New Roman" w:cs="Times New Roman" w:eastAsia="Times New Roman" w:hAnsi="Times New Roman"/>
          <w:sz w:val="16"/>
          <w:szCs w:val="16"/>
          <w:color w:val="auto"/>
          <w:vertAlign w:val="superscript"/>
        </w:rPr>
      </w:pPr>
      <w:r>
        <w:rPr>
          <w:rFonts w:ascii="Arial" w:cs="Arial" w:eastAsia="Arial" w:hAnsi="Arial"/>
          <w:sz w:val="10"/>
          <w:szCs w:val="10"/>
          <w:color w:val="auto"/>
        </w:rPr>
        <w:t>Adjusted EBITDA and Standalone Adjusted EBITDA presented in this release are non-GAAP financial measures. Further information and reconciliations to the most comparable GAAP measures can be found under Table 4 below.</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Basis of Presentation</w:t>
      </w:r>
    </w:p>
    <w:p>
      <w:pPr>
        <w:spacing w:after="0" w:line="114" w:lineRule="exact"/>
        <w:rPr>
          <w:sz w:val="20"/>
          <w:szCs w:val="20"/>
          <w:color w:val="auto"/>
        </w:rPr>
      </w:pPr>
    </w:p>
    <w:p>
      <w:pPr>
        <w:ind w:left="8" w:right="80"/>
        <w:spacing w:after="0" w:line="268" w:lineRule="auto"/>
        <w:rPr>
          <w:sz w:val="20"/>
          <w:szCs w:val="20"/>
          <w:color w:val="auto"/>
        </w:rPr>
      </w:pPr>
      <w:r>
        <w:rPr>
          <w:rFonts w:ascii="Arial" w:cs="Arial" w:eastAsia="Arial" w:hAnsi="Arial"/>
          <w:sz w:val="12"/>
          <w:szCs w:val="12"/>
          <w:color w:val="auto"/>
        </w:rPr>
        <w:t>For the periods presented in the combined financial statements included in this report, the Versant businesses were operated as part of Comcast’s Media segment. The combined financial statements have been derived from Comcast’s historical accounting records as if Versant operations had been conducted independently from Comcast, and reflect our assets, liabilities, revenues and expenses on a historical cost basis. The combined financial statements were prepared on a standalone basis in accordance with GAAP and pursuant to the rules and regulations of the SEC.</w:t>
      </w:r>
    </w:p>
    <w:p>
      <w:pPr>
        <w:sectPr>
          <w:pgSz w:w="11900" w:h="16838" w:orient="portrait"/>
          <w:cols w:equalWidth="0" w:num="1">
            <w:col w:w="11308"/>
          </w:cols>
          <w:pgMar w:left="292" w:top="991" w:right="299" w:bottom="1440" w:gutter="0" w:footer="0" w:header="0"/>
        </w:sectPr>
      </w:pPr>
    </w:p>
    <w:bookmarkStart w:id="5" w:name="page6"/>
    <w:bookmarkEnd w:id="5"/>
    <w:p>
      <w:pPr>
        <w:spacing w:after="0" w:line="268" w:lineRule="auto"/>
        <w:rPr>
          <w:sz w:val="20"/>
          <w:szCs w:val="20"/>
          <w:color w:val="auto"/>
        </w:rPr>
      </w:pPr>
      <w:r>
        <w:rPr>
          <w:rFonts w:ascii="Arial" w:cs="Arial" w:eastAsia="Arial" w:hAnsi="Arial"/>
          <w:sz w:val="12"/>
          <w:szCs w:val="12"/>
          <w:color w:val="auto"/>
        </w:rPr>
        <w:t>The historical financial statements were prepared using allocations and carve-out methodologies through December 31, 2025, using assumptions that management believes are reasonable. Accordingly, the combined financial statements herein for periods prior to the separation from Comcast may not be indicative of our future performance, do not necessarily include the actual expenses that would have been incurred by us, and may not reflect our results of operations, financial position, and cash flows had we been a separate, standalone company during the historical periods presented.</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 and Share Repurchase Announcement</w:t>
      </w:r>
    </w:p>
    <w:p>
      <w:pPr>
        <w:spacing w:after="0" w:line="114" w:lineRule="exact"/>
        <w:rPr>
          <w:sz w:val="20"/>
          <w:szCs w:val="20"/>
          <w:color w:val="auto"/>
        </w:rPr>
      </w:pPr>
    </w:p>
    <w:p>
      <w:pPr>
        <w:ind w:right="280"/>
        <w:spacing w:after="0" w:line="286" w:lineRule="auto"/>
        <w:rPr>
          <w:sz w:val="20"/>
          <w:szCs w:val="20"/>
          <w:color w:val="auto"/>
        </w:rPr>
      </w:pPr>
      <w:r>
        <w:rPr>
          <w:rFonts w:ascii="Arial" w:cs="Arial" w:eastAsia="Arial" w:hAnsi="Arial"/>
          <w:sz w:val="12"/>
          <w:szCs w:val="12"/>
          <w:color w:val="auto"/>
        </w:rPr>
        <w:t>The Company announced that its Board of Directors has declared a quarterly cash dividend of $0.375 per share, representing an annualized dividend of $1.50 per share, subject to applicable board approvals, payable on April 22, 2026, to shareholders of record as of the close of business on April 1, 2026.</w:t>
      </w:r>
    </w:p>
    <w:p>
      <w:pPr>
        <w:spacing w:after="0" w:line="67"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The Company intends to pay quarterly cash dividends in the future, the declaration, timing, amount, and payment of which will be subject to review and approval by the Company’s Board of Directors in its sole discretion, taking into account such considerations as the Board may deem relevant at the time, including, among others, the Company’s financial results, financial and market conditions and the Company’s capital allocation plans.</w:t>
      </w:r>
    </w:p>
    <w:p>
      <w:pPr>
        <w:spacing w:after="0" w:line="78" w:lineRule="exact"/>
        <w:rPr>
          <w:sz w:val="20"/>
          <w:szCs w:val="20"/>
          <w:color w:val="auto"/>
        </w:rPr>
      </w:pPr>
    </w:p>
    <w:p>
      <w:pPr>
        <w:ind w:right="160"/>
        <w:spacing w:after="0" w:line="262" w:lineRule="auto"/>
        <w:rPr>
          <w:sz w:val="20"/>
          <w:szCs w:val="20"/>
          <w:color w:val="auto"/>
        </w:rPr>
      </w:pPr>
      <w:r>
        <w:rPr>
          <w:rFonts w:ascii="Arial" w:cs="Arial" w:eastAsia="Arial" w:hAnsi="Arial"/>
          <w:sz w:val="12"/>
          <w:szCs w:val="12"/>
          <w:color w:val="auto"/>
        </w:rPr>
        <w:t>The Company also announced that its Board authorized the Company to repurchase up to $1 billion of its outstanding common stock. This represents the Company’s first repurchase authorization. The repurchases could be executed from time to time, subject to general business and market conditions, other investment opportunities at the Company’s discretion as well as applicable legal requirements, through open market purchases, privately negotiated transactions, accelerated share repurchases as well as pursuant to Rule 10b5-1 plans. The repurchase authorization does not obligate the Company to acquire any particular number of common shares, and the program may be suspended, extended, modified or discontinued at any time.</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Conference Call and Other Information</w:t>
      </w:r>
    </w:p>
    <w:p>
      <w:pPr>
        <w:spacing w:after="0" w:line="114" w:lineRule="exact"/>
        <w:rPr>
          <w:sz w:val="20"/>
          <w:szCs w:val="20"/>
          <w:color w:val="auto"/>
        </w:rPr>
      </w:pPr>
    </w:p>
    <w:p>
      <w:pPr>
        <w:ind w:right="620"/>
        <w:spacing w:after="0" w:line="286" w:lineRule="auto"/>
        <w:rPr>
          <w:sz w:val="20"/>
          <w:szCs w:val="20"/>
          <w:color w:val="auto"/>
        </w:rPr>
      </w:pPr>
      <w:r>
        <w:rPr>
          <w:rFonts w:ascii="Arial" w:cs="Arial" w:eastAsia="Arial" w:hAnsi="Arial"/>
          <w:sz w:val="12"/>
          <w:szCs w:val="12"/>
          <w:color w:val="auto"/>
        </w:rPr>
        <w:t xml:space="preserve">The Company will host a conference call on March 3, 2026, at 8:00 a.m. ET. A live webcast of the call and related presentation materials will be available on the Company’s Investor Relations website at </w:t>
      </w:r>
      <w:r>
        <w:rPr>
          <w:rFonts w:ascii="Arial" w:cs="Arial" w:eastAsia="Arial" w:hAnsi="Arial"/>
          <w:sz w:val="12"/>
          <w:szCs w:val="12"/>
          <w:u w:val="single" w:color="auto"/>
          <w:color w:val="0E32E1"/>
        </w:rPr>
        <w:t>www.versantmedia.com/investors</w:t>
      </w:r>
      <w:r>
        <w:rPr>
          <w:rFonts w:ascii="Arial" w:cs="Arial" w:eastAsia="Arial" w:hAnsi="Arial"/>
          <w:sz w:val="12"/>
          <w:szCs w:val="12"/>
          <w:color w:val="000000"/>
        </w:rPr>
        <w:t>. Following the conference call, an audio replay will also be made available on the Investor Relations website.</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For additional information about Versant, including our SEC filings, please visit our Investor Relations website at </w:t>
      </w:r>
      <w:r>
        <w:rPr>
          <w:rFonts w:ascii="Arial" w:cs="Arial" w:eastAsia="Arial" w:hAnsi="Arial"/>
          <w:sz w:val="12"/>
          <w:szCs w:val="12"/>
          <w:u w:val="single" w:color="auto"/>
          <w:color w:val="0E32E1"/>
        </w:rPr>
        <w:t>www.versantmedia.com/investors</w:t>
      </w:r>
      <w:r>
        <w:rPr>
          <w:rFonts w:ascii="Arial" w:cs="Arial" w:eastAsia="Arial" w:hAnsi="Arial"/>
          <w:sz w:val="12"/>
          <w:szCs w:val="12"/>
          <w:color w:val="auto"/>
        </w:rPr>
        <w:t xml:space="preserve"> or our corporate website at </w:t>
      </w:r>
      <w:r>
        <w:rPr>
          <w:rFonts w:ascii="Arial" w:cs="Arial" w:eastAsia="Arial" w:hAnsi="Arial"/>
          <w:sz w:val="12"/>
          <w:szCs w:val="12"/>
          <w:u w:val="single" w:color="auto"/>
          <w:color w:val="0E32E1"/>
        </w:rPr>
        <w:t>www.versantmedia.com.</w:t>
      </w:r>
    </w:p>
    <w:p>
      <w:pPr>
        <w:sectPr>
          <w:pgSz w:w="11900" w:h="16838" w:orient="portrait"/>
          <w:cols w:equalWidth="0" w:num="1">
            <w:col w:w="11280"/>
          </w:cols>
          <w:pgMar w:left="300" w:top="1099" w:right="319"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Wylie Collins</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Natalie Candela</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color w:val="auto"/>
        </w:rPr>
        <w:t>Wylie.Collins@VersantMedia.com</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Natalie.Candela@VersantMedia.com</w:t>
      </w:r>
    </w:p>
    <w:p>
      <w:pPr>
        <w:spacing w:after="0" w:line="153" w:lineRule="exact"/>
        <w:rPr>
          <w:sz w:val="20"/>
          <w:szCs w:val="20"/>
          <w:color w:val="auto"/>
        </w:rPr>
      </w:pPr>
    </w:p>
    <w:p>
      <w:pPr>
        <w:sectPr>
          <w:pgSz w:w="11900" w:h="16838" w:orient="portrait"/>
          <w:cols w:equalWidth="0" w:num="2">
            <w:col w:w="5200" w:space="720"/>
            <w:col w:w="5360"/>
          </w:cols>
          <w:pgMar w:left="300" w:top="1099" w:right="31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Press Contacts: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Keith Cocozza</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Hollie Tracz</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Keith@VersantMedia.com</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Hollie.Tracz@VersantMedia.com</w:t>
      </w:r>
    </w:p>
    <w:p>
      <w:pPr>
        <w:sectPr>
          <w:pgSz w:w="11900" w:h="16838" w:orient="portrait"/>
          <w:cols w:equalWidth="0" w:num="2">
            <w:col w:w="5200" w:space="720"/>
            <w:col w:w="5360"/>
          </w:cols>
          <w:pgMar w:left="300" w:top="1099" w:right="31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2"/>
          <w:szCs w:val="12"/>
          <w:b w:val="1"/>
          <w:bCs w:val="1"/>
          <w:color w:val="auto"/>
        </w:rPr>
        <w:t>Caution Concerning Forward-Looking Statements</w:t>
      </w:r>
    </w:p>
    <w:p>
      <w:pPr>
        <w:spacing w:after="0" w:line="114"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This press release includes statements that may constitute forward-looking statements within the meaning of the Private Securities Litigation Reform Act of 1995, Section 27A of the Securities Act of 1933, and Section 21E of the Securities Exchange Act of 1934. In some cases, you can identify these statements by forward-looking words such as “may,” “might,” “would,” “will,” “should,” “could,” “expects,” “plans,” “intends,” “anticipates,” “believes,” “estimates,” “predicts,” “potential” “opportunity,” “strategy,” “future,” “goal,” “commit,” or “continue,” the negative of these terms and other comparable terminology. These statements are only predictions based on our current expectations and projections about future events and reflect our beliefs regarding such future events and do not represent historical facts or statements of current condition. In evaluating these statements, readers should consider various factors, including the risks and uncertainties we describe in the “Risk Factors” sections of our most recent Annual Report on Form 10-K, and other reports filed with the Securities and Exchange Commission (SEC). Factors that could cause our actual results to differ materially from these forward-looking statements include changes in and/or risks associated with: the competitive environment; consumer behavior; distribution agreements; the advertising market; our brands and reputation; consumer acceptance of our content; growth of our digital platforms; use and protection of our intellectual property; cyber-attacks or incidents, information or security breaches or technology disruptions; weak economic conditions; personnel; labor disputes; laws and regulations; network rebrands; adverse decisions in litigation or governmental investigations; investments and acquisitions; our separation from Comcast Corporation; obligations associated with being a public company; our indebtedness; and other risks described from time to time in reports and other documents we file with the SEC.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 The amount and timing of any dividends and share repurchases are subject to business, economic and other relevant factors.</w:t>
      </w:r>
    </w:p>
    <w:p>
      <w:pPr>
        <w:spacing w:after="0" w:line="2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Versant Media Group, Inc.</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Versant Media Group, Inc. (NASDAQ: VSNT) is an industry-changing media and entertainment business and home to trusted brands that shape culture, inform audiences, and build lasting connections. It operates</w:t>
      </w:r>
    </w:p>
    <w:p>
      <w:pPr>
        <w:spacing w:after="0" w:line="9" w:lineRule="exact"/>
        <w:rPr>
          <w:sz w:val="20"/>
          <w:szCs w:val="20"/>
          <w:color w:val="auto"/>
        </w:rPr>
      </w:pPr>
    </w:p>
    <w:p>
      <w:pPr>
        <w:ind w:right="100"/>
        <w:spacing w:after="0" w:line="250" w:lineRule="auto"/>
        <w:rPr>
          <w:sz w:val="20"/>
          <w:szCs w:val="20"/>
          <w:color w:val="auto"/>
        </w:rPr>
      </w:pPr>
      <w:r>
        <w:rPr>
          <w:rFonts w:ascii="Arial" w:cs="Arial" w:eastAsia="Arial" w:hAnsi="Arial"/>
          <w:sz w:val="12"/>
          <w:szCs w:val="12"/>
          <w:color w:val="auto"/>
        </w:rPr>
        <w:t xml:space="preserve">in four core markets: political news and opinion; business news and personal finance; golf and athletics participation; and sports and genre entertainment. These markets are served through a powerful portfolio of iconic and innovative brands, including MS NOW, CNBC, USA Network, Golf Channel, E!, SYFY and Oxygen, and complementary digital platforms Fandango, Rotten Tomatoes, GolfNow and GolfPass. Visit </w:t>
      </w:r>
      <w:r>
        <w:rPr>
          <w:rFonts w:ascii="Arial" w:cs="Arial" w:eastAsia="Arial" w:hAnsi="Arial"/>
          <w:sz w:val="12"/>
          <w:szCs w:val="12"/>
          <w:u w:val="single" w:color="auto"/>
          <w:color w:val="0E32E1"/>
        </w:rPr>
        <w:t>www.versantmedia.com</w:t>
      </w:r>
      <w:r>
        <w:rPr>
          <w:rFonts w:ascii="Arial" w:cs="Arial" w:eastAsia="Arial" w:hAnsi="Arial"/>
          <w:sz w:val="12"/>
          <w:szCs w:val="12"/>
          <w:color w:val="0E32E1"/>
        </w:rPr>
        <w:t xml:space="preserve"> </w:t>
      </w:r>
      <w:r>
        <w:rPr>
          <w:rFonts w:ascii="Arial" w:cs="Arial" w:eastAsia="Arial" w:hAnsi="Arial"/>
          <w:sz w:val="12"/>
          <w:szCs w:val="12"/>
          <w:color w:val="000000"/>
        </w:rPr>
        <w:t>for more information.</w:t>
      </w:r>
    </w:p>
    <w:p>
      <w:pPr>
        <w:sectPr>
          <w:pgSz w:w="11900" w:h="16838" w:orient="portrait"/>
          <w:cols w:equalWidth="0" w:num="1">
            <w:col w:w="11280"/>
          </w:cols>
          <w:pgMar w:left="300" w:top="1135" w:right="319" w:bottom="1440" w:gutter="0" w:footer="0" w:header="0"/>
        </w:sectPr>
      </w:pPr>
    </w:p>
    <w:bookmarkStart w:id="7" w:name="page8"/>
    <w:bookmarkEnd w:id="7"/>
    <w:p>
      <w:pPr>
        <w:ind w:left="20"/>
        <w:spacing w:after="0"/>
        <w:rPr>
          <w:sz w:val="20"/>
          <w:szCs w:val="20"/>
          <w:color w:val="auto"/>
        </w:rPr>
      </w:pPr>
      <w:r>
        <w:rPr>
          <w:rFonts w:ascii="Arial" w:cs="Arial" w:eastAsia="Arial" w:hAnsi="Arial"/>
          <w:sz w:val="12"/>
          <w:szCs w:val="12"/>
          <w:b w:val="1"/>
          <w:bCs w:val="1"/>
          <w:color w:val="auto"/>
        </w:rPr>
        <w:t>TABLE 1</w:t>
      </w:r>
    </w:p>
    <w:p>
      <w:pPr>
        <w:ind w:left="20"/>
        <w:spacing w:after="0" w:line="219" w:lineRule="auto"/>
        <w:rPr>
          <w:sz w:val="20"/>
          <w:szCs w:val="20"/>
          <w:color w:val="auto"/>
        </w:rPr>
      </w:pPr>
      <w:r>
        <w:rPr>
          <w:rFonts w:ascii="Arial" w:cs="Arial" w:eastAsia="Arial" w:hAnsi="Arial"/>
          <w:sz w:val="12"/>
          <w:szCs w:val="12"/>
          <w:b w:val="1"/>
          <w:bCs w:val="1"/>
          <w:color w:val="auto"/>
        </w:rPr>
        <w:t>Combined Statements of Income</w:t>
      </w:r>
    </w:p>
    <w:p>
      <w:pPr>
        <w:ind w:left="20"/>
        <w:spacing w:after="0"/>
        <w:rPr>
          <w:sz w:val="20"/>
          <w:szCs w:val="20"/>
          <w:color w:val="auto"/>
        </w:rPr>
      </w:pPr>
      <w:r>
        <w:rPr>
          <w:rFonts w:ascii="Arial" w:cs="Arial" w:eastAsia="Arial" w:hAnsi="Arial"/>
          <w:sz w:val="12"/>
          <w:szCs w:val="12"/>
          <w:b w:val="1"/>
          <w:bCs w:val="1"/>
          <w:color w:val="auto"/>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83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1"/>
                <w:szCs w:val="11"/>
                <w:b w:val="1"/>
                <w:bCs w:val="1"/>
                <w:color w:val="auto"/>
              </w:rPr>
              <w:t>Year Ended December 31,</w:t>
            </w:r>
          </w:p>
        </w:tc>
        <w:tc>
          <w:tcPr>
            <w:tcW w:w="0" w:type="dxa"/>
            <w:vAlign w:val="bottom"/>
          </w:tcPr>
          <w:p>
            <w:pPr>
              <w:spacing w:after="0"/>
              <w:rPr>
                <w:sz w:val="1"/>
                <w:szCs w:val="1"/>
                <w:color w:val="auto"/>
              </w:rPr>
            </w:pPr>
          </w:p>
        </w:tc>
      </w:tr>
      <w:tr>
        <w:trPr>
          <w:trHeight w:val="133"/>
        </w:trPr>
        <w:tc>
          <w:tcPr>
            <w:tcW w:w="83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02"/>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60"/>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20"/>
        </w:trPr>
        <w:tc>
          <w:tcPr>
            <w:tcW w:w="8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0" w:type="dxa"/>
            <w:vAlign w:val="bottom"/>
            <w:gridSpan w:val="3"/>
          </w:tcPr>
          <w:p>
            <w:pPr>
              <w:jc w:val="right"/>
              <w:ind w:right="132"/>
              <w:spacing w:after="0"/>
              <w:rPr>
                <w:sz w:val="20"/>
                <w:szCs w:val="20"/>
                <w:color w:val="auto"/>
              </w:rPr>
            </w:pPr>
            <w:r>
              <w:rPr>
                <w:rFonts w:ascii="Arial" w:cs="Arial" w:eastAsia="Arial" w:hAnsi="Arial"/>
                <w:sz w:val="10"/>
                <w:szCs w:val="10"/>
                <w:b w:val="1"/>
                <w:bCs w:val="1"/>
                <w:i w:val="1"/>
                <w:iCs w:val="1"/>
                <w:color w:val="auto"/>
              </w:rPr>
              <w:t>(in millions)</w:t>
            </w: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360" w:type="dxa"/>
            <w:vAlign w:val="bottom"/>
          </w:tcPr>
          <w:p>
            <w:pPr>
              <w:ind w:left="20"/>
              <w:spacing w:after="0"/>
              <w:rPr>
                <w:sz w:val="20"/>
                <w:szCs w:val="20"/>
                <w:color w:val="auto"/>
              </w:rPr>
            </w:pPr>
            <w:r>
              <w:rPr>
                <w:rFonts w:ascii="Arial" w:cs="Arial" w:eastAsia="Arial" w:hAnsi="Arial"/>
                <w:sz w:val="12"/>
                <w:szCs w:val="12"/>
                <w:b w:val="1"/>
                <w:bCs w:val="1"/>
                <w:color w:val="auto"/>
              </w:rPr>
              <w:t>Revenue</w:t>
            </w:r>
          </w:p>
        </w:tc>
        <w:tc>
          <w:tcPr>
            <w:tcW w:w="320" w:type="dxa"/>
            <w:vAlign w:val="bottom"/>
          </w:tcPr>
          <w:p>
            <w:pPr>
              <w:jc w:val="right"/>
              <w:ind w:right="180"/>
              <w:spacing w:after="0"/>
              <w:rPr>
                <w:sz w:val="20"/>
                <w:szCs w:val="20"/>
                <w:color w:val="auto"/>
              </w:rPr>
            </w:pPr>
            <w:r>
              <w:rPr>
                <w:rFonts w:ascii="Arial" w:cs="Arial" w:eastAsia="Arial" w:hAnsi="Arial"/>
                <w:sz w:val="12"/>
                <w:szCs w:val="12"/>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6,688</w:t>
            </w:r>
          </w:p>
        </w:tc>
        <w:tc>
          <w:tcPr>
            <w:tcW w:w="100" w:type="dxa"/>
            <w:vAlign w:val="bottom"/>
          </w:tcPr>
          <w:p>
            <w:pPr>
              <w:spacing w:after="0"/>
              <w:rPr>
                <w:sz w:val="13"/>
                <w:szCs w:val="13"/>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7,062</w:t>
            </w:r>
          </w:p>
        </w:tc>
        <w:tc>
          <w:tcPr>
            <w:tcW w:w="0" w:type="dxa"/>
            <w:vAlign w:val="bottom"/>
          </w:tcPr>
          <w:p>
            <w:pPr>
              <w:spacing w:after="0"/>
              <w:rPr>
                <w:sz w:val="1"/>
                <w:szCs w:val="1"/>
                <w:color w:val="auto"/>
              </w:rPr>
            </w:pPr>
          </w:p>
        </w:tc>
      </w:tr>
      <w:tr>
        <w:trPr>
          <w:trHeight w:val="153"/>
        </w:trPr>
        <w:tc>
          <w:tcPr>
            <w:tcW w:w="8360" w:type="dxa"/>
            <w:vAlign w:val="bottom"/>
          </w:tcPr>
          <w:p>
            <w:pPr>
              <w:ind w:left="20"/>
              <w:spacing w:after="0"/>
              <w:rPr>
                <w:sz w:val="20"/>
                <w:szCs w:val="20"/>
                <w:color w:val="auto"/>
              </w:rPr>
            </w:pPr>
            <w:r>
              <w:rPr>
                <w:rFonts w:ascii="Arial" w:cs="Arial" w:eastAsia="Arial" w:hAnsi="Arial"/>
                <w:sz w:val="12"/>
                <w:szCs w:val="12"/>
                <w:color w:val="auto"/>
              </w:rPr>
              <w:t>Costs and expenses</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360" w:type="dxa"/>
            <w:vAlign w:val="bottom"/>
          </w:tcPr>
          <w:p>
            <w:pPr>
              <w:ind w:left="180"/>
              <w:spacing w:after="0"/>
              <w:rPr>
                <w:sz w:val="20"/>
                <w:szCs w:val="20"/>
                <w:color w:val="auto"/>
              </w:rPr>
            </w:pPr>
            <w:r>
              <w:rPr>
                <w:rFonts w:ascii="Arial" w:cs="Arial" w:eastAsia="Arial" w:hAnsi="Arial"/>
                <w:sz w:val="12"/>
                <w:szCs w:val="12"/>
                <w:color w:val="auto"/>
              </w:rPr>
              <w:t>Costs of revenue (exclusive of depreciation and amortization)</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2,937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3,064</w:t>
            </w:r>
          </w:p>
        </w:tc>
        <w:tc>
          <w:tcPr>
            <w:tcW w:w="0" w:type="dxa"/>
            <w:vAlign w:val="bottom"/>
          </w:tcPr>
          <w:p>
            <w:pPr>
              <w:spacing w:after="0"/>
              <w:rPr>
                <w:sz w:val="1"/>
                <w:szCs w:val="1"/>
                <w:color w:val="auto"/>
              </w:rPr>
            </w:pPr>
          </w:p>
        </w:tc>
      </w:tr>
      <w:tr>
        <w:trPr>
          <w:trHeight w:val="153"/>
        </w:trPr>
        <w:tc>
          <w:tcPr>
            <w:tcW w:w="8360" w:type="dxa"/>
            <w:vAlign w:val="bottom"/>
          </w:tcPr>
          <w:p>
            <w:pPr>
              <w:ind w:left="180"/>
              <w:spacing w:after="0"/>
              <w:rPr>
                <w:sz w:val="20"/>
                <w:szCs w:val="20"/>
                <w:color w:val="auto"/>
              </w:rPr>
            </w:pPr>
            <w:r>
              <w:rPr>
                <w:rFonts w:ascii="Arial" w:cs="Arial" w:eastAsia="Arial" w:hAnsi="Arial"/>
                <w:sz w:val="12"/>
                <w:szCs w:val="12"/>
                <w:color w:val="auto"/>
              </w:rPr>
              <w:t>Selling, general and administrative</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1,469</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1,167</w:t>
            </w:r>
          </w:p>
        </w:tc>
        <w:tc>
          <w:tcPr>
            <w:tcW w:w="0" w:type="dxa"/>
            <w:vAlign w:val="bottom"/>
          </w:tcPr>
          <w:p>
            <w:pPr>
              <w:spacing w:after="0"/>
              <w:rPr>
                <w:sz w:val="1"/>
                <w:szCs w:val="1"/>
                <w:color w:val="auto"/>
              </w:rPr>
            </w:pPr>
          </w:p>
        </w:tc>
      </w:tr>
      <w:tr>
        <w:trPr>
          <w:trHeight w:val="157"/>
        </w:trPr>
        <w:tc>
          <w:tcPr>
            <w:tcW w:w="8360" w:type="dxa"/>
            <w:vAlign w:val="bottom"/>
          </w:tcPr>
          <w:p>
            <w:pPr>
              <w:ind w:left="180"/>
              <w:spacing w:after="0"/>
              <w:rPr>
                <w:sz w:val="20"/>
                <w:szCs w:val="20"/>
                <w:color w:val="auto"/>
              </w:rPr>
            </w:pPr>
            <w:r>
              <w:rPr>
                <w:rFonts w:ascii="Arial" w:cs="Arial" w:eastAsia="Arial" w:hAnsi="Arial"/>
                <w:sz w:val="12"/>
                <w:szCs w:val="12"/>
                <w:color w:val="auto"/>
              </w:rPr>
              <w:t>Depreciation and amortization</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1,010</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989</w:t>
            </w:r>
          </w:p>
        </w:tc>
        <w:tc>
          <w:tcPr>
            <w:tcW w:w="0" w:type="dxa"/>
            <w:vAlign w:val="bottom"/>
          </w:tcPr>
          <w:p>
            <w:pPr>
              <w:spacing w:after="0"/>
              <w:rPr>
                <w:sz w:val="1"/>
                <w:szCs w:val="1"/>
                <w:color w:val="auto"/>
              </w:rPr>
            </w:pPr>
          </w:p>
        </w:tc>
      </w:tr>
      <w:tr>
        <w:trPr>
          <w:trHeight w:val="142"/>
        </w:trPr>
        <w:tc>
          <w:tcPr>
            <w:tcW w:w="8360" w:type="dxa"/>
            <w:vAlign w:val="bottom"/>
          </w:tcPr>
          <w:p>
            <w:pPr>
              <w:ind w:left="20"/>
              <w:spacing w:after="0"/>
              <w:rPr>
                <w:sz w:val="20"/>
                <w:szCs w:val="20"/>
                <w:color w:val="auto"/>
              </w:rPr>
            </w:pPr>
            <w:r>
              <w:rPr>
                <w:rFonts w:ascii="Arial" w:cs="Arial" w:eastAsia="Arial" w:hAnsi="Arial"/>
                <w:sz w:val="12"/>
                <w:szCs w:val="12"/>
                <w:b w:val="1"/>
                <w:bCs w:val="1"/>
                <w:color w:val="auto"/>
              </w:rPr>
              <w:t>Total costs and expenses</w:t>
            </w: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5,416</w:t>
            </w:r>
          </w:p>
        </w:tc>
        <w:tc>
          <w:tcPr>
            <w:tcW w:w="1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5,220</w:t>
            </w:r>
          </w:p>
        </w:tc>
        <w:tc>
          <w:tcPr>
            <w:tcW w:w="0" w:type="dxa"/>
            <w:vAlign w:val="bottom"/>
          </w:tcPr>
          <w:p>
            <w:pPr>
              <w:spacing w:after="0"/>
              <w:rPr>
                <w:sz w:val="1"/>
                <w:szCs w:val="1"/>
                <w:color w:val="auto"/>
              </w:rPr>
            </w:pPr>
          </w:p>
        </w:tc>
      </w:tr>
      <w:tr>
        <w:trPr>
          <w:trHeight w:val="138"/>
        </w:trPr>
        <w:tc>
          <w:tcPr>
            <w:tcW w:w="8360" w:type="dxa"/>
            <w:vAlign w:val="bottom"/>
          </w:tcPr>
          <w:p>
            <w:pPr>
              <w:ind w:left="20"/>
              <w:spacing w:after="0"/>
              <w:rPr>
                <w:sz w:val="20"/>
                <w:szCs w:val="20"/>
                <w:color w:val="auto"/>
              </w:rPr>
            </w:pPr>
            <w:r>
              <w:rPr>
                <w:rFonts w:ascii="Arial" w:cs="Arial" w:eastAsia="Arial" w:hAnsi="Arial"/>
                <w:sz w:val="12"/>
                <w:szCs w:val="12"/>
                <w:b w:val="1"/>
                <w:bCs w:val="1"/>
                <w:color w:val="auto"/>
              </w:rPr>
              <w:t>Operating income</w:t>
            </w: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1,272</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1,841</w:t>
            </w:r>
          </w:p>
        </w:tc>
        <w:tc>
          <w:tcPr>
            <w:tcW w:w="0" w:type="dxa"/>
            <w:vAlign w:val="bottom"/>
          </w:tcPr>
          <w:p>
            <w:pPr>
              <w:spacing w:after="0"/>
              <w:rPr>
                <w:sz w:val="1"/>
                <w:szCs w:val="1"/>
                <w:color w:val="auto"/>
              </w:rPr>
            </w:pPr>
          </w:p>
        </w:tc>
      </w:tr>
      <w:tr>
        <w:trPr>
          <w:trHeight w:val="153"/>
        </w:trPr>
        <w:tc>
          <w:tcPr>
            <w:tcW w:w="8360" w:type="dxa"/>
            <w:vAlign w:val="bottom"/>
          </w:tcPr>
          <w:p>
            <w:pPr>
              <w:ind w:left="20"/>
              <w:spacing w:after="0"/>
              <w:rPr>
                <w:sz w:val="20"/>
                <w:szCs w:val="20"/>
                <w:color w:val="auto"/>
              </w:rPr>
            </w:pPr>
            <w:r>
              <w:rPr>
                <w:rFonts w:ascii="Arial" w:cs="Arial" w:eastAsia="Arial" w:hAnsi="Arial"/>
                <w:sz w:val="12"/>
                <w:szCs w:val="12"/>
                <w:color w:val="auto"/>
              </w:rPr>
              <w:t>Interest expense</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8360" w:type="dxa"/>
            <w:vAlign w:val="bottom"/>
          </w:tcPr>
          <w:p>
            <w:pPr>
              <w:ind w:left="20"/>
              <w:spacing w:after="0"/>
              <w:rPr>
                <w:sz w:val="20"/>
                <w:szCs w:val="20"/>
                <w:color w:val="auto"/>
              </w:rPr>
            </w:pPr>
            <w:r>
              <w:rPr>
                <w:rFonts w:ascii="Arial" w:cs="Arial" w:eastAsia="Arial" w:hAnsi="Arial"/>
                <w:sz w:val="12"/>
                <w:szCs w:val="12"/>
                <w:color w:val="auto"/>
              </w:rPr>
              <w:t>Investment and other income (loss), net</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8"/>
        </w:trPr>
        <w:tc>
          <w:tcPr>
            <w:tcW w:w="8360" w:type="dxa"/>
            <w:vAlign w:val="bottom"/>
          </w:tcPr>
          <w:p>
            <w:pPr>
              <w:ind w:left="20"/>
              <w:spacing w:after="0"/>
              <w:rPr>
                <w:sz w:val="20"/>
                <w:szCs w:val="20"/>
                <w:color w:val="auto"/>
              </w:rPr>
            </w:pPr>
            <w:r>
              <w:rPr>
                <w:rFonts w:ascii="Arial" w:cs="Arial" w:eastAsia="Arial" w:hAnsi="Arial"/>
                <w:sz w:val="12"/>
                <w:szCs w:val="12"/>
                <w:b w:val="1"/>
                <w:bCs w:val="1"/>
                <w:color w:val="auto"/>
              </w:rPr>
              <w:t>Income before income taxes</w:t>
            </w: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1,228</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1,843</w:t>
            </w:r>
          </w:p>
        </w:tc>
        <w:tc>
          <w:tcPr>
            <w:tcW w:w="0" w:type="dxa"/>
            <w:vAlign w:val="bottom"/>
          </w:tcPr>
          <w:p>
            <w:pPr>
              <w:spacing w:after="0"/>
              <w:rPr>
                <w:sz w:val="1"/>
                <w:szCs w:val="1"/>
                <w:color w:val="auto"/>
              </w:rPr>
            </w:pPr>
          </w:p>
        </w:tc>
      </w:tr>
      <w:tr>
        <w:trPr>
          <w:trHeight w:val="157"/>
        </w:trPr>
        <w:tc>
          <w:tcPr>
            <w:tcW w:w="8360" w:type="dxa"/>
            <w:vAlign w:val="bottom"/>
          </w:tcPr>
          <w:p>
            <w:pPr>
              <w:ind w:left="20"/>
              <w:spacing w:after="0"/>
              <w:rPr>
                <w:sz w:val="20"/>
                <w:szCs w:val="20"/>
                <w:color w:val="auto"/>
              </w:rPr>
            </w:pPr>
            <w:r>
              <w:rPr>
                <w:rFonts w:ascii="Arial" w:cs="Arial" w:eastAsia="Arial" w:hAnsi="Arial"/>
                <w:sz w:val="12"/>
                <w:szCs w:val="12"/>
                <w:color w:val="auto"/>
              </w:rPr>
              <w:t>Income tax expense</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(297)</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(478)</w:t>
            </w:r>
          </w:p>
        </w:tc>
        <w:tc>
          <w:tcPr>
            <w:tcW w:w="0" w:type="dxa"/>
            <w:vAlign w:val="bottom"/>
          </w:tcPr>
          <w:p>
            <w:pPr>
              <w:spacing w:after="0"/>
              <w:rPr>
                <w:sz w:val="1"/>
                <w:szCs w:val="1"/>
                <w:color w:val="auto"/>
              </w:rPr>
            </w:pPr>
          </w:p>
        </w:tc>
      </w:tr>
      <w:tr>
        <w:trPr>
          <w:trHeight w:val="147"/>
        </w:trPr>
        <w:tc>
          <w:tcPr>
            <w:tcW w:w="8360" w:type="dxa"/>
            <w:vAlign w:val="bottom"/>
          </w:tcPr>
          <w:p>
            <w:pPr>
              <w:ind w:left="20"/>
              <w:spacing w:after="0"/>
              <w:rPr>
                <w:sz w:val="20"/>
                <w:szCs w:val="20"/>
                <w:color w:val="auto"/>
              </w:rPr>
            </w:pPr>
            <w:r>
              <w:rPr>
                <w:rFonts w:ascii="Arial" w:cs="Arial" w:eastAsia="Arial" w:hAnsi="Arial"/>
                <w:sz w:val="12"/>
                <w:szCs w:val="12"/>
                <w:b w:val="1"/>
                <w:bCs w:val="1"/>
                <w:color w:val="auto"/>
              </w:rPr>
              <w:t>Net income</w:t>
            </w: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931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1,365</w:t>
            </w:r>
          </w:p>
        </w:tc>
        <w:tc>
          <w:tcPr>
            <w:tcW w:w="0" w:type="dxa"/>
            <w:vAlign w:val="bottom"/>
          </w:tcPr>
          <w:p>
            <w:pPr>
              <w:spacing w:after="0"/>
              <w:rPr>
                <w:sz w:val="1"/>
                <w:szCs w:val="1"/>
                <w:color w:val="auto"/>
              </w:rPr>
            </w:pPr>
          </w:p>
        </w:tc>
      </w:tr>
      <w:tr>
        <w:trPr>
          <w:trHeight w:val="159"/>
        </w:trPr>
        <w:tc>
          <w:tcPr>
            <w:tcW w:w="8360" w:type="dxa"/>
            <w:vAlign w:val="bottom"/>
          </w:tcPr>
          <w:p>
            <w:pPr>
              <w:spacing w:after="0"/>
              <w:rPr>
                <w:sz w:val="20"/>
                <w:szCs w:val="20"/>
                <w:color w:val="auto"/>
              </w:rPr>
            </w:pPr>
            <w:r>
              <w:rPr>
                <w:rFonts w:ascii="Arial" w:cs="Arial" w:eastAsia="Arial" w:hAnsi="Arial"/>
                <w:sz w:val="12"/>
                <w:szCs w:val="12"/>
                <w:color w:val="auto"/>
              </w:rPr>
              <w:t>Less: Net income attributable to noncontrolling interests</w:t>
            </w:r>
          </w:p>
        </w:tc>
        <w:tc>
          <w:tcPr>
            <w:tcW w:w="3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79"/>
        </w:trPr>
        <w:tc>
          <w:tcPr>
            <w:tcW w:w="836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8360" w:type="dxa"/>
            <w:vAlign w:val="bottom"/>
          </w:tcPr>
          <w:p>
            <w:pPr>
              <w:ind w:left="20"/>
              <w:spacing w:after="0"/>
              <w:rPr>
                <w:sz w:val="20"/>
                <w:szCs w:val="20"/>
                <w:color w:val="auto"/>
              </w:rPr>
            </w:pPr>
            <w:r>
              <w:rPr>
                <w:rFonts w:ascii="Arial" w:cs="Arial" w:eastAsia="Arial" w:hAnsi="Arial"/>
                <w:sz w:val="12"/>
                <w:szCs w:val="12"/>
                <w:b w:val="1"/>
                <w:bCs w:val="1"/>
                <w:color w:val="auto"/>
              </w:rPr>
              <w:t>Net income attributable to Versant</w:t>
            </w: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930</w:t>
            </w: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1,363</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80" w:top="1009" w:right="29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color w:val="auto"/>
        </w:rPr>
        <w:t>TABLE 2</w:t>
      </w:r>
    </w:p>
    <w:p>
      <w:pPr>
        <w:spacing w:after="0" w:line="219" w:lineRule="auto"/>
        <w:rPr>
          <w:sz w:val="20"/>
          <w:szCs w:val="20"/>
          <w:color w:val="auto"/>
        </w:rPr>
      </w:pPr>
      <w:r>
        <w:rPr>
          <w:rFonts w:ascii="Arial" w:cs="Arial" w:eastAsia="Arial" w:hAnsi="Arial"/>
          <w:sz w:val="12"/>
          <w:szCs w:val="12"/>
          <w:b w:val="1"/>
          <w:bCs w:val="1"/>
          <w:color w:val="auto"/>
        </w:rPr>
        <w:t>Combined Statements of Cash Flows</w:t>
      </w:r>
    </w:p>
    <w:p>
      <w:pPr>
        <w:spacing w:after="0"/>
        <w:rPr>
          <w:sz w:val="20"/>
          <w:szCs w:val="20"/>
          <w:color w:val="auto"/>
        </w:rPr>
      </w:pPr>
      <w:r>
        <w:rPr>
          <w:rFonts w:ascii="Arial" w:cs="Arial" w:eastAsia="Arial" w:hAnsi="Arial"/>
          <w:sz w:val="12"/>
          <w:szCs w:val="12"/>
          <w:b w:val="1"/>
          <w:bCs w:val="1"/>
          <w:color w:val="auto"/>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5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4"/>
              </w:rPr>
              <w:t>Year Ended December 31,</w:t>
            </w: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8540" w:type="dxa"/>
            <w:vAlign w:val="bottom"/>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2025</w:t>
            </w: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w w:val="89"/>
              </w:rPr>
              <w:t>2024</w:t>
            </w:r>
          </w:p>
        </w:tc>
        <w:tc>
          <w:tcPr>
            <w:tcW w:w="0" w:type="dxa"/>
            <w:vAlign w:val="bottom"/>
          </w:tcPr>
          <w:p>
            <w:pPr>
              <w:spacing w:after="0"/>
              <w:rPr>
                <w:sz w:val="1"/>
                <w:szCs w:val="1"/>
                <w:color w:val="auto"/>
              </w:rPr>
            </w:pPr>
          </w:p>
        </w:tc>
      </w:tr>
      <w:tr>
        <w:trPr>
          <w:trHeight w:val="123"/>
        </w:trPr>
        <w:tc>
          <w:tcPr>
            <w:tcW w:w="8540" w:type="dxa"/>
            <w:vAlign w:val="bottom"/>
            <w:vMerge w:val="restart"/>
          </w:tcPr>
          <w:p>
            <w:pPr>
              <w:spacing w:after="0"/>
              <w:rPr>
                <w:sz w:val="20"/>
                <w:szCs w:val="20"/>
                <w:color w:val="auto"/>
              </w:rPr>
            </w:pPr>
            <w:r>
              <w:rPr>
                <w:rFonts w:ascii="Arial" w:cs="Arial" w:eastAsia="Arial" w:hAnsi="Arial"/>
                <w:sz w:val="12"/>
                <w:szCs w:val="12"/>
                <w:b w:val="1"/>
                <w:bCs w:val="1"/>
                <w:color w:val="auto"/>
              </w:rPr>
              <w:t>Operating Activities</w:t>
            </w:r>
          </w:p>
        </w:tc>
        <w:tc>
          <w:tcPr>
            <w:tcW w:w="780" w:type="dxa"/>
            <w:vAlign w:val="bottom"/>
          </w:tcPr>
          <w:p>
            <w:pPr>
              <w:spacing w:after="0"/>
              <w:rPr>
                <w:sz w:val="10"/>
                <w:szCs w:val="10"/>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0"/>
                <w:szCs w:val="10"/>
                <w:b w:val="1"/>
                <w:bCs w:val="1"/>
                <w:i w:val="1"/>
                <w:iCs w:val="1"/>
                <w:color w:val="auto"/>
              </w:rPr>
              <w:t>(in millions)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854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540" w:type="dxa"/>
            <w:vAlign w:val="bottom"/>
          </w:tcPr>
          <w:p>
            <w:pPr>
              <w:spacing w:after="0"/>
              <w:rPr>
                <w:sz w:val="20"/>
                <w:szCs w:val="20"/>
                <w:color w:val="auto"/>
              </w:rPr>
            </w:pPr>
            <w:r>
              <w:rPr>
                <w:rFonts w:ascii="Arial" w:cs="Arial" w:eastAsia="Arial" w:hAnsi="Arial"/>
                <w:sz w:val="12"/>
                <w:szCs w:val="12"/>
                <w:color w:val="auto"/>
              </w:rPr>
              <w:t>Net income</w:t>
            </w:r>
          </w:p>
        </w:tc>
        <w:tc>
          <w:tcPr>
            <w:tcW w:w="780" w:type="dxa"/>
            <w:vAlign w:val="bottom"/>
          </w:tcPr>
          <w:p>
            <w:pPr>
              <w:jc w:val="right"/>
              <w:ind w:right="644"/>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931</w:t>
            </w:r>
          </w:p>
        </w:tc>
        <w:tc>
          <w:tcPr>
            <w:tcW w:w="80" w:type="dxa"/>
            <w:vAlign w:val="bottom"/>
          </w:tcPr>
          <w:p>
            <w:pPr>
              <w:spacing w:after="0"/>
              <w:rPr>
                <w:sz w:val="13"/>
                <w:szCs w:val="13"/>
                <w:color w:val="auto"/>
              </w:rPr>
            </w:pPr>
          </w:p>
        </w:tc>
        <w:tc>
          <w:tcPr>
            <w:tcW w:w="560" w:type="dxa"/>
            <w:vAlign w:val="bottom"/>
          </w:tcPr>
          <w:p>
            <w:pPr>
              <w:jc w:val="right"/>
              <w:ind w:right="42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1,365</w:t>
            </w:r>
          </w:p>
        </w:tc>
        <w:tc>
          <w:tcPr>
            <w:tcW w:w="0" w:type="dxa"/>
            <w:vAlign w:val="bottom"/>
          </w:tcPr>
          <w:p>
            <w:pPr>
              <w:spacing w:after="0"/>
              <w:rPr>
                <w:sz w:val="1"/>
                <w:szCs w:val="1"/>
                <w:color w:val="auto"/>
              </w:rPr>
            </w:pPr>
          </w:p>
        </w:tc>
      </w:tr>
      <w:tr>
        <w:trPr>
          <w:trHeight w:val="153"/>
        </w:trPr>
        <w:tc>
          <w:tcPr>
            <w:tcW w:w="8540" w:type="dxa"/>
            <w:vAlign w:val="bottom"/>
          </w:tcPr>
          <w:p>
            <w:pPr>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540" w:type="dxa"/>
            <w:vAlign w:val="bottom"/>
          </w:tcPr>
          <w:p>
            <w:pPr>
              <w:ind w:left="140"/>
              <w:spacing w:after="0"/>
              <w:rPr>
                <w:sz w:val="20"/>
                <w:szCs w:val="20"/>
                <w:color w:val="auto"/>
              </w:rPr>
            </w:pPr>
            <w:r>
              <w:rPr>
                <w:rFonts w:ascii="Arial" w:cs="Arial" w:eastAsia="Arial" w:hAnsi="Arial"/>
                <w:sz w:val="12"/>
                <w:szCs w:val="12"/>
                <w:color w:val="auto"/>
              </w:rPr>
              <w:t>Depreciation and amortization</w:t>
            </w:r>
          </w:p>
        </w:tc>
        <w:tc>
          <w:tcPr>
            <w:tcW w:w="780" w:type="dxa"/>
            <w:vAlign w:val="bottom"/>
          </w:tcPr>
          <w:p>
            <w:pPr>
              <w:spacing w:after="0"/>
              <w:rPr>
                <w:sz w:val="13"/>
                <w:szCs w:val="13"/>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1,010</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989</w:t>
            </w:r>
          </w:p>
        </w:tc>
        <w:tc>
          <w:tcPr>
            <w:tcW w:w="0" w:type="dxa"/>
            <w:vAlign w:val="bottom"/>
          </w:tcPr>
          <w:p>
            <w:pPr>
              <w:spacing w:after="0"/>
              <w:rPr>
                <w:sz w:val="1"/>
                <w:szCs w:val="1"/>
                <w:color w:val="auto"/>
              </w:rPr>
            </w:pPr>
          </w:p>
        </w:tc>
      </w:tr>
      <w:tr>
        <w:trPr>
          <w:trHeight w:val="153"/>
        </w:trPr>
        <w:tc>
          <w:tcPr>
            <w:tcW w:w="8540" w:type="dxa"/>
            <w:vAlign w:val="bottom"/>
          </w:tcPr>
          <w:p>
            <w:pPr>
              <w:ind w:left="140"/>
              <w:spacing w:after="0"/>
              <w:rPr>
                <w:sz w:val="20"/>
                <w:szCs w:val="20"/>
                <w:color w:val="auto"/>
              </w:rPr>
            </w:pPr>
            <w:r>
              <w:rPr>
                <w:rFonts w:ascii="Arial" w:cs="Arial" w:eastAsia="Arial" w:hAnsi="Arial"/>
                <w:sz w:val="12"/>
                <w:szCs w:val="12"/>
                <w:color w:val="auto"/>
              </w:rPr>
              <w:t>Share-based compensation</w:t>
            </w:r>
          </w:p>
        </w:tc>
        <w:tc>
          <w:tcPr>
            <w:tcW w:w="780" w:type="dxa"/>
            <w:vAlign w:val="bottom"/>
          </w:tcPr>
          <w:p>
            <w:pPr>
              <w:spacing w:after="0"/>
              <w:rPr>
                <w:sz w:val="13"/>
                <w:szCs w:val="13"/>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29</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53"/>
        </w:trPr>
        <w:tc>
          <w:tcPr>
            <w:tcW w:w="8540" w:type="dxa"/>
            <w:vAlign w:val="bottom"/>
          </w:tcPr>
          <w:p>
            <w:pPr>
              <w:ind w:left="140"/>
              <w:spacing w:after="0"/>
              <w:rPr>
                <w:sz w:val="20"/>
                <w:szCs w:val="20"/>
                <w:color w:val="auto"/>
              </w:rPr>
            </w:pPr>
            <w:r>
              <w:rPr>
                <w:rFonts w:ascii="Arial" w:cs="Arial" w:eastAsia="Arial" w:hAnsi="Arial"/>
                <w:sz w:val="12"/>
                <w:szCs w:val="12"/>
                <w:color w:val="auto"/>
              </w:rPr>
              <w:t>Net loss on investment activity and other</w:t>
            </w:r>
          </w:p>
        </w:tc>
        <w:tc>
          <w:tcPr>
            <w:tcW w:w="780" w:type="dxa"/>
            <w:vAlign w:val="bottom"/>
          </w:tcPr>
          <w:p>
            <w:pPr>
              <w:spacing w:after="0"/>
              <w:rPr>
                <w:sz w:val="13"/>
                <w:szCs w:val="13"/>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41</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8540" w:type="dxa"/>
            <w:vAlign w:val="bottom"/>
          </w:tcPr>
          <w:p>
            <w:pPr>
              <w:ind w:left="140"/>
              <w:spacing w:after="0"/>
              <w:rPr>
                <w:sz w:val="20"/>
                <w:szCs w:val="20"/>
                <w:color w:val="auto"/>
              </w:rPr>
            </w:pPr>
            <w:r>
              <w:rPr>
                <w:rFonts w:ascii="Arial" w:cs="Arial" w:eastAsia="Arial" w:hAnsi="Arial"/>
                <w:sz w:val="12"/>
                <w:szCs w:val="12"/>
                <w:color w:val="auto"/>
              </w:rPr>
              <w:t>Deferred income taxes</w:t>
            </w:r>
          </w:p>
        </w:tc>
        <w:tc>
          <w:tcPr>
            <w:tcW w:w="7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(139)</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(145)</w:t>
            </w:r>
          </w:p>
        </w:tc>
        <w:tc>
          <w:tcPr>
            <w:tcW w:w="0" w:type="dxa"/>
            <w:vAlign w:val="bottom"/>
          </w:tcPr>
          <w:p>
            <w:pPr>
              <w:spacing w:after="0"/>
              <w:rPr>
                <w:sz w:val="1"/>
                <w:szCs w:val="1"/>
                <w:color w:val="auto"/>
              </w:rPr>
            </w:pPr>
          </w:p>
        </w:tc>
      </w:tr>
      <w:tr>
        <w:trPr>
          <w:trHeight w:val="153"/>
        </w:trPr>
        <w:tc>
          <w:tcPr>
            <w:tcW w:w="8540" w:type="dxa"/>
            <w:vAlign w:val="bottom"/>
          </w:tcPr>
          <w:p>
            <w:pPr>
              <w:spacing w:after="0"/>
              <w:rPr>
                <w:sz w:val="20"/>
                <w:szCs w:val="20"/>
                <w:color w:val="auto"/>
              </w:rPr>
            </w:pPr>
            <w:r>
              <w:rPr>
                <w:rFonts w:ascii="Arial" w:cs="Arial" w:eastAsia="Arial" w:hAnsi="Arial"/>
                <w:sz w:val="12"/>
                <w:szCs w:val="12"/>
                <w:color w:val="auto"/>
              </w:rPr>
              <w:t>Changes in operating assets and liabilities:</w:t>
            </w: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540" w:type="dxa"/>
            <w:vAlign w:val="bottom"/>
          </w:tcPr>
          <w:p>
            <w:pPr>
              <w:ind w:left="140"/>
              <w:spacing w:after="0"/>
              <w:rPr>
                <w:sz w:val="20"/>
                <w:szCs w:val="20"/>
                <w:color w:val="auto"/>
              </w:rPr>
            </w:pPr>
            <w:r>
              <w:rPr>
                <w:rFonts w:ascii="Arial" w:cs="Arial" w:eastAsia="Arial" w:hAnsi="Arial"/>
                <w:sz w:val="12"/>
                <w:szCs w:val="12"/>
                <w:color w:val="auto"/>
              </w:rPr>
              <w:t>Current and noncurrent receivables, net</w:t>
            </w:r>
          </w:p>
        </w:tc>
        <w:tc>
          <w:tcPr>
            <w:tcW w:w="780" w:type="dxa"/>
            <w:vAlign w:val="bottom"/>
          </w:tcPr>
          <w:p>
            <w:pPr>
              <w:spacing w:after="0"/>
              <w:rPr>
                <w:sz w:val="13"/>
                <w:szCs w:val="13"/>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84</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53"/>
        </w:trPr>
        <w:tc>
          <w:tcPr>
            <w:tcW w:w="8540" w:type="dxa"/>
            <w:vAlign w:val="bottom"/>
          </w:tcPr>
          <w:p>
            <w:pPr>
              <w:ind w:left="140"/>
              <w:spacing w:after="0"/>
              <w:rPr>
                <w:sz w:val="20"/>
                <w:szCs w:val="20"/>
                <w:color w:val="auto"/>
              </w:rPr>
            </w:pPr>
            <w:r>
              <w:rPr>
                <w:rFonts w:ascii="Arial" w:cs="Arial" w:eastAsia="Arial" w:hAnsi="Arial"/>
                <w:sz w:val="12"/>
                <w:szCs w:val="12"/>
                <w:color w:val="auto"/>
              </w:rPr>
              <w:t>Content costs, net</w:t>
            </w:r>
          </w:p>
        </w:tc>
        <w:tc>
          <w:tcPr>
            <w:tcW w:w="780" w:type="dxa"/>
            <w:vAlign w:val="bottom"/>
          </w:tcPr>
          <w:p>
            <w:pPr>
              <w:spacing w:after="0"/>
              <w:rPr>
                <w:sz w:val="13"/>
                <w:szCs w:val="13"/>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99</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153"/>
        </w:trPr>
        <w:tc>
          <w:tcPr>
            <w:tcW w:w="8540" w:type="dxa"/>
            <w:vAlign w:val="bottom"/>
          </w:tcPr>
          <w:p>
            <w:pPr>
              <w:ind w:left="140"/>
              <w:spacing w:after="0"/>
              <w:rPr>
                <w:sz w:val="20"/>
                <w:szCs w:val="20"/>
                <w:color w:val="auto"/>
              </w:rPr>
            </w:pPr>
            <w:r>
              <w:rPr>
                <w:rFonts w:ascii="Arial" w:cs="Arial" w:eastAsia="Arial" w:hAnsi="Arial"/>
                <w:sz w:val="12"/>
                <w:szCs w:val="12"/>
                <w:color w:val="auto"/>
              </w:rPr>
              <w:t>Accounts payable</w:t>
            </w:r>
          </w:p>
        </w:tc>
        <w:tc>
          <w:tcPr>
            <w:tcW w:w="780" w:type="dxa"/>
            <w:vAlign w:val="bottom"/>
          </w:tcPr>
          <w:p>
            <w:pPr>
              <w:spacing w:after="0"/>
              <w:rPr>
                <w:sz w:val="13"/>
                <w:szCs w:val="13"/>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25</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7"/>
        </w:trPr>
        <w:tc>
          <w:tcPr>
            <w:tcW w:w="8540" w:type="dxa"/>
            <w:vAlign w:val="bottom"/>
          </w:tcPr>
          <w:p>
            <w:pPr>
              <w:ind w:left="140"/>
              <w:spacing w:after="0"/>
              <w:rPr>
                <w:sz w:val="20"/>
                <w:szCs w:val="20"/>
                <w:color w:val="auto"/>
              </w:rPr>
            </w:pPr>
            <w:r>
              <w:rPr>
                <w:rFonts w:ascii="Arial" w:cs="Arial" w:eastAsia="Arial" w:hAnsi="Arial"/>
                <w:sz w:val="12"/>
                <w:szCs w:val="12"/>
                <w:color w:val="auto"/>
              </w:rPr>
              <w:t>Other operating assets and liabilities</w:t>
            </w:r>
          </w:p>
        </w:tc>
        <w:tc>
          <w:tcPr>
            <w:tcW w:w="7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w:t>
            </w: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(179)</w:t>
            </w:r>
          </w:p>
        </w:tc>
        <w:tc>
          <w:tcPr>
            <w:tcW w:w="0" w:type="dxa"/>
            <w:vAlign w:val="bottom"/>
          </w:tcPr>
          <w:p>
            <w:pPr>
              <w:spacing w:after="0"/>
              <w:rPr>
                <w:sz w:val="1"/>
                <w:szCs w:val="1"/>
                <w:color w:val="auto"/>
              </w:rPr>
            </w:pPr>
          </w:p>
        </w:tc>
      </w:tr>
      <w:tr>
        <w:trPr>
          <w:trHeight w:val="142"/>
        </w:trPr>
        <w:tc>
          <w:tcPr>
            <w:tcW w:w="8540" w:type="dxa"/>
            <w:vAlign w:val="bottom"/>
          </w:tcPr>
          <w:p>
            <w:pPr>
              <w:spacing w:after="0"/>
              <w:rPr>
                <w:sz w:val="20"/>
                <w:szCs w:val="20"/>
                <w:color w:val="auto"/>
              </w:rPr>
            </w:pPr>
            <w:r>
              <w:rPr>
                <w:rFonts w:ascii="Arial" w:cs="Arial" w:eastAsia="Arial" w:hAnsi="Arial"/>
                <w:sz w:val="12"/>
                <w:szCs w:val="12"/>
                <w:b w:val="1"/>
                <w:bCs w:val="1"/>
                <w:color w:val="auto"/>
              </w:rPr>
              <w:t>Net cash provided by operating activities</w:t>
            </w:r>
          </w:p>
        </w:tc>
        <w:tc>
          <w:tcPr>
            <w:tcW w:w="7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2,022</w:t>
            </w:r>
          </w:p>
        </w:tc>
        <w:tc>
          <w:tcPr>
            <w:tcW w:w="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2,211</w:t>
            </w:r>
          </w:p>
        </w:tc>
        <w:tc>
          <w:tcPr>
            <w:tcW w:w="0" w:type="dxa"/>
            <w:vAlign w:val="bottom"/>
          </w:tcPr>
          <w:p>
            <w:pPr>
              <w:spacing w:after="0"/>
              <w:rPr>
                <w:sz w:val="1"/>
                <w:szCs w:val="1"/>
                <w:color w:val="auto"/>
              </w:rPr>
            </w:pPr>
          </w:p>
        </w:tc>
      </w:tr>
      <w:tr>
        <w:trPr>
          <w:trHeight w:val="129"/>
        </w:trPr>
        <w:tc>
          <w:tcPr>
            <w:tcW w:w="8540" w:type="dxa"/>
            <w:vAlign w:val="bottom"/>
          </w:tcPr>
          <w:p>
            <w:pPr>
              <w:spacing w:after="0" w:line="130" w:lineRule="exact"/>
              <w:rPr>
                <w:sz w:val="20"/>
                <w:szCs w:val="20"/>
                <w:color w:val="auto"/>
              </w:rPr>
            </w:pPr>
            <w:r>
              <w:rPr>
                <w:rFonts w:ascii="Arial" w:cs="Arial" w:eastAsia="Arial" w:hAnsi="Arial"/>
                <w:sz w:val="12"/>
                <w:szCs w:val="12"/>
                <w:b w:val="1"/>
                <w:bCs w:val="1"/>
                <w:color w:val="auto"/>
              </w:rPr>
              <w:t>Investing Activities</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540" w:type="dxa"/>
            <w:vAlign w:val="bottom"/>
          </w:tcPr>
          <w:p>
            <w:pPr>
              <w:ind w:left="140"/>
              <w:spacing w:after="0"/>
              <w:rPr>
                <w:sz w:val="20"/>
                <w:szCs w:val="20"/>
                <w:color w:val="auto"/>
              </w:rPr>
            </w:pPr>
            <w:r>
              <w:rPr>
                <w:rFonts w:ascii="Arial" w:cs="Arial" w:eastAsia="Arial" w:hAnsi="Arial"/>
                <w:sz w:val="12"/>
                <w:szCs w:val="12"/>
                <w:color w:val="auto"/>
              </w:rPr>
              <w:t>Capital expenditures</w:t>
            </w:r>
          </w:p>
        </w:tc>
        <w:tc>
          <w:tcPr>
            <w:tcW w:w="7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(167)</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(54)</w:t>
            </w:r>
          </w:p>
        </w:tc>
        <w:tc>
          <w:tcPr>
            <w:tcW w:w="0" w:type="dxa"/>
            <w:vAlign w:val="bottom"/>
          </w:tcPr>
          <w:p>
            <w:pPr>
              <w:spacing w:after="0"/>
              <w:rPr>
                <w:sz w:val="1"/>
                <w:szCs w:val="1"/>
                <w:color w:val="auto"/>
              </w:rPr>
            </w:pPr>
          </w:p>
        </w:tc>
      </w:tr>
      <w:tr>
        <w:trPr>
          <w:trHeight w:val="153"/>
        </w:trPr>
        <w:tc>
          <w:tcPr>
            <w:tcW w:w="8540" w:type="dxa"/>
            <w:vAlign w:val="bottom"/>
          </w:tcPr>
          <w:p>
            <w:pPr>
              <w:ind w:left="140"/>
              <w:spacing w:after="0"/>
              <w:rPr>
                <w:sz w:val="20"/>
                <w:szCs w:val="20"/>
                <w:color w:val="auto"/>
              </w:rPr>
            </w:pPr>
            <w:r>
              <w:rPr>
                <w:rFonts w:ascii="Arial" w:cs="Arial" w:eastAsia="Arial" w:hAnsi="Arial"/>
                <w:sz w:val="12"/>
                <w:szCs w:val="12"/>
                <w:color w:val="auto"/>
              </w:rPr>
              <w:t>Acquisition, net of cash acquired</w:t>
            </w:r>
          </w:p>
        </w:tc>
        <w:tc>
          <w:tcPr>
            <w:tcW w:w="7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(24)</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8540" w:type="dxa"/>
            <w:vAlign w:val="bottom"/>
          </w:tcPr>
          <w:p>
            <w:pPr>
              <w:ind w:left="140"/>
              <w:spacing w:after="0"/>
              <w:rPr>
                <w:sz w:val="20"/>
                <w:szCs w:val="20"/>
                <w:color w:val="auto"/>
              </w:rPr>
            </w:pPr>
            <w:r>
              <w:rPr>
                <w:rFonts w:ascii="Arial" w:cs="Arial" w:eastAsia="Arial" w:hAnsi="Arial"/>
                <w:sz w:val="12"/>
                <w:szCs w:val="12"/>
                <w:color w:val="auto"/>
              </w:rPr>
              <w:t>Other</w:t>
            </w:r>
          </w:p>
        </w:tc>
        <w:tc>
          <w:tcPr>
            <w:tcW w:w="7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36</w:t>
            </w: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42"/>
        </w:trPr>
        <w:tc>
          <w:tcPr>
            <w:tcW w:w="8540" w:type="dxa"/>
            <w:vAlign w:val="bottom"/>
          </w:tcPr>
          <w:p>
            <w:pPr>
              <w:spacing w:after="0"/>
              <w:rPr>
                <w:sz w:val="20"/>
                <w:szCs w:val="20"/>
                <w:color w:val="auto"/>
              </w:rPr>
            </w:pPr>
            <w:r>
              <w:rPr>
                <w:rFonts w:ascii="Arial" w:cs="Arial" w:eastAsia="Arial" w:hAnsi="Arial"/>
                <w:sz w:val="12"/>
                <w:szCs w:val="12"/>
                <w:b w:val="1"/>
                <w:bCs w:val="1"/>
                <w:color w:val="auto"/>
              </w:rPr>
              <w:t>Net cash used in investing activities</w:t>
            </w:r>
          </w:p>
        </w:tc>
        <w:tc>
          <w:tcPr>
            <w:tcW w:w="7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(155)</w:t>
            </w:r>
          </w:p>
        </w:tc>
        <w:tc>
          <w:tcPr>
            <w:tcW w:w="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(71)</w:t>
            </w:r>
          </w:p>
        </w:tc>
        <w:tc>
          <w:tcPr>
            <w:tcW w:w="0" w:type="dxa"/>
            <w:vAlign w:val="bottom"/>
          </w:tcPr>
          <w:p>
            <w:pPr>
              <w:spacing w:after="0"/>
              <w:rPr>
                <w:sz w:val="1"/>
                <w:szCs w:val="1"/>
                <w:color w:val="auto"/>
              </w:rPr>
            </w:pPr>
          </w:p>
        </w:tc>
      </w:tr>
      <w:tr>
        <w:trPr>
          <w:trHeight w:val="129"/>
        </w:trPr>
        <w:tc>
          <w:tcPr>
            <w:tcW w:w="8540" w:type="dxa"/>
            <w:vAlign w:val="bottom"/>
          </w:tcPr>
          <w:p>
            <w:pPr>
              <w:spacing w:after="0" w:line="130" w:lineRule="exact"/>
              <w:rPr>
                <w:sz w:val="20"/>
                <w:szCs w:val="20"/>
                <w:color w:val="auto"/>
              </w:rPr>
            </w:pPr>
            <w:r>
              <w:rPr>
                <w:rFonts w:ascii="Arial" w:cs="Arial" w:eastAsia="Arial" w:hAnsi="Arial"/>
                <w:sz w:val="12"/>
                <w:szCs w:val="12"/>
                <w:b w:val="1"/>
                <w:bCs w:val="1"/>
                <w:color w:val="auto"/>
              </w:rPr>
              <w:t>Financing Activities</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540" w:type="dxa"/>
            <w:vAlign w:val="bottom"/>
          </w:tcPr>
          <w:p>
            <w:pPr>
              <w:ind w:left="140"/>
              <w:spacing w:after="0"/>
              <w:rPr>
                <w:sz w:val="20"/>
                <w:szCs w:val="20"/>
                <w:color w:val="auto"/>
              </w:rPr>
            </w:pPr>
            <w:r>
              <w:rPr>
                <w:rFonts w:ascii="Arial" w:cs="Arial" w:eastAsia="Arial" w:hAnsi="Arial"/>
                <w:sz w:val="12"/>
                <w:szCs w:val="12"/>
                <w:color w:val="auto"/>
              </w:rPr>
              <w:t>Proceeds from borrowings</w:t>
            </w:r>
          </w:p>
        </w:tc>
        <w:tc>
          <w:tcPr>
            <w:tcW w:w="780" w:type="dxa"/>
            <w:vAlign w:val="bottom"/>
          </w:tcPr>
          <w:p>
            <w:pPr>
              <w:spacing w:after="0"/>
              <w:rPr>
                <w:sz w:val="13"/>
                <w:szCs w:val="13"/>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986</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8540" w:type="dxa"/>
            <w:vAlign w:val="bottom"/>
          </w:tcPr>
          <w:p>
            <w:pPr>
              <w:ind w:left="140"/>
              <w:spacing w:after="0"/>
              <w:rPr>
                <w:sz w:val="20"/>
                <w:szCs w:val="20"/>
                <w:color w:val="auto"/>
              </w:rPr>
            </w:pPr>
            <w:r>
              <w:rPr>
                <w:rFonts w:ascii="Arial" w:cs="Arial" w:eastAsia="Arial" w:hAnsi="Arial"/>
                <w:sz w:val="12"/>
                <w:szCs w:val="12"/>
                <w:color w:val="auto"/>
              </w:rPr>
              <w:t>Change in net Comcast investment</w:t>
            </w:r>
          </w:p>
        </w:tc>
        <w:tc>
          <w:tcPr>
            <w:tcW w:w="7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(1,745)</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(2,142)</w:t>
            </w:r>
          </w:p>
        </w:tc>
        <w:tc>
          <w:tcPr>
            <w:tcW w:w="0" w:type="dxa"/>
            <w:vAlign w:val="bottom"/>
          </w:tcPr>
          <w:p>
            <w:pPr>
              <w:spacing w:after="0"/>
              <w:rPr>
                <w:sz w:val="1"/>
                <w:szCs w:val="1"/>
                <w:color w:val="auto"/>
              </w:rPr>
            </w:pPr>
          </w:p>
        </w:tc>
      </w:tr>
      <w:tr>
        <w:trPr>
          <w:trHeight w:val="157"/>
        </w:trPr>
        <w:tc>
          <w:tcPr>
            <w:tcW w:w="8540" w:type="dxa"/>
            <w:vAlign w:val="bottom"/>
          </w:tcPr>
          <w:p>
            <w:pPr>
              <w:ind w:left="140"/>
              <w:spacing w:after="0"/>
              <w:rPr>
                <w:sz w:val="20"/>
                <w:szCs w:val="20"/>
                <w:color w:val="auto"/>
              </w:rPr>
            </w:pPr>
            <w:r>
              <w:rPr>
                <w:rFonts w:ascii="Arial" w:cs="Arial" w:eastAsia="Arial" w:hAnsi="Arial"/>
                <w:sz w:val="12"/>
                <w:szCs w:val="12"/>
                <w:color w:val="auto"/>
              </w:rPr>
              <w:t>Other</w:t>
            </w:r>
          </w:p>
        </w:tc>
        <w:tc>
          <w:tcPr>
            <w:tcW w:w="7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w:t>
            </w: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42"/>
        </w:trPr>
        <w:tc>
          <w:tcPr>
            <w:tcW w:w="8540" w:type="dxa"/>
            <w:vAlign w:val="bottom"/>
          </w:tcPr>
          <w:p>
            <w:pPr>
              <w:spacing w:after="0"/>
              <w:rPr>
                <w:sz w:val="20"/>
                <w:szCs w:val="20"/>
                <w:color w:val="auto"/>
              </w:rPr>
            </w:pPr>
            <w:r>
              <w:rPr>
                <w:rFonts w:ascii="Arial" w:cs="Arial" w:eastAsia="Arial" w:hAnsi="Arial"/>
                <w:sz w:val="12"/>
                <w:szCs w:val="12"/>
                <w:b w:val="1"/>
                <w:bCs w:val="1"/>
                <w:color w:val="auto"/>
              </w:rPr>
              <w:t>Net cash used in financing activities</w:t>
            </w:r>
          </w:p>
        </w:tc>
        <w:tc>
          <w:tcPr>
            <w:tcW w:w="7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(782)</w:t>
            </w:r>
          </w:p>
        </w:tc>
        <w:tc>
          <w:tcPr>
            <w:tcW w:w="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(2,155)</w:t>
            </w:r>
          </w:p>
        </w:tc>
        <w:tc>
          <w:tcPr>
            <w:tcW w:w="0" w:type="dxa"/>
            <w:vAlign w:val="bottom"/>
          </w:tcPr>
          <w:p>
            <w:pPr>
              <w:spacing w:after="0"/>
              <w:rPr>
                <w:sz w:val="1"/>
                <w:szCs w:val="1"/>
                <w:color w:val="auto"/>
              </w:rPr>
            </w:pPr>
          </w:p>
        </w:tc>
      </w:tr>
      <w:tr>
        <w:trPr>
          <w:trHeight w:val="138"/>
        </w:trPr>
        <w:tc>
          <w:tcPr>
            <w:tcW w:w="8540" w:type="dxa"/>
            <w:vAlign w:val="bottom"/>
          </w:tcPr>
          <w:p>
            <w:pPr>
              <w:spacing w:after="0"/>
              <w:rPr>
                <w:sz w:val="20"/>
                <w:szCs w:val="20"/>
                <w:color w:val="auto"/>
              </w:rPr>
            </w:pPr>
            <w:r>
              <w:rPr>
                <w:rFonts w:ascii="Arial" w:cs="Arial" w:eastAsia="Arial" w:hAnsi="Arial"/>
                <w:sz w:val="12"/>
                <w:szCs w:val="12"/>
                <w:color w:val="auto"/>
              </w:rPr>
              <w:t>Increase (decrease) in cash, cash equivalents and restricted cash</w:t>
            </w:r>
          </w:p>
        </w:tc>
        <w:tc>
          <w:tcPr>
            <w:tcW w:w="780" w:type="dxa"/>
            <w:vAlign w:val="bottom"/>
          </w:tcPr>
          <w:p>
            <w:pPr>
              <w:spacing w:after="0"/>
              <w:rPr>
                <w:sz w:val="12"/>
                <w:szCs w:val="12"/>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1,084</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57"/>
        </w:trPr>
        <w:tc>
          <w:tcPr>
            <w:tcW w:w="8540" w:type="dxa"/>
            <w:vAlign w:val="bottom"/>
          </w:tcPr>
          <w:p>
            <w:pPr>
              <w:spacing w:after="0"/>
              <w:rPr>
                <w:sz w:val="20"/>
                <w:szCs w:val="20"/>
                <w:color w:val="auto"/>
              </w:rPr>
            </w:pPr>
            <w:r>
              <w:rPr>
                <w:rFonts w:ascii="Arial" w:cs="Arial" w:eastAsia="Arial" w:hAnsi="Arial"/>
                <w:sz w:val="12"/>
                <w:szCs w:val="12"/>
                <w:color w:val="auto"/>
              </w:rPr>
              <w:t>Cash and cash equivalents, beginning of year</w:t>
            </w:r>
          </w:p>
        </w:tc>
        <w:tc>
          <w:tcPr>
            <w:tcW w:w="7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42"/>
        </w:trPr>
        <w:tc>
          <w:tcPr>
            <w:tcW w:w="8540" w:type="dxa"/>
            <w:vAlign w:val="bottom"/>
          </w:tcPr>
          <w:p>
            <w:pPr>
              <w:spacing w:after="0"/>
              <w:rPr>
                <w:sz w:val="20"/>
                <w:szCs w:val="20"/>
                <w:color w:val="auto"/>
              </w:rPr>
            </w:pPr>
            <w:r>
              <w:rPr>
                <w:rFonts w:ascii="Arial" w:cs="Arial" w:eastAsia="Arial" w:hAnsi="Arial"/>
                <w:sz w:val="12"/>
                <w:szCs w:val="12"/>
                <w:b w:val="1"/>
                <w:bCs w:val="1"/>
                <w:color w:val="auto"/>
              </w:rPr>
              <w:t>Cash and cash equivalents and restricted cash, end of year</w:t>
            </w:r>
          </w:p>
        </w:tc>
        <w:tc>
          <w:tcPr>
            <w:tcW w:w="780" w:type="dxa"/>
            <w:vAlign w:val="bottom"/>
            <w:tcBorders>
              <w:bottom w:val="single" w:sz="8" w:color="auto"/>
            </w:tcBorders>
          </w:tcPr>
          <w:p>
            <w:pPr>
              <w:jc w:val="right"/>
              <w:ind w:right="644"/>
              <w:spacing w:after="0"/>
              <w:rPr>
                <w:sz w:val="20"/>
                <w:szCs w:val="20"/>
                <w:color w:val="auto"/>
              </w:rPr>
            </w:pPr>
            <w:r>
              <w:rPr>
                <w:rFonts w:ascii="Arial" w:cs="Arial" w:eastAsia="Arial" w:hAnsi="Arial"/>
                <w:sz w:val="12"/>
                <w:szCs w:val="12"/>
                <w:b w:val="1"/>
                <w:bCs w:val="1"/>
                <w:color w:val="auto"/>
                <w:w w:val="89"/>
              </w:rPr>
              <w:t>$</w:t>
            </w: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1,092</w:t>
            </w: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8</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00"/>
          </w:cols>
          <w:pgMar w:left="300" w:top="1009" w:right="29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648970</wp:posOffset>
            </wp:positionV>
            <wp:extent cx="7183755" cy="4051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3755" cy="4051935"/>
                    </a:xfrm>
                    <a:prstGeom prst="rect">
                      <a:avLst/>
                    </a:prstGeom>
                    <a:noFill/>
                  </pic:spPr>
                </pic:pic>
              </a:graphicData>
            </a:graphic>
          </wp:anchor>
        </w:drawing>
        <w:t>TABLE 3</w:t>
      </w:r>
    </w:p>
    <w:p>
      <w:pPr>
        <w:spacing w:after="0" w:line="219" w:lineRule="auto"/>
        <w:rPr>
          <w:sz w:val="20"/>
          <w:szCs w:val="20"/>
          <w:color w:val="auto"/>
        </w:rPr>
      </w:pPr>
      <w:r>
        <w:rPr>
          <w:rFonts w:ascii="Arial" w:cs="Arial" w:eastAsia="Arial" w:hAnsi="Arial"/>
          <w:sz w:val="12"/>
          <w:szCs w:val="12"/>
          <w:b w:val="1"/>
          <w:bCs w:val="1"/>
          <w:color w:val="auto"/>
        </w:rPr>
        <w:t>Combined Balance Sheets</w:t>
      </w:r>
    </w:p>
    <w:p>
      <w:pPr>
        <w:spacing w:after="0"/>
        <w:rPr>
          <w:sz w:val="20"/>
          <w:szCs w:val="20"/>
          <w:color w:val="auto"/>
        </w:rPr>
      </w:pPr>
      <w:r>
        <w:rPr>
          <w:rFonts w:ascii="Arial" w:cs="Arial" w:eastAsia="Arial" w:hAnsi="Arial"/>
          <w:sz w:val="12"/>
          <w:szCs w:val="12"/>
          <w:b w:val="1"/>
          <w:bCs w:val="1"/>
          <w:color w:val="auto"/>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822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December 31,</w:t>
            </w: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20" w:type="dxa"/>
            <w:vAlign w:val="bottom"/>
          </w:tcPr>
          <w:p>
            <w:pPr>
              <w:spacing w:after="0"/>
              <w:rPr>
                <w:sz w:val="11"/>
                <w:szCs w:val="11"/>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60"/>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22"/>
        </w:trPr>
        <w:tc>
          <w:tcPr>
            <w:tcW w:w="8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0"/>
                <w:szCs w:val="10"/>
                <w:b w:val="1"/>
                <w:bCs w:val="1"/>
                <w:i w:val="1"/>
                <w:iCs w:val="1"/>
                <w:color w:val="auto"/>
              </w:rPr>
              <w:t>(in millions)</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2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220" w:type="dxa"/>
            <w:vAlign w:val="bottom"/>
          </w:tcPr>
          <w:p>
            <w:pPr>
              <w:spacing w:after="0"/>
              <w:rPr>
                <w:sz w:val="20"/>
                <w:szCs w:val="20"/>
                <w:color w:val="auto"/>
              </w:rPr>
            </w:pPr>
            <w:r>
              <w:rPr>
                <w:rFonts w:ascii="Arial" w:cs="Arial" w:eastAsia="Arial" w:hAnsi="Arial"/>
                <w:sz w:val="12"/>
                <w:szCs w:val="12"/>
                <w:color w:val="auto"/>
              </w:rPr>
              <w:t>Current Assets:</w:t>
            </w: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220" w:type="dxa"/>
            <w:vAlign w:val="bottom"/>
          </w:tcPr>
          <w:p>
            <w:pPr>
              <w:ind w:left="140"/>
              <w:spacing w:after="0"/>
              <w:rPr>
                <w:sz w:val="20"/>
                <w:szCs w:val="20"/>
                <w:color w:val="auto"/>
              </w:rPr>
            </w:pPr>
            <w:r>
              <w:rPr>
                <w:rFonts w:ascii="Arial" w:cs="Arial" w:eastAsia="Arial" w:hAnsi="Arial"/>
                <w:sz w:val="12"/>
                <w:szCs w:val="12"/>
                <w:color w:val="auto"/>
              </w:rPr>
              <w:t>Cash and cash equivalents</w:t>
            </w:r>
          </w:p>
        </w:tc>
        <w:tc>
          <w:tcPr>
            <w:tcW w:w="960" w:type="dxa"/>
            <w:vAlign w:val="bottom"/>
          </w:tcPr>
          <w:p>
            <w:pPr>
              <w:jc w:val="right"/>
              <w:ind w:right="801"/>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55</w:t>
            </w:r>
          </w:p>
        </w:tc>
        <w:tc>
          <w:tcPr>
            <w:tcW w:w="80" w:type="dxa"/>
            <w:vAlign w:val="bottom"/>
          </w:tcPr>
          <w:p>
            <w:pPr>
              <w:spacing w:after="0"/>
              <w:rPr>
                <w:sz w:val="14"/>
                <w:szCs w:val="14"/>
                <w:color w:val="auto"/>
              </w:rPr>
            </w:pP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62"/>
        </w:trPr>
        <w:tc>
          <w:tcPr>
            <w:tcW w:w="8220" w:type="dxa"/>
            <w:vAlign w:val="bottom"/>
          </w:tcPr>
          <w:p>
            <w:pPr>
              <w:ind w:left="140"/>
              <w:spacing w:after="0"/>
              <w:rPr>
                <w:sz w:val="20"/>
                <w:szCs w:val="20"/>
                <w:color w:val="auto"/>
              </w:rPr>
            </w:pPr>
            <w:r>
              <w:rPr>
                <w:rFonts w:ascii="Arial" w:cs="Arial" w:eastAsia="Arial" w:hAnsi="Arial"/>
                <w:sz w:val="12"/>
                <w:szCs w:val="12"/>
                <w:color w:val="auto"/>
              </w:rPr>
              <w:t>Restricted cash</w:t>
            </w:r>
          </w:p>
        </w:tc>
        <w:tc>
          <w:tcPr>
            <w:tcW w:w="960" w:type="dxa"/>
            <w:vAlign w:val="bottom"/>
          </w:tcPr>
          <w:p>
            <w:pPr>
              <w:spacing w:after="0"/>
              <w:rPr>
                <w:sz w:val="14"/>
                <w:szCs w:val="14"/>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1,034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8220" w:type="dxa"/>
            <w:vAlign w:val="bottom"/>
          </w:tcPr>
          <w:p>
            <w:pPr>
              <w:ind w:left="140"/>
              <w:spacing w:after="0"/>
              <w:rPr>
                <w:sz w:val="20"/>
                <w:szCs w:val="20"/>
                <w:color w:val="auto"/>
              </w:rPr>
            </w:pPr>
            <w:r>
              <w:rPr>
                <w:rFonts w:ascii="Arial" w:cs="Arial" w:eastAsia="Arial" w:hAnsi="Arial"/>
                <w:sz w:val="12"/>
                <w:szCs w:val="12"/>
                <w:color w:val="auto"/>
              </w:rPr>
              <w:t>Receivables, net</w:t>
            </w:r>
          </w:p>
        </w:tc>
        <w:tc>
          <w:tcPr>
            <w:tcW w:w="960" w:type="dxa"/>
            <w:vAlign w:val="bottom"/>
          </w:tcPr>
          <w:p>
            <w:pPr>
              <w:spacing w:after="0"/>
              <w:rPr>
                <w:sz w:val="14"/>
                <w:szCs w:val="14"/>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1,151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1,245</w:t>
            </w:r>
          </w:p>
        </w:tc>
        <w:tc>
          <w:tcPr>
            <w:tcW w:w="0" w:type="dxa"/>
            <w:vAlign w:val="bottom"/>
          </w:tcPr>
          <w:p>
            <w:pPr>
              <w:spacing w:after="0"/>
              <w:rPr>
                <w:sz w:val="1"/>
                <w:szCs w:val="1"/>
                <w:color w:val="auto"/>
              </w:rPr>
            </w:pPr>
          </w:p>
        </w:tc>
      </w:tr>
      <w:tr>
        <w:trPr>
          <w:trHeight w:val="162"/>
        </w:trPr>
        <w:tc>
          <w:tcPr>
            <w:tcW w:w="8220" w:type="dxa"/>
            <w:vAlign w:val="bottom"/>
          </w:tcPr>
          <w:p>
            <w:pPr>
              <w:ind w:left="140"/>
              <w:spacing w:after="0"/>
              <w:rPr>
                <w:sz w:val="20"/>
                <w:szCs w:val="20"/>
                <w:color w:val="auto"/>
              </w:rPr>
            </w:pPr>
            <w:r>
              <w:rPr>
                <w:rFonts w:ascii="Arial" w:cs="Arial" w:eastAsia="Arial" w:hAnsi="Arial"/>
                <w:sz w:val="12"/>
                <w:szCs w:val="12"/>
                <w:color w:val="auto"/>
              </w:rPr>
              <w:t>Assets held for sale</w:t>
            </w:r>
          </w:p>
        </w:tc>
        <w:tc>
          <w:tcPr>
            <w:tcW w:w="960" w:type="dxa"/>
            <w:vAlign w:val="bottom"/>
          </w:tcPr>
          <w:p>
            <w:pPr>
              <w:spacing w:after="0"/>
              <w:rPr>
                <w:sz w:val="14"/>
                <w:szCs w:val="14"/>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196</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8220" w:type="dxa"/>
            <w:vAlign w:val="bottom"/>
          </w:tcPr>
          <w:p>
            <w:pPr>
              <w:ind w:left="140"/>
              <w:spacing w:after="0"/>
              <w:rPr>
                <w:sz w:val="20"/>
                <w:szCs w:val="20"/>
                <w:color w:val="auto"/>
              </w:rPr>
            </w:pPr>
            <w:r>
              <w:rPr>
                <w:rFonts w:ascii="Arial" w:cs="Arial" w:eastAsia="Arial" w:hAnsi="Arial"/>
                <w:sz w:val="12"/>
                <w:szCs w:val="12"/>
                <w:color w:val="auto"/>
              </w:rPr>
              <w:t>Other current assets</w:t>
            </w: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66</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147"/>
        </w:trPr>
        <w:tc>
          <w:tcPr>
            <w:tcW w:w="8220" w:type="dxa"/>
            <w:vAlign w:val="bottom"/>
          </w:tcPr>
          <w:p>
            <w:pPr>
              <w:spacing w:after="0"/>
              <w:rPr>
                <w:sz w:val="20"/>
                <w:szCs w:val="20"/>
                <w:color w:val="auto"/>
              </w:rPr>
            </w:pPr>
            <w:r>
              <w:rPr>
                <w:rFonts w:ascii="Arial" w:cs="Arial" w:eastAsia="Arial" w:hAnsi="Arial"/>
                <w:sz w:val="12"/>
                <w:szCs w:val="12"/>
                <w:color w:val="auto"/>
              </w:rPr>
              <w:t>Total current assets</w:t>
            </w:r>
          </w:p>
        </w:tc>
        <w:tc>
          <w:tcPr>
            <w:tcW w:w="960" w:type="dxa"/>
            <w:vAlign w:val="bottom"/>
          </w:tcPr>
          <w:p>
            <w:pPr>
              <w:spacing w:after="0"/>
              <w:rPr>
                <w:sz w:val="12"/>
                <w:szCs w:val="12"/>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2,502</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1,318</w:t>
            </w:r>
          </w:p>
        </w:tc>
        <w:tc>
          <w:tcPr>
            <w:tcW w:w="0" w:type="dxa"/>
            <w:vAlign w:val="bottom"/>
          </w:tcPr>
          <w:p>
            <w:pPr>
              <w:spacing w:after="0"/>
              <w:rPr>
                <w:sz w:val="1"/>
                <w:szCs w:val="1"/>
                <w:color w:val="auto"/>
              </w:rPr>
            </w:pPr>
          </w:p>
        </w:tc>
      </w:tr>
      <w:tr>
        <w:trPr>
          <w:trHeight w:val="159"/>
        </w:trPr>
        <w:tc>
          <w:tcPr>
            <w:tcW w:w="8220" w:type="dxa"/>
            <w:vAlign w:val="bottom"/>
          </w:tcPr>
          <w:p>
            <w:pPr>
              <w:spacing w:after="0"/>
              <w:rPr>
                <w:sz w:val="20"/>
                <w:szCs w:val="20"/>
                <w:color w:val="auto"/>
              </w:rPr>
            </w:pPr>
            <w:r>
              <w:rPr>
                <w:rFonts w:ascii="Arial" w:cs="Arial" w:eastAsia="Arial" w:hAnsi="Arial"/>
                <w:sz w:val="12"/>
                <w:szCs w:val="12"/>
                <w:color w:val="auto"/>
              </w:rPr>
              <w:t>Content costs</w:t>
            </w:r>
          </w:p>
        </w:tc>
        <w:tc>
          <w:tcPr>
            <w:tcW w:w="960" w:type="dxa"/>
            <w:vAlign w:val="bottom"/>
          </w:tcPr>
          <w:p>
            <w:pPr>
              <w:spacing w:after="0"/>
              <w:rPr>
                <w:sz w:val="13"/>
                <w:szCs w:val="13"/>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539</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639</w:t>
            </w:r>
          </w:p>
        </w:tc>
        <w:tc>
          <w:tcPr>
            <w:tcW w:w="0" w:type="dxa"/>
            <w:vAlign w:val="bottom"/>
          </w:tcPr>
          <w:p>
            <w:pPr>
              <w:spacing w:after="0"/>
              <w:rPr>
                <w:sz w:val="1"/>
                <w:szCs w:val="1"/>
                <w:color w:val="auto"/>
              </w:rPr>
            </w:pPr>
          </w:p>
        </w:tc>
      </w:tr>
      <w:tr>
        <w:trPr>
          <w:trHeight w:val="162"/>
        </w:trPr>
        <w:tc>
          <w:tcPr>
            <w:tcW w:w="8220" w:type="dxa"/>
            <w:vAlign w:val="bottom"/>
          </w:tcPr>
          <w:p>
            <w:pPr>
              <w:spacing w:after="0"/>
              <w:rPr>
                <w:sz w:val="20"/>
                <w:szCs w:val="20"/>
                <w:color w:val="auto"/>
              </w:rPr>
            </w:pPr>
            <w:r>
              <w:rPr>
                <w:rFonts w:ascii="Arial" w:cs="Arial" w:eastAsia="Arial" w:hAnsi="Arial"/>
                <w:sz w:val="12"/>
                <w:szCs w:val="12"/>
                <w:color w:val="auto"/>
              </w:rPr>
              <w:t>Investments</w:t>
            </w:r>
          </w:p>
        </w:tc>
        <w:tc>
          <w:tcPr>
            <w:tcW w:w="960" w:type="dxa"/>
            <w:vAlign w:val="bottom"/>
          </w:tcPr>
          <w:p>
            <w:pPr>
              <w:spacing w:after="0"/>
              <w:rPr>
                <w:sz w:val="14"/>
                <w:szCs w:val="14"/>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214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254</w:t>
            </w:r>
          </w:p>
        </w:tc>
        <w:tc>
          <w:tcPr>
            <w:tcW w:w="0" w:type="dxa"/>
            <w:vAlign w:val="bottom"/>
          </w:tcPr>
          <w:p>
            <w:pPr>
              <w:spacing w:after="0"/>
              <w:rPr>
                <w:sz w:val="1"/>
                <w:szCs w:val="1"/>
                <w:color w:val="auto"/>
              </w:rPr>
            </w:pPr>
          </w:p>
        </w:tc>
      </w:tr>
      <w:tr>
        <w:trPr>
          <w:trHeight w:val="162"/>
        </w:trPr>
        <w:tc>
          <w:tcPr>
            <w:tcW w:w="8220" w:type="dxa"/>
            <w:vAlign w:val="bottom"/>
          </w:tcPr>
          <w:p>
            <w:pPr>
              <w:spacing w:after="0"/>
              <w:rPr>
                <w:sz w:val="20"/>
                <w:szCs w:val="20"/>
                <w:color w:val="auto"/>
              </w:rPr>
            </w:pPr>
            <w:r>
              <w:rPr>
                <w:rFonts w:ascii="Arial" w:cs="Arial" w:eastAsia="Arial" w:hAnsi="Arial"/>
                <w:sz w:val="12"/>
                <w:szCs w:val="12"/>
                <w:color w:val="auto"/>
              </w:rPr>
              <w:t>Property and equipment, net</w:t>
            </w:r>
          </w:p>
        </w:tc>
        <w:tc>
          <w:tcPr>
            <w:tcW w:w="960" w:type="dxa"/>
            <w:vAlign w:val="bottom"/>
          </w:tcPr>
          <w:p>
            <w:pPr>
              <w:spacing w:after="0"/>
              <w:rPr>
                <w:sz w:val="14"/>
                <w:szCs w:val="14"/>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423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143</w:t>
            </w:r>
          </w:p>
        </w:tc>
        <w:tc>
          <w:tcPr>
            <w:tcW w:w="0" w:type="dxa"/>
            <w:vAlign w:val="bottom"/>
          </w:tcPr>
          <w:p>
            <w:pPr>
              <w:spacing w:after="0"/>
              <w:rPr>
                <w:sz w:val="1"/>
                <w:szCs w:val="1"/>
                <w:color w:val="auto"/>
              </w:rPr>
            </w:pPr>
          </w:p>
        </w:tc>
      </w:tr>
      <w:tr>
        <w:trPr>
          <w:trHeight w:val="162"/>
        </w:trPr>
        <w:tc>
          <w:tcPr>
            <w:tcW w:w="8220" w:type="dxa"/>
            <w:vAlign w:val="bottom"/>
          </w:tcPr>
          <w:p>
            <w:pPr>
              <w:spacing w:after="0"/>
              <w:rPr>
                <w:sz w:val="20"/>
                <w:szCs w:val="20"/>
                <w:color w:val="auto"/>
              </w:rPr>
            </w:pPr>
            <w:r>
              <w:rPr>
                <w:rFonts w:ascii="Arial" w:cs="Arial" w:eastAsia="Arial" w:hAnsi="Arial"/>
                <w:sz w:val="12"/>
                <w:szCs w:val="12"/>
                <w:color w:val="auto"/>
              </w:rPr>
              <w:t>Intangible assets, net</w:t>
            </w:r>
          </w:p>
        </w:tc>
        <w:tc>
          <w:tcPr>
            <w:tcW w:w="960" w:type="dxa"/>
            <w:vAlign w:val="bottom"/>
          </w:tcPr>
          <w:p>
            <w:pPr>
              <w:spacing w:after="0"/>
              <w:rPr>
                <w:sz w:val="14"/>
                <w:szCs w:val="14"/>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924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1,869</w:t>
            </w:r>
          </w:p>
        </w:tc>
        <w:tc>
          <w:tcPr>
            <w:tcW w:w="0" w:type="dxa"/>
            <w:vAlign w:val="bottom"/>
          </w:tcPr>
          <w:p>
            <w:pPr>
              <w:spacing w:after="0"/>
              <w:rPr>
                <w:sz w:val="1"/>
                <w:szCs w:val="1"/>
                <w:color w:val="auto"/>
              </w:rPr>
            </w:pPr>
          </w:p>
        </w:tc>
      </w:tr>
      <w:tr>
        <w:trPr>
          <w:trHeight w:val="162"/>
        </w:trPr>
        <w:tc>
          <w:tcPr>
            <w:tcW w:w="8220" w:type="dxa"/>
            <w:vAlign w:val="bottom"/>
          </w:tcPr>
          <w:p>
            <w:pPr>
              <w:spacing w:after="0"/>
              <w:rPr>
                <w:sz w:val="20"/>
                <w:szCs w:val="20"/>
                <w:color w:val="auto"/>
              </w:rPr>
            </w:pPr>
            <w:r>
              <w:rPr>
                <w:rFonts w:ascii="Arial" w:cs="Arial" w:eastAsia="Arial" w:hAnsi="Arial"/>
                <w:sz w:val="12"/>
                <w:szCs w:val="12"/>
                <w:color w:val="auto"/>
              </w:rPr>
              <w:t>Goodwill</w:t>
            </w:r>
          </w:p>
        </w:tc>
        <w:tc>
          <w:tcPr>
            <w:tcW w:w="960" w:type="dxa"/>
            <w:vAlign w:val="bottom"/>
          </w:tcPr>
          <w:p>
            <w:pPr>
              <w:spacing w:after="0"/>
              <w:rPr>
                <w:sz w:val="14"/>
                <w:szCs w:val="14"/>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7,611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7,732</w:t>
            </w:r>
          </w:p>
        </w:tc>
        <w:tc>
          <w:tcPr>
            <w:tcW w:w="0" w:type="dxa"/>
            <w:vAlign w:val="bottom"/>
          </w:tcPr>
          <w:p>
            <w:pPr>
              <w:spacing w:after="0"/>
              <w:rPr>
                <w:sz w:val="1"/>
                <w:szCs w:val="1"/>
                <w:color w:val="auto"/>
              </w:rPr>
            </w:pPr>
          </w:p>
        </w:tc>
      </w:tr>
      <w:tr>
        <w:trPr>
          <w:trHeight w:val="160"/>
        </w:trPr>
        <w:tc>
          <w:tcPr>
            <w:tcW w:w="8220" w:type="dxa"/>
            <w:vAlign w:val="bottom"/>
          </w:tcPr>
          <w:p>
            <w:pPr>
              <w:spacing w:after="0"/>
              <w:rPr>
                <w:sz w:val="20"/>
                <w:szCs w:val="20"/>
                <w:color w:val="auto"/>
              </w:rPr>
            </w:pPr>
            <w:r>
              <w:rPr>
                <w:rFonts w:ascii="Arial" w:cs="Arial" w:eastAsia="Arial" w:hAnsi="Arial"/>
                <w:sz w:val="12"/>
                <w:szCs w:val="12"/>
                <w:color w:val="auto"/>
              </w:rPr>
              <w:t>Other noncurrent assets, net</w:t>
            </w: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120</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w:t>
            </w:r>
          </w:p>
        </w:tc>
        <w:tc>
          <w:tcPr>
            <w:tcW w:w="0" w:type="dxa"/>
            <w:vAlign w:val="bottom"/>
          </w:tcPr>
          <w:p>
            <w:pPr>
              <w:spacing w:after="0"/>
              <w:rPr>
                <w:sz w:val="1"/>
                <w:szCs w:val="1"/>
                <w:color w:val="auto"/>
              </w:rPr>
            </w:pPr>
          </w:p>
        </w:tc>
      </w:tr>
      <w:tr>
        <w:trPr>
          <w:trHeight w:val="142"/>
        </w:trPr>
        <w:tc>
          <w:tcPr>
            <w:tcW w:w="8220" w:type="dxa"/>
            <w:vAlign w:val="bottom"/>
          </w:tcPr>
          <w:p>
            <w:pPr>
              <w:spacing w:after="0"/>
              <w:rPr>
                <w:sz w:val="20"/>
                <w:szCs w:val="20"/>
                <w:color w:val="auto"/>
              </w:rPr>
            </w:pPr>
            <w:r>
              <w:rPr>
                <w:rFonts w:ascii="Arial" w:cs="Arial" w:eastAsia="Arial" w:hAnsi="Arial"/>
                <w:sz w:val="12"/>
                <w:szCs w:val="12"/>
                <w:b w:val="1"/>
                <w:bCs w:val="1"/>
                <w:color w:val="auto"/>
              </w:rPr>
              <w:t>Total assets</w:t>
            </w:r>
          </w:p>
        </w:tc>
        <w:tc>
          <w:tcPr>
            <w:tcW w:w="960" w:type="dxa"/>
            <w:vAlign w:val="bottom"/>
            <w:tcBorders>
              <w:bottom w:val="single" w:sz="8" w:color="auto"/>
            </w:tcBorders>
          </w:tcPr>
          <w:p>
            <w:pPr>
              <w:jc w:val="right"/>
              <w:ind w:right="801"/>
              <w:spacing w:after="0"/>
              <w:rPr>
                <w:sz w:val="20"/>
                <w:szCs w:val="20"/>
                <w:color w:val="auto"/>
              </w:rPr>
            </w:pPr>
            <w:r>
              <w:rPr>
                <w:rFonts w:ascii="Arial" w:cs="Arial" w:eastAsia="Arial" w:hAnsi="Arial"/>
                <w:sz w:val="12"/>
                <w:szCs w:val="12"/>
                <w:b w:val="1"/>
                <w:bCs w:val="1"/>
                <w:color w:val="auto"/>
              </w:rPr>
              <w:t>$</w:t>
            </w: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12,333</w:t>
            </w:r>
          </w:p>
        </w:tc>
        <w:tc>
          <w:tcPr>
            <w:tcW w:w="80" w:type="dxa"/>
            <w:vAlign w:val="bottom"/>
          </w:tcPr>
          <w:p>
            <w:pPr>
              <w:spacing w:after="0"/>
              <w:rPr>
                <w:sz w:val="12"/>
                <w:szCs w:val="12"/>
                <w:color w:val="auto"/>
              </w:rPr>
            </w:pPr>
          </w:p>
        </w:tc>
        <w:tc>
          <w:tcPr>
            <w:tcW w:w="4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12,049</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2"/>
                <w:szCs w:val="12"/>
                <w:b w:val="1"/>
                <w:bCs w:val="1"/>
                <w:color w:val="auto"/>
              </w:rPr>
              <w:t>Liabilities and Equity</w:t>
            </w: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822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8220" w:type="dxa"/>
            <w:vAlign w:val="bottom"/>
          </w:tcPr>
          <w:p>
            <w:pPr>
              <w:spacing w:after="0"/>
              <w:rPr>
                <w:sz w:val="20"/>
                <w:szCs w:val="20"/>
                <w:color w:val="auto"/>
              </w:rPr>
            </w:pPr>
            <w:r>
              <w:rPr>
                <w:rFonts w:ascii="Arial" w:cs="Arial" w:eastAsia="Arial" w:hAnsi="Arial"/>
                <w:sz w:val="12"/>
                <w:szCs w:val="12"/>
                <w:color w:val="auto"/>
              </w:rPr>
              <w:t>Current Liabilities:</w:t>
            </w: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220" w:type="dxa"/>
            <w:vAlign w:val="bottom"/>
          </w:tcPr>
          <w:p>
            <w:pPr>
              <w:ind w:left="140"/>
              <w:spacing w:after="0"/>
              <w:rPr>
                <w:sz w:val="20"/>
                <w:szCs w:val="20"/>
                <w:color w:val="auto"/>
              </w:rPr>
            </w:pPr>
            <w:r>
              <w:rPr>
                <w:rFonts w:ascii="Arial" w:cs="Arial" w:eastAsia="Arial" w:hAnsi="Arial"/>
                <w:sz w:val="12"/>
                <w:szCs w:val="12"/>
                <w:color w:val="auto"/>
              </w:rPr>
              <w:t>Accounts payable</w:t>
            </w:r>
          </w:p>
        </w:tc>
        <w:tc>
          <w:tcPr>
            <w:tcW w:w="960" w:type="dxa"/>
            <w:vAlign w:val="bottom"/>
          </w:tcPr>
          <w:p>
            <w:pPr>
              <w:jc w:val="right"/>
              <w:ind w:right="801"/>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151</w:t>
            </w:r>
          </w:p>
        </w:tc>
        <w:tc>
          <w:tcPr>
            <w:tcW w:w="80" w:type="dxa"/>
            <w:vAlign w:val="bottom"/>
          </w:tcPr>
          <w:p>
            <w:pPr>
              <w:spacing w:after="0"/>
              <w:rPr>
                <w:sz w:val="14"/>
                <w:szCs w:val="14"/>
                <w:color w:val="auto"/>
              </w:rPr>
            </w:pP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162"/>
        </w:trPr>
        <w:tc>
          <w:tcPr>
            <w:tcW w:w="8220" w:type="dxa"/>
            <w:vAlign w:val="bottom"/>
          </w:tcPr>
          <w:p>
            <w:pPr>
              <w:ind w:left="140"/>
              <w:spacing w:after="0"/>
              <w:rPr>
                <w:sz w:val="20"/>
                <w:szCs w:val="20"/>
                <w:color w:val="auto"/>
              </w:rPr>
            </w:pPr>
            <w:r>
              <w:rPr>
                <w:rFonts w:ascii="Arial" w:cs="Arial" w:eastAsia="Arial" w:hAnsi="Arial"/>
                <w:sz w:val="12"/>
                <w:szCs w:val="12"/>
                <w:color w:val="auto"/>
              </w:rPr>
              <w:t>Deferred revenue</w:t>
            </w:r>
          </w:p>
        </w:tc>
        <w:tc>
          <w:tcPr>
            <w:tcW w:w="960" w:type="dxa"/>
            <w:vAlign w:val="bottom"/>
          </w:tcPr>
          <w:p>
            <w:pPr>
              <w:spacing w:after="0"/>
              <w:rPr>
                <w:sz w:val="14"/>
                <w:szCs w:val="14"/>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163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62"/>
        </w:trPr>
        <w:tc>
          <w:tcPr>
            <w:tcW w:w="8220" w:type="dxa"/>
            <w:vAlign w:val="bottom"/>
          </w:tcPr>
          <w:p>
            <w:pPr>
              <w:ind w:left="140"/>
              <w:spacing w:after="0"/>
              <w:rPr>
                <w:sz w:val="20"/>
                <w:szCs w:val="20"/>
                <w:color w:val="auto"/>
              </w:rPr>
            </w:pPr>
            <w:r>
              <w:rPr>
                <w:rFonts w:ascii="Arial" w:cs="Arial" w:eastAsia="Arial" w:hAnsi="Arial"/>
                <w:sz w:val="12"/>
                <w:szCs w:val="12"/>
                <w:color w:val="auto"/>
              </w:rPr>
              <w:t>Accrued content obligations</w:t>
            </w:r>
          </w:p>
        </w:tc>
        <w:tc>
          <w:tcPr>
            <w:tcW w:w="960" w:type="dxa"/>
            <w:vAlign w:val="bottom"/>
          </w:tcPr>
          <w:p>
            <w:pPr>
              <w:spacing w:after="0"/>
              <w:rPr>
                <w:sz w:val="14"/>
                <w:szCs w:val="14"/>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105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198</w:t>
            </w:r>
          </w:p>
        </w:tc>
        <w:tc>
          <w:tcPr>
            <w:tcW w:w="0" w:type="dxa"/>
            <w:vAlign w:val="bottom"/>
          </w:tcPr>
          <w:p>
            <w:pPr>
              <w:spacing w:after="0"/>
              <w:rPr>
                <w:sz w:val="1"/>
                <w:szCs w:val="1"/>
                <w:color w:val="auto"/>
              </w:rPr>
            </w:pPr>
          </w:p>
        </w:tc>
      </w:tr>
      <w:tr>
        <w:trPr>
          <w:trHeight w:val="162"/>
        </w:trPr>
        <w:tc>
          <w:tcPr>
            <w:tcW w:w="8220" w:type="dxa"/>
            <w:vAlign w:val="bottom"/>
          </w:tcPr>
          <w:p>
            <w:pPr>
              <w:ind w:left="140"/>
              <w:spacing w:after="0"/>
              <w:rPr>
                <w:sz w:val="20"/>
                <w:szCs w:val="20"/>
                <w:color w:val="auto"/>
              </w:rPr>
            </w:pPr>
            <w:r>
              <w:rPr>
                <w:rFonts w:ascii="Arial" w:cs="Arial" w:eastAsia="Arial" w:hAnsi="Arial"/>
                <w:sz w:val="12"/>
                <w:szCs w:val="12"/>
                <w:color w:val="auto"/>
              </w:rPr>
              <w:t>Accrued employee costs</w:t>
            </w:r>
          </w:p>
        </w:tc>
        <w:tc>
          <w:tcPr>
            <w:tcW w:w="960" w:type="dxa"/>
            <w:vAlign w:val="bottom"/>
          </w:tcPr>
          <w:p>
            <w:pPr>
              <w:spacing w:after="0"/>
              <w:rPr>
                <w:sz w:val="14"/>
                <w:szCs w:val="14"/>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62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60"/>
        </w:trPr>
        <w:tc>
          <w:tcPr>
            <w:tcW w:w="8220" w:type="dxa"/>
            <w:vAlign w:val="bottom"/>
          </w:tcPr>
          <w:p>
            <w:pPr>
              <w:ind w:left="140"/>
              <w:spacing w:after="0"/>
              <w:rPr>
                <w:sz w:val="20"/>
                <w:szCs w:val="20"/>
                <w:color w:val="auto"/>
              </w:rPr>
            </w:pPr>
            <w:r>
              <w:rPr>
                <w:rFonts w:ascii="Arial" w:cs="Arial" w:eastAsia="Arial" w:hAnsi="Arial"/>
                <w:sz w:val="12"/>
                <w:szCs w:val="12"/>
                <w:color w:val="auto"/>
              </w:rPr>
              <w:t>Accrued expenses and other current liabilities</w:t>
            </w: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141</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r>
        <w:trPr>
          <w:trHeight w:val="147"/>
        </w:trPr>
        <w:tc>
          <w:tcPr>
            <w:tcW w:w="8220" w:type="dxa"/>
            <w:vAlign w:val="bottom"/>
          </w:tcPr>
          <w:p>
            <w:pPr>
              <w:spacing w:after="0"/>
              <w:rPr>
                <w:sz w:val="20"/>
                <w:szCs w:val="20"/>
                <w:color w:val="auto"/>
              </w:rPr>
            </w:pPr>
            <w:r>
              <w:rPr>
                <w:rFonts w:ascii="Arial" w:cs="Arial" w:eastAsia="Arial" w:hAnsi="Arial"/>
                <w:sz w:val="12"/>
                <w:szCs w:val="12"/>
                <w:color w:val="auto"/>
              </w:rPr>
              <w:t>Total current liabilities</w:t>
            </w:r>
          </w:p>
        </w:tc>
        <w:tc>
          <w:tcPr>
            <w:tcW w:w="960" w:type="dxa"/>
            <w:vAlign w:val="bottom"/>
          </w:tcPr>
          <w:p>
            <w:pPr>
              <w:spacing w:after="0"/>
              <w:rPr>
                <w:sz w:val="12"/>
                <w:szCs w:val="12"/>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622</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590</w:t>
            </w:r>
          </w:p>
        </w:tc>
        <w:tc>
          <w:tcPr>
            <w:tcW w:w="0" w:type="dxa"/>
            <w:vAlign w:val="bottom"/>
          </w:tcPr>
          <w:p>
            <w:pPr>
              <w:spacing w:after="0"/>
              <w:rPr>
                <w:sz w:val="1"/>
                <w:szCs w:val="1"/>
                <w:color w:val="auto"/>
              </w:rPr>
            </w:pPr>
          </w:p>
        </w:tc>
      </w:tr>
      <w:tr>
        <w:trPr>
          <w:trHeight w:val="159"/>
        </w:trPr>
        <w:tc>
          <w:tcPr>
            <w:tcW w:w="8220" w:type="dxa"/>
            <w:vAlign w:val="bottom"/>
          </w:tcPr>
          <w:p>
            <w:pPr>
              <w:spacing w:after="0"/>
              <w:rPr>
                <w:sz w:val="20"/>
                <w:szCs w:val="20"/>
                <w:color w:val="auto"/>
              </w:rPr>
            </w:pPr>
            <w:r>
              <w:rPr>
                <w:rFonts w:ascii="Arial" w:cs="Arial" w:eastAsia="Arial" w:hAnsi="Arial"/>
                <w:sz w:val="12"/>
                <w:szCs w:val="12"/>
                <w:color w:val="auto"/>
              </w:rPr>
              <w:t>Deferred income taxes</w:t>
            </w:r>
          </w:p>
        </w:tc>
        <w:tc>
          <w:tcPr>
            <w:tcW w:w="960" w:type="dxa"/>
            <w:vAlign w:val="bottom"/>
          </w:tcPr>
          <w:p>
            <w:pPr>
              <w:spacing w:after="0"/>
              <w:rPr>
                <w:sz w:val="13"/>
                <w:szCs w:val="13"/>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191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428</w:t>
            </w:r>
          </w:p>
        </w:tc>
        <w:tc>
          <w:tcPr>
            <w:tcW w:w="0" w:type="dxa"/>
            <w:vAlign w:val="bottom"/>
          </w:tcPr>
          <w:p>
            <w:pPr>
              <w:spacing w:after="0"/>
              <w:rPr>
                <w:sz w:val="1"/>
                <w:szCs w:val="1"/>
                <w:color w:val="auto"/>
              </w:rPr>
            </w:pPr>
          </w:p>
        </w:tc>
      </w:tr>
      <w:tr>
        <w:trPr>
          <w:trHeight w:val="162"/>
        </w:trPr>
        <w:tc>
          <w:tcPr>
            <w:tcW w:w="8220" w:type="dxa"/>
            <w:vAlign w:val="bottom"/>
          </w:tcPr>
          <w:p>
            <w:pPr>
              <w:spacing w:after="0"/>
              <w:rPr>
                <w:sz w:val="20"/>
                <w:szCs w:val="20"/>
                <w:color w:val="auto"/>
              </w:rPr>
            </w:pPr>
            <w:r>
              <w:rPr>
                <w:rFonts w:ascii="Arial" w:cs="Arial" w:eastAsia="Arial" w:hAnsi="Arial"/>
                <w:sz w:val="12"/>
                <w:szCs w:val="12"/>
                <w:color w:val="auto"/>
              </w:rPr>
              <w:t>Noncurrent content obligations</w:t>
            </w:r>
          </w:p>
        </w:tc>
        <w:tc>
          <w:tcPr>
            <w:tcW w:w="960" w:type="dxa"/>
            <w:vAlign w:val="bottom"/>
          </w:tcPr>
          <w:p>
            <w:pPr>
              <w:spacing w:after="0"/>
              <w:rPr>
                <w:sz w:val="14"/>
                <w:szCs w:val="14"/>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72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162"/>
        </w:trPr>
        <w:tc>
          <w:tcPr>
            <w:tcW w:w="8220" w:type="dxa"/>
            <w:vAlign w:val="bottom"/>
          </w:tcPr>
          <w:p>
            <w:pPr>
              <w:spacing w:after="0"/>
              <w:rPr>
                <w:sz w:val="20"/>
                <w:szCs w:val="20"/>
                <w:color w:val="auto"/>
              </w:rPr>
            </w:pPr>
            <w:r>
              <w:rPr>
                <w:rFonts w:ascii="Arial" w:cs="Arial" w:eastAsia="Arial" w:hAnsi="Arial"/>
                <w:sz w:val="12"/>
                <w:szCs w:val="12"/>
                <w:color w:val="auto"/>
              </w:rPr>
              <w:t>Long-term debt</w:t>
            </w:r>
          </w:p>
        </w:tc>
        <w:tc>
          <w:tcPr>
            <w:tcW w:w="960" w:type="dxa"/>
            <w:vAlign w:val="bottom"/>
          </w:tcPr>
          <w:p>
            <w:pPr>
              <w:spacing w:after="0"/>
              <w:rPr>
                <w:sz w:val="14"/>
                <w:szCs w:val="14"/>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983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8220" w:type="dxa"/>
            <w:vAlign w:val="bottom"/>
          </w:tcPr>
          <w:p>
            <w:pPr>
              <w:spacing w:after="0"/>
              <w:rPr>
                <w:sz w:val="20"/>
                <w:szCs w:val="20"/>
                <w:color w:val="auto"/>
              </w:rPr>
            </w:pPr>
            <w:r>
              <w:rPr>
                <w:rFonts w:ascii="Arial" w:cs="Arial" w:eastAsia="Arial" w:hAnsi="Arial"/>
                <w:sz w:val="12"/>
                <w:szCs w:val="12"/>
                <w:color w:val="auto"/>
              </w:rPr>
              <w:t>Other noncurrent liabilities</w:t>
            </w:r>
          </w:p>
        </w:tc>
        <w:tc>
          <w:tcPr>
            <w:tcW w:w="960" w:type="dxa"/>
            <w:vAlign w:val="bottom"/>
          </w:tcPr>
          <w:p>
            <w:pPr>
              <w:spacing w:after="0"/>
              <w:rPr>
                <w:sz w:val="14"/>
                <w:szCs w:val="14"/>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63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62"/>
        </w:trPr>
        <w:tc>
          <w:tcPr>
            <w:tcW w:w="8220" w:type="dxa"/>
            <w:vAlign w:val="bottom"/>
          </w:tcPr>
          <w:p>
            <w:pPr>
              <w:spacing w:after="0"/>
              <w:rPr>
                <w:sz w:val="20"/>
                <w:szCs w:val="20"/>
                <w:color w:val="auto"/>
              </w:rPr>
            </w:pPr>
            <w:r>
              <w:rPr>
                <w:rFonts w:ascii="Arial" w:cs="Arial" w:eastAsia="Arial" w:hAnsi="Arial"/>
                <w:sz w:val="12"/>
                <w:szCs w:val="12"/>
                <w:color w:val="auto"/>
              </w:rPr>
              <w:t>Commitments and contingencies</w:t>
            </w: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20" w:type="dxa"/>
            <w:vAlign w:val="bottom"/>
          </w:tcPr>
          <w:p>
            <w:pPr>
              <w:spacing w:after="0"/>
              <w:rPr>
                <w:sz w:val="20"/>
                <w:szCs w:val="20"/>
                <w:color w:val="auto"/>
              </w:rPr>
            </w:pPr>
            <w:r>
              <w:rPr>
                <w:rFonts w:ascii="Arial" w:cs="Arial" w:eastAsia="Arial" w:hAnsi="Arial"/>
                <w:sz w:val="12"/>
                <w:szCs w:val="12"/>
                <w:color w:val="auto"/>
              </w:rPr>
              <w:t>Equity:</w:t>
            </w: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20" w:type="dxa"/>
            <w:vAlign w:val="bottom"/>
          </w:tcPr>
          <w:p>
            <w:pPr>
              <w:ind w:left="140"/>
              <w:spacing w:after="0"/>
              <w:rPr>
                <w:sz w:val="20"/>
                <w:szCs w:val="20"/>
                <w:color w:val="auto"/>
              </w:rPr>
            </w:pPr>
            <w:r>
              <w:rPr>
                <w:rFonts w:ascii="Arial" w:cs="Arial" w:eastAsia="Arial" w:hAnsi="Arial"/>
                <w:sz w:val="12"/>
                <w:szCs w:val="12"/>
                <w:color w:val="auto"/>
              </w:rPr>
              <w:t>Net Comcast investment</w:t>
            </w:r>
          </w:p>
        </w:tc>
        <w:tc>
          <w:tcPr>
            <w:tcW w:w="960" w:type="dxa"/>
            <w:vAlign w:val="bottom"/>
          </w:tcPr>
          <w:p>
            <w:pPr>
              <w:spacing w:after="0"/>
              <w:rPr>
                <w:sz w:val="14"/>
                <w:szCs w:val="14"/>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10,299</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10,805</w:t>
            </w:r>
          </w:p>
        </w:tc>
        <w:tc>
          <w:tcPr>
            <w:tcW w:w="0" w:type="dxa"/>
            <w:vAlign w:val="bottom"/>
          </w:tcPr>
          <w:p>
            <w:pPr>
              <w:spacing w:after="0"/>
              <w:rPr>
                <w:sz w:val="1"/>
                <w:szCs w:val="1"/>
                <w:color w:val="auto"/>
              </w:rPr>
            </w:pPr>
          </w:p>
        </w:tc>
      </w:tr>
      <w:tr>
        <w:trPr>
          <w:trHeight w:val="160"/>
        </w:trPr>
        <w:tc>
          <w:tcPr>
            <w:tcW w:w="8220" w:type="dxa"/>
            <w:vAlign w:val="bottom"/>
          </w:tcPr>
          <w:p>
            <w:pPr>
              <w:ind w:left="140"/>
              <w:spacing w:after="0"/>
              <w:rPr>
                <w:sz w:val="20"/>
                <w:szCs w:val="20"/>
                <w:color w:val="auto"/>
              </w:rPr>
            </w:pPr>
            <w:r>
              <w:rPr>
                <w:rFonts w:ascii="Arial" w:cs="Arial" w:eastAsia="Arial" w:hAnsi="Arial"/>
                <w:sz w:val="12"/>
                <w:szCs w:val="12"/>
                <w:color w:val="auto"/>
              </w:rPr>
              <w:t>Accumulated other comprehensive loss</w:t>
            </w: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47"/>
        </w:trPr>
        <w:tc>
          <w:tcPr>
            <w:tcW w:w="8220" w:type="dxa"/>
            <w:vAlign w:val="bottom"/>
          </w:tcPr>
          <w:p>
            <w:pPr>
              <w:spacing w:after="0"/>
              <w:rPr>
                <w:sz w:val="20"/>
                <w:szCs w:val="20"/>
                <w:color w:val="auto"/>
              </w:rPr>
            </w:pPr>
            <w:r>
              <w:rPr>
                <w:rFonts w:ascii="Arial" w:cs="Arial" w:eastAsia="Arial" w:hAnsi="Arial"/>
                <w:sz w:val="12"/>
                <w:szCs w:val="12"/>
                <w:color w:val="auto"/>
              </w:rPr>
              <w:t>Total Comcast equity</w:t>
            </w:r>
          </w:p>
        </w:tc>
        <w:tc>
          <w:tcPr>
            <w:tcW w:w="960" w:type="dxa"/>
            <w:vAlign w:val="bottom"/>
          </w:tcPr>
          <w:p>
            <w:pPr>
              <w:spacing w:after="0"/>
              <w:rPr>
                <w:sz w:val="12"/>
                <w:szCs w:val="12"/>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10,292</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10,797</w:t>
            </w:r>
          </w:p>
        </w:tc>
        <w:tc>
          <w:tcPr>
            <w:tcW w:w="0" w:type="dxa"/>
            <w:vAlign w:val="bottom"/>
          </w:tcPr>
          <w:p>
            <w:pPr>
              <w:spacing w:after="0"/>
              <w:rPr>
                <w:sz w:val="1"/>
                <w:szCs w:val="1"/>
                <w:color w:val="auto"/>
              </w:rPr>
            </w:pPr>
          </w:p>
        </w:tc>
      </w:tr>
      <w:tr>
        <w:trPr>
          <w:trHeight w:val="157"/>
        </w:trPr>
        <w:tc>
          <w:tcPr>
            <w:tcW w:w="8220" w:type="dxa"/>
            <w:vAlign w:val="bottom"/>
          </w:tcPr>
          <w:p>
            <w:pPr>
              <w:spacing w:after="0"/>
              <w:rPr>
                <w:sz w:val="20"/>
                <w:szCs w:val="20"/>
                <w:color w:val="auto"/>
              </w:rPr>
            </w:pPr>
            <w:r>
              <w:rPr>
                <w:rFonts w:ascii="Arial" w:cs="Arial" w:eastAsia="Arial" w:hAnsi="Arial"/>
                <w:sz w:val="12"/>
                <w:szCs w:val="12"/>
                <w:color w:val="auto"/>
              </w:rPr>
              <w:t>Noncontrolling interests</w:t>
            </w: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110</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w:t>
            </w:r>
          </w:p>
        </w:tc>
        <w:tc>
          <w:tcPr>
            <w:tcW w:w="0" w:type="dxa"/>
            <w:vAlign w:val="bottom"/>
          </w:tcPr>
          <w:p>
            <w:pPr>
              <w:spacing w:after="0"/>
              <w:rPr>
                <w:sz w:val="1"/>
                <w:szCs w:val="1"/>
                <w:color w:val="auto"/>
              </w:rPr>
            </w:pPr>
          </w:p>
        </w:tc>
      </w:tr>
      <w:tr>
        <w:trPr>
          <w:trHeight w:val="142"/>
        </w:trPr>
        <w:tc>
          <w:tcPr>
            <w:tcW w:w="8220" w:type="dxa"/>
            <w:vAlign w:val="bottom"/>
          </w:tcPr>
          <w:p>
            <w:pPr>
              <w:spacing w:after="0"/>
              <w:rPr>
                <w:sz w:val="20"/>
                <w:szCs w:val="20"/>
                <w:color w:val="auto"/>
              </w:rPr>
            </w:pPr>
            <w:r>
              <w:rPr>
                <w:rFonts w:ascii="Arial" w:cs="Arial" w:eastAsia="Arial" w:hAnsi="Arial"/>
                <w:sz w:val="12"/>
                <w:szCs w:val="12"/>
                <w:color w:val="auto"/>
              </w:rPr>
              <w:t>Total equity</w:t>
            </w:r>
          </w:p>
        </w:tc>
        <w:tc>
          <w:tcPr>
            <w:tcW w:w="9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10,402</w:t>
            </w: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10,915</w:t>
            </w:r>
          </w:p>
        </w:tc>
        <w:tc>
          <w:tcPr>
            <w:tcW w:w="0" w:type="dxa"/>
            <w:vAlign w:val="bottom"/>
          </w:tcPr>
          <w:p>
            <w:pPr>
              <w:spacing w:after="0"/>
              <w:rPr>
                <w:sz w:val="1"/>
                <w:szCs w:val="1"/>
                <w:color w:val="auto"/>
              </w:rPr>
            </w:pPr>
          </w:p>
        </w:tc>
      </w:tr>
      <w:tr>
        <w:trPr>
          <w:trHeight w:val="142"/>
        </w:trPr>
        <w:tc>
          <w:tcPr>
            <w:tcW w:w="8220" w:type="dxa"/>
            <w:vAlign w:val="bottom"/>
          </w:tcPr>
          <w:p>
            <w:pPr>
              <w:spacing w:after="0"/>
              <w:rPr>
                <w:sz w:val="20"/>
                <w:szCs w:val="20"/>
                <w:color w:val="auto"/>
              </w:rPr>
            </w:pPr>
            <w:r>
              <w:rPr>
                <w:rFonts w:ascii="Arial" w:cs="Arial" w:eastAsia="Arial" w:hAnsi="Arial"/>
                <w:sz w:val="12"/>
                <w:szCs w:val="12"/>
                <w:b w:val="1"/>
                <w:bCs w:val="1"/>
                <w:color w:val="auto"/>
              </w:rPr>
              <w:t>Total liabilities and equity</w:t>
            </w:r>
          </w:p>
        </w:tc>
        <w:tc>
          <w:tcPr>
            <w:tcW w:w="960" w:type="dxa"/>
            <w:vAlign w:val="bottom"/>
            <w:tcBorders>
              <w:bottom w:val="single" w:sz="8" w:color="auto"/>
            </w:tcBorders>
          </w:tcPr>
          <w:p>
            <w:pPr>
              <w:jc w:val="right"/>
              <w:ind w:right="801"/>
              <w:spacing w:after="0"/>
              <w:rPr>
                <w:sz w:val="20"/>
                <w:szCs w:val="20"/>
                <w:color w:val="auto"/>
              </w:rPr>
            </w:pPr>
            <w:r>
              <w:rPr>
                <w:rFonts w:ascii="Arial" w:cs="Arial" w:eastAsia="Arial" w:hAnsi="Arial"/>
                <w:sz w:val="12"/>
                <w:szCs w:val="12"/>
                <w:b w:val="1"/>
                <w:bCs w:val="1"/>
                <w:color w:val="auto"/>
              </w:rPr>
              <w:t>$</w:t>
            </w: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12,333</w:t>
            </w:r>
          </w:p>
        </w:tc>
        <w:tc>
          <w:tcPr>
            <w:tcW w:w="80" w:type="dxa"/>
            <w:vAlign w:val="bottom"/>
          </w:tcPr>
          <w:p>
            <w:pPr>
              <w:spacing w:after="0"/>
              <w:rPr>
                <w:sz w:val="12"/>
                <w:szCs w:val="12"/>
                <w:color w:val="auto"/>
              </w:rPr>
            </w:pPr>
          </w:p>
        </w:tc>
        <w:tc>
          <w:tcPr>
            <w:tcW w:w="4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12,049</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20" w:top="1018" w:right="29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color w:val="auto"/>
        </w:rPr>
        <w:t>TABLE 4</w:t>
      </w:r>
    </w:p>
    <w:p>
      <w:pPr>
        <w:spacing w:after="0"/>
        <w:rPr>
          <w:sz w:val="20"/>
          <w:szCs w:val="20"/>
          <w:color w:val="auto"/>
        </w:rPr>
      </w:pPr>
      <w:r>
        <w:rPr>
          <w:rFonts w:ascii="Arial" w:cs="Arial" w:eastAsia="Arial" w:hAnsi="Arial"/>
          <w:sz w:val="12"/>
          <w:szCs w:val="12"/>
          <w:b w:val="1"/>
          <w:bCs w:val="1"/>
          <w:color w:val="auto"/>
        </w:rPr>
        <w:t>Supplemental Disclosures Regarding Non-GAAP Financial Measures</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color w:val="auto"/>
        </w:rPr>
        <w:t>We evaluate our operating performance based on several factors, including the following non-GAAP financial measures: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Adjusted EBITDA</w:t>
      </w:r>
    </w:p>
    <w:p>
      <w:pPr>
        <w:spacing w:after="0" w:line="51"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Adjusted EBITDA is a non-GAAP financial measure and is the primary basis used to measure the operational strength and performance of our business as well as to assist in the evaluation of underlying trends in our business. This measure eliminates the significant level of noncash depreciation and amortization expense that results from property and equipment and intangible assets recognized in business combinations. It is also unaffected by our capital and tax structures, and by our investment activities, including the impacts of entities that we do not consolidate, as our management excludes these results when evaluating our operating performance. Our management and Board of Directors use this financial measure to evaluate our operating performance and to allocate resources.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78" w:lineRule="exact"/>
        <w:rPr>
          <w:sz w:val="20"/>
          <w:szCs w:val="20"/>
          <w:color w:val="auto"/>
        </w:rPr>
      </w:pPr>
    </w:p>
    <w:p>
      <w:pPr>
        <w:jc w:val="both"/>
        <w:ind w:right="160"/>
        <w:spacing w:after="0" w:line="268" w:lineRule="auto"/>
        <w:rPr>
          <w:sz w:val="20"/>
          <w:szCs w:val="20"/>
          <w:color w:val="auto"/>
        </w:rPr>
      </w:pPr>
      <w:r>
        <w:rPr>
          <w:rFonts w:ascii="Arial" w:cs="Arial" w:eastAsia="Arial" w:hAnsi="Arial"/>
          <w:sz w:val="12"/>
          <w:szCs w:val="12"/>
          <w:color w:val="auto"/>
        </w:rPr>
        <w:t>We define Adjusted EBITDA as net income attributable to Versant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other events, gains, losses or other charges that affect the period-to-period comparability of our operating performance.</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Standalone Adjusted EBITDA</w:t>
      </w:r>
    </w:p>
    <w:p>
      <w:pPr>
        <w:spacing w:after="0" w:line="51" w:lineRule="exact"/>
        <w:rPr>
          <w:sz w:val="20"/>
          <w:szCs w:val="20"/>
          <w:color w:val="auto"/>
        </w:rPr>
      </w:pPr>
    </w:p>
    <w:p>
      <w:pPr>
        <w:spacing w:after="0" w:line="251" w:lineRule="auto"/>
        <w:rPr>
          <w:sz w:val="20"/>
          <w:szCs w:val="20"/>
          <w:color w:val="auto"/>
        </w:rPr>
      </w:pPr>
      <w:r>
        <w:rPr>
          <w:rFonts w:ascii="Arial" w:cs="Arial" w:eastAsia="Arial" w:hAnsi="Arial"/>
          <w:sz w:val="12"/>
          <w:szCs w:val="12"/>
          <w:color w:val="auto"/>
        </w:rPr>
        <w:t>Standalone Adjusted EBITDA is a non-GAAP financial measure used in periods prior to the separation from Comcast ("the Separation") to measure the operational strength and performance of our business as well as to assist in the evaluation of underlying trends in our business. Consistent with Adjusted EBITDA, this measure eliminates noncash depreciation and amortization expense and is unaffected by our capital and tax structures and by our investment activities, as our management excludes these results when evaluating our operating performance. Standalone Adjusted EBITDA also includes estimated incremental costs of operating as a standalone company following the Separation. We use Standalone Adjusted EBITDA and believe this measure is useful to investors because it provides an estimate of our operating performance giving effect to the Separation and related transactions and additional costs that we expect to incur as a standalone company for the periods presented, and is one of the bases for comparing our operating performance with that of other companies in our industries, although our measure of Standalone Adjusted EBITDA may not be directly comparable to similar measures used by other companies.</w:t>
      </w:r>
    </w:p>
    <w:p>
      <w:pPr>
        <w:spacing w:after="0" w:line="88" w:lineRule="exact"/>
        <w:rPr>
          <w:sz w:val="20"/>
          <w:szCs w:val="20"/>
          <w:color w:val="auto"/>
        </w:rPr>
      </w:pPr>
    </w:p>
    <w:p>
      <w:pPr>
        <w:ind w:right="60"/>
        <w:spacing w:after="0" w:line="251" w:lineRule="auto"/>
        <w:rPr>
          <w:sz w:val="20"/>
          <w:szCs w:val="20"/>
          <w:color w:val="auto"/>
        </w:rPr>
      </w:pPr>
      <w:r>
        <w:rPr>
          <w:rFonts w:ascii="Arial" w:cs="Arial" w:eastAsia="Arial" w:hAnsi="Arial"/>
          <w:sz w:val="12"/>
          <w:szCs w:val="12"/>
          <w:color w:val="auto"/>
        </w:rPr>
        <w:t>We define Standalone Adjusted EBITDA as net income attributable to Versant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and further adjusted to give effect to estimated incremental costs of commercial agreements with Comcast and estimated additional costs we expect to incur as a standalone company in certain of our corporate administrative, facilities and support functions. From time to time, we may exclude from Standalone Adjusted EBITDA the impact of certain events, gains, losses or other charges that affect the period-to-period comparability of our operating performance. Standalone Adjusted EBITDA is presented for informational purposes only and does not purport to represent what our results of operations actually would have been had we operated as a standalone company for the periods presented or to project our financial performance for any future period. Standalone Adjusted EBITDA is based on available information, estimates and assumptions, which we believe are reasonable, although actual future results will differ from the amounts presented.</w:t>
      </w:r>
    </w:p>
    <w:p>
      <w:pPr>
        <w:sectPr>
          <w:pgSz w:w="11900" w:h="16838" w:orient="portrait"/>
          <w:cols w:equalWidth="0" w:num="1">
            <w:col w:w="11280"/>
          </w:cols>
          <w:pgMar w:left="300" w:top="1009" w:right="319" w:bottom="1440" w:gutter="0" w:footer="0" w:header="0"/>
        </w:sectPr>
      </w:pPr>
    </w:p>
    <w:bookmarkStart w:id="11" w:name="page12"/>
    <w:bookmarkEnd w:id="11"/>
    <w:p>
      <w:pPr>
        <w:ind w:left="8"/>
        <w:spacing w:after="0"/>
        <w:rPr>
          <w:sz w:val="20"/>
          <w:szCs w:val="20"/>
          <w:color w:val="auto"/>
        </w:rPr>
      </w:pPr>
      <w:r>
        <w:rPr>
          <w:rFonts w:ascii="Arial" w:cs="Arial" w:eastAsia="Arial" w:hAnsi="Arial"/>
          <w:sz w:val="11"/>
          <w:szCs w:val="11"/>
          <w:b w:val="1"/>
          <w:bCs w:val="1"/>
          <w:color w:val="auto"/>
        </w:rPr>
        <w:t>Reconciliation from Net Income Attributable to Versant to Adjusted EBITDA and Standalone Adjusted EBITDA (Unaudited)</w:t>
      </w:r>
    </w:p>
    <w:p>
      <w:pPr>
        <w:spacing w:after="0" w:line="32"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8440" w:type="dxa"/>
            <w:vAlign w:val="bottom"/>
          </w:tcPr>
          <w:p>
            <w:pPr>
              <w:spacing w:after="0"/>
              <w:rPr>
                <w:sz w:val="12"/>
                <w:szCs w:val="12"/>
                <w:color w:val="auto"/>
              </w:rPr>
            </w:pPr>
          </w:p>
        </w:tc>
        <w:tc>
          <w:tcPr>
            <w:tcW w:w="2400" w:type="dxa"/>
            <w:vAlign w:val="bottom"/>
            <w:tcBorders>
              <w:bottom w:val="single" w:sz="8" w:color="auto"/>
            </w:tcBorders>
            <w:gridSpan w:val="4"/>
          </w:tcPr>
          <w:p>
            <w:pPr>
              <w:jc w:val="right"/>
              <w:ind w:right="262"/>
              <w:spacing w:after="0"/>
              <w:rPr>
                <w:sz w:val="20"/>
                <w:szCs w:val="20"/>
                <w:color w:val="auto"/>
              </w:rPr>
            </w:pPr>
            <w:r>
              <w:rPr>
                <w:rFonts w:ascii="Arial" w:cs="Arial" w:eastAsia="Arial" w:hAnsi="Arial"/>
                <w:sz w:val="11"/>
                <w:szCs w:val="11"/>
                <w:b w:val="1"/>
                <w:bCs w:val="1"/>
                <w:color w:val="auto"/>
              </w:rPr>
              <w:t>Year Ended December 31,</w:t>
            </w:r>
          </w:p>
        </w:tc>
        <w:tc>
          <w:tcPr>
            <w:tcW w:w="460" w:type="dxa"/>
            <w:vAlign w:val="bottom"/>
            <w:tcBorders>
              <w:bottom w:val="single" w:sz="8" w:color="auto"/>
            </w:tcBorders>
          </w:tcPr>
          <w:p>
            <w:pPr>
              <w:spacing w:after="0"/>
              <w:rPr>
                <w:sz w:val="12"/>
                <w:szCs w:val="12"/>
                <w:color w:val="auto"/>
              </w:rPr>
            </w:pPr>
          </w:p>
        </w:tc>
      </w:tr>
      <w:tr>
        <w:trPr>
          <w:trHeight w:val="133"/>
        </w:trPr>
        <w:tc>
          <w:tcPr>
            <w:tcW w:w="8440" w:type="dxa"/>
            <w:vAlign w:val="bottom"/>
          </w:tcPr>
          <w:p>
            <w:pPr>
              <w:spacing w:after="0"/>
              <w:rPr>
                <w:sz w:val="11"/>
                <w:szCs w:val="11"/>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1"/>
                <w:szCs w:val="11"/>
                <w:b w:val="1"/>
                <w:bCs w:val="1"/>
                <w:color w:val="auto"/>
              </w:rPr>
              <w:t>2025</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b w:val="1"/>
                <w:bCs w:val="1"/>
                <w:color w:val="auto"/>
              </w:rPr>
              <w:t>2024</w:t>
            </w:r>
          </w:p>
        </w:tc>
        <w:tc>
          <w:tcPr>
            <w:tcW w:w="460" w:type="dxa"/>
            <w:vAlign w:val="bottom"/>
            <w:tcBorders>
              <w:bottom w:val="single" w:sz="8" w:color="auto"/>
            </w:tcBorders>
          </w:tcPr>
          <w:p>
            <w:pPr>
              <w:spacing w:after="0"/>
              <w:rPr>
                <w:sz w:val="11"/>
                <w:szCs w:val="11"/>
                <w:color w:val="auto"/>
              </w:rPr>
            </w:pPr>
          </w:p>
        </w:tc>
      </w:tr>
      <w:tr>
        <w:trPr>
          <w:trHeight w:val="120"/>
        </w:trPr>
        <w:tc>
          <w:tcPr>
            <w:tcW w:w="8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80" w:type="dxa"/>
            <w:vAlign w:val="bottom"/>
            <w:gridSpan w:val="3"/>
          </w:tcPr>
          <w:p>
            <w:pPr>
              <w:jc w:val="right"/>
              <w:ind w:right="642"/>
              <w:spacing w:after="0"/>
              <w:rPr>
                <w:sz w:val="20"/>
                <w:szCs w:val="20"/>
                <w:color w:val="auto"/>
              </w:rPr>
            </w:pPr>
            <w:r>
              <w:rPr>
                <w:rFonts w:ascii="Arial" w:cs="Arial" w:eastAsia="Arial" w:hAnsi="Arial"/>
                <w:sz w:val="10"/>
                <w:szCs w:val="10"/>
                <w:b w:val="1"/>
                <w:bCs w:val="1"/>
                <w:i w:val="1"/>
                <w:iCs w:val="1"/>
                <w:color w:val="auto"/>
              </w:rPr>
              <w:t>(in millions)</w:t>
            </w:r>
          </w:p>
        </w:tc>
        <w:tc>
          <w:tcPr>
            <w:tcW w:w="460" w:type="dxa"/>
            <w:vAlign w:val="bottom"/>
          </w:tcPr>
          <w:p>
            <w:pPr>
              <w:spacing w:after="0"/>
              <w:rPr>
                <w:sz w:val="10"/>
                <w:szCs w:val="10"/>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b w:val="1"/>
                <w:bCs w:val="1"/>
                <w:color w:val="auto"/>
              </w:rPr>
              <w:t>Net income attributable to Versant</w:t>
            </w:r>
          </w:p>
        </w:tc>
        <w:tc>
          <w:tcPr>
            <w:tcW w:w="920" w:type="dxa"/>
            <w:vAlign w:val="bottom"/>
          </w:tcPr>
          <w:p>
            <w:pPr>
              <w:jc w:val="right"/>
              <w:ind w:right="782"/>
              <w:spacing w:after="0"/>
              <w:rPr>
                <w:sz w:val="20"/>
                <w:szCs w:val="20"/>
                <w:color w:val="auto"/>
              </w:rPr>
            </w:pPr>
            <w:r>
              <w:rPr>
                <w:rFonts w:ascii="Arial" w:cs="Arial" w:eastAsia="Arial" w:hAnsi="Arial"/>
                <w:sz w:val="12"/>
                <w:szCs w:val="12"/>
                <w:b w:val="1"/>
                <w:bCs w:val="1"/>
                <w:color w:val="auto"/>
                <w:w w:val="89"/>
              </w:rPr>
              <w:t>$</w:t>
            </w:r>
          </w:p>
        </w:tc>
        <w:tc>
          <w:tcPr>
            <w:tcW w:w="460" w:type="dxa"/>
            <w:vAlign w:val="bottom"/>
          </w:tcPr>
          <w:p>
            <w:pPr>
              <w:jc w:val="right"/>
              <w:ind w:right="1"/>
              <w:spacing w:after="0"/>
              <w:rPr>
                <w:sz w:val="20"/>
                <w:szCs w:val="20"/>
                <w:color w:val="auto"/>
              </w:rPr>
            </w:pPr>
            <w:r>
              <w:rPr>
                <w:rFonts w:ascii="Arial" w:cs="Arial" w:eastAsia="Arial" w:hAnsi="Arial"/>
                <w:sz w:val="12"/>
                <w:szCs w:val="12"/>
                <w:b w:val="1"/>
                <w:bCs w:val="1"/>
                <w:color w:val="auto"/>
              </w:rPr>
              <w:t>930</w:t>
            </w:r>
          </w:p>
        </w:tc>
        <w:tc>
          <w:tcPr>
            <w:tcW w:w="80" w:type="dxa"/>
            <w:vAlign w:val="bottom"/>
          </w:tcPr>
          <w:p>
            <w:pPr>
              <w:spacing w:after="0"/>
              <w:rPr>
                <w:sz w:val="13"/>
                <w:szCs w:val="13"/>
                <w:color w:val="auto"/>
              </w:rPr>
            </w:pPr>
          </w:p>
        </w:tc>
        <w:tc>
          <w:tcPr>
            <w:tcW w:w="940" w:type="dxa"/>
            <w:vAlign w:val="bottom"/>
          </w:tcPr>
          <w:p>
            <w:pPr>
              <w:jc w:val="right"/>
              <w:ind w:right="802"/>
              <w:spacing w:after="0"/>
              <w:rPr>
                <w:sz w:val="20"/>
                <w:szCs w:val="20"/>
                <w:color w:val="auto"/>
              </w:rPr>
            </w:pPr>
            <w:r>
              <w:rPr>
                <w:rFonts w:ascii="Arial" w:cs="Arial" w:eastAsia="Arial" w:hAnsi="Arial"/>
                <w:sz w:val="12"/>
                <w:szCs w:val="12"/>
                <w:b w:val="1"/>
                <w:bCs w:val="1"/>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1,363</w:t>
            </w:r>
          </w:p>
        </w:tc>
      </w:tr>
      <w:tr>
        <w:trPr>
          <w:trHeight w:val="153"/>
        </w:trPr>
        <w:tc>
          <w:tcPr>
            <w:tcW w:w="8440" w:type="dxa"/>
            <w:vAlign w:val="bottom"/>
          </w:tcPr>
          <w:p>
            <w:pPr>
              <w:ind w:left="120"/>
              <w:spacing w:after="0"/>
              <w:rPr>
                <w:sz w:val="20"/>
                <w:szCs w:val="20"/>
                <w:color w:val="auto"/>
              </w:rPr>
            </w:pPr>
            <w:r>
              <w:rPr>
                <w:rFonts w:ascii="Arial" w:cs="Arial" w:eastAsia="Arial" w:hAnsi="Arial"/>
                <w:sz w:val="12"/>
                <w:szCs w:val="12"/>
                <w:color w:val="auto"/>
              </w:rPr>
              <w:t>Net income attributable to noncontrolling interests</w:t>
            </w:r>
          </w:p>
        </w:tc>
        <w:tc>
          <w:tcPr>
            <w:tcW w:w="920" w:type="dxa"/>
            <w:vAlign w:val="bottom"/>
          </w:tcPr>
          <w:p>
            <w:pPr>
              <w:spacing w:after="0"/>
              <w:rPr>
                <w:sz w:val="13"/>
                <w:szCs w:val="13"/>
                <w:color w:val="auto"/>
              </w:rPr>
            </w:pPr>
          </w:p>
        </w:tc>
        <w:tc>
          <w:tcPr>
            <w:tcW w:w="46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53"/>
        </w:trPr>
        <w:tc>
          <w:tcPr>
            <w:tcW w:w="8440" w:type="dxa"/>
            <w:vAlign w:val="bottom"/>
          </w:tcPr>
          <w:p>
            <w:pPr>
              <w:ind w:left="120"/>
              <w:spacing w:after="0"/>
              <w:rPr>
                <w:sz w:val="20"/>
                <w:szCs w:val="20"/>
                <w:color w:val="auto"/>
              </w:rPr>
            </w:pPr>
            <w:r>
              <w:rPr>
                <w:rFonts w:ascii="Arial" w:cs="Arial" w:eastAsia="Arial" w:hAnsi="Arial"/>
                <w:sz w:val="12"/>
                <w:szCs w:val="12"/>
                <w:color w:val="auto"/>
              </w:rPr>
              <w:t>Income tax expense</w:t>
            </w:r>
          </w:p>
        </w:tc>
        <w:tc>
          <w:tcPr>
            <w:tcW w:w="920" w:type="dxa"/>
            <w:vAlign w:val="bottom"/>
          </w:tcPr>
          <w:p>
            <w:pPr>
              <w:spacing w:after="0"/>
              <w:rPr>
                <w:sz w:val="13"/>
                <w:szCs w:val="13"/>
                <w:color w:val="auto"/>
              </w:rPr>
            </w:pPr>
          </w:p>
        </w:tc>
        <w:tc>
          <w:tcPr>
            <w:tcW w:w="460" w:type="dxa"/>
            <w:vAlign w:val="bottom"/>
          </w:tcPr>
          <w:p>
            <w:pPr>
              <w:jc w:val="right"/>
              <w:ind w:right="1"/>
              <w:spacing w:after="0"/>
              <w:rPr>
                <w:sz w:val="20"/>
                <w:szCs w:val="20"/>
                <w:color w:val="auto"/>
              </w:rPr>
            </w:pPr>
            <w:r>
              <w:rPr>
                <w:rFonts w:ascii="Arial" w:cs="Arial" w:eastAsia="Arial" w:hAnsi="Arial"/>
                <w:sz w:val="12"/>
                <w:szCs w:val="12"/>
                <w:color w:val="auto"/>
              </w:rPr>
              <w:t>297</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478</w:t>
            </w:r>
          </w:p>
        </w:tc>
      </w:tr>
      <w:tr>
        <w:trPr>
          <w:trHeight w:val="153"/>
        </w:trPr>
        <w:tc>
          <w:tcPr>
            <w:tcW w:w="8440" w:type="dxa"/>
            <w:vAlign w:val="bottom"/>
          </w:tcPr>
          <w:p>
            <w:pPr>
              <w:ind w:left="120"/>
              <w:spacing w:after="0"/>
              <w:rPr>
                <w:sz w:val="20"/>
                <w:szCs w:val="20"/>
                <w:color w:val="auto"/>
              </w:rPr>
            </w:pPr>
            <w:r>
              <w:rPr>
                <w:rFonts w:ascii="Arial" w:cs="Arial" w:eastAsia="Arial" w:hAnsi="Arial"/>
                <w:sz w:val="12"/>
                <w:szCs w:val="12"/>
                <w:color w:val="auto"/>
              </w:rPr>
              <w:t>Investment and other (income) loss, net</w:t>
            </w:r>
          </w:p>
        </w:tc>
        <w:tc>
          <w:tcPr>
            <w:tcW w:w="920" w:type="dxa"/>
            <w:vAlign w:val="bottom"/>
          </w:tcPr>
          <w:p>
            <w:pPr>
              <w:spacing w:after="0"/>
              <w:rPr>
                <w:sz w:val="13"/>
                <w:szCs w:val="13"/>
                <w:color w:val="auto"/>
              </w:rPr>
            </w:pPr>
          </w:p>
        </w:tc>
        <w:tc>
          <w:tcPr>
            <w:tcW w:w="460" w:type="dxa"/>
            <w:vAlign w:val="bottom"/>
          </w:tcPr>
          <w:p>
            <w:pPr>
              <w:jc w:val="right"/>
              <w:ind w:right="1"/>
              <w:spacing w:after="0"/>
              <w:rPr>
                <w:sz w:val="20"/>
                <w:szCs w:val="20"/>
                <w:color w:val="auto"/>
              </w:rPr>
            </w:pPr>
            <w:r>
              <w:rPr>
                <w:rFonts w:ascii="Arial" w:cs="Arial" w:eastAsia="Arial" w:hAnsi="Arial"/>
                <w:sz w:val="12"/>
                <w:szCs w:val="12"/>
                <w:color w:val="auto"/>
              </w:rPr>
              <w:t>31</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53"/>
        </w:trPr>
        <w:tc>
          <w:tcPr>
            <w:tcW w:w="8440" w:type="dxa"/>
            <w:vAlign w:val="bottom"/>
          </w:tcPr>
          <w:p>
            <w:pPr>
              <w:ind w:left="120"/>
              <w:spacing w:after="0"/>
              <w:rPr>
                <w:sz w:val="20"/>
                <w:szCs w:val="20"/>
                <w:color w:val="auto"/>
              </w:rPr>
            </w:pPr>
            <w:r>
              <w:rPr>
                <w:rFonts w:ascii="Arial" w:cs="Arial" w:eastAsia="Arial" w:hAnsi="Arial"/>
                <w:sz w:val="12"/>
                <w:szCs w:val="12"/>
                <w:color w:val="auto"/>
              </w:rPr>
              <w:t>Interest expense</w:t>
            </w:r>
          </w:p>
        </w:tc>
        <w:tc>
          <w:tcPr>
            <w:tcW w:w="920" w:type="dxa"/>
            <w:vAlign w:val="bottom"/>
          </w:tcPr>
          <w:p>
            <w:pPr>
              <w:spacing w:after="0"/>
              <w:rPr>
                <w:sz w:val="13"/>
                <w:szCs w:val="13"/>
                <w:color w:val="auto"/>
              </w:rPr>
            </w:pPr>
          </w:p>
        </w:tc>
        <w:tc>
          <w:tcPr>
            <w:tcW w:w="460" w:type="dxa"/>
            <w:vAlign w:val="bottom"/>
          </w:tcPr>
          <w:p>
            <w:pPr>
              <w:jc w:val="right"/>
              <w:ind w:right="1"/>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2"/>
        </w:trPr>
        <w:tc>
          <w:tcPr>
            <w:tcW w:w="8440" w:type="dxa"/>
            <w:vAlign w:val="bottom"/>
          </w:tcPr>
          <w:p>
            <w:pPr>
              <w:ind w:left="120"/>
              <w:spacing w:after="0"/>
              <w:rPr>
                <w:sz w:val="20"/>
                <w:szCs w:val="20"/>
                <w:color w:val="auto"/>
              </w:rPr>
            </w:pPr>
            <w:r>
              <w:rPr>
                <w:rFonts w:ascii="Arial" w:cs="Arial" w:eastAsia="Arial" w:hAnsi="Arial"/>
                <w:sz w:val="12"/>
                <w:szCs w:val="12"/>
                <w:color w:val="auto"/>
              </w:rPr>
              <w:t>Depreciation and amortization</w:t>
            </w:r>
          </w:p>
        </w:tc>
        <w:tc>
          <w:tcPr>
            <w:tcW w:w="920" w:type="dxa"/>
            <w:vAlign w:val="bottom"/>
          </w:tcPr>
          <w:p>
            <w:pPr>
              <w:spacing w:after="0"/>
              <w:rPr>
                <w:sz w:val="13"/>
                <w:szCs w:val="13"/>
                <w:color w:val="auto"/>
              </w:rPr>
            </w:pPr>
          </w:p>
        </w:tc>
        <w:tc>
          <w:tcPr>
            <w:tcW w:w="460" w:type="dxa"/>
            <w:vAlign w:val="bottom"/>
          </w:tcPr>
          <w:p>
            <w:pPr>
              <w:jc w:val="right"/>
              <w:ind w:right="1"/>
              <w:spacing w:after="0"/>
              <w:rPr>
                <w:sz w:val="20"/>
                <w:szCs w:val="20"/>
                <w:color w:val="auto"/>
              </w:rPr>
            </w:pPr>
            <w:r>
              <w:rPr>
                <w:rFonts w:ascii="Arial" w:cs="Arial" w:eastAsia="Arial" w:hAnsi="Arial"/>
                <w:sz w:val="12"/>
                <w:szCs w:val="12"/>
                <w:color w:val="auto"/>
              </w:rPr>
              <w:t>1,010</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989</w:t>
            </w:r>
          </w:p>
        </w:tc>
      </w:tr>
      <w:tr>
        <w:trPr>
          <w:trHeight w:val="158"/>
        </w:trPr>
        <w:tc>
          <w:tcPr>
            <w:tcW w:w="8440" w:type="dxa"/>
            <w:vAlign w:val="bottom"/>
          </w:tcPr>
          <w:p>
            <w:pPr>
              <w:ind w:left="120"/>
              <w:spacing w:after="0" w:line="158" w:lineRule="exact"/>
              <w:rPr>
                <w:sz w:val="20"/>
                <w:szCs w:val="20"/>
                <w:color w:val="auto"/>
              </w:rPr>
            </w:pPr>
            <w:r>
              <w:rPr>
                <w:rFonts w:ascii="Arial" w:cs="Arial" w:eastAsia="Arial" w:hAnsi="Arial"/>
                <w:sz w:val="12"/>
                <w:szCs w:val="12"/>
                <w:color w:val="auto"/>
              </w:rPr>
              <w:t xml:space="preserve">Adjustments for transaction and transaction-related costs </w:t>
            </w:r>
            <w:r>
              <w:rPr>
                <w:rFonts w:ascii="Arial" w:cs="Arial" w:eastAsia="Arial" w:hAnsi="Arial"/>
                <w:sz w:val="15"/>
                <w:szCs w:val="15"/>
                <w:color w:val="auto"/>
                <w:vertAlign w:val="superscript"/>
              </w:rPr>
              <w:t>(1)</w:t>
            </w:r>
          </w:p>
        </w:tc>
        <w:tc>
          <w:tcPr>
            <w:tcW w:w="9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142</w:t>
            </w:r>
          </w:p>
        </w:tc>
        <w:tc>
          <w:tcPr>
            <w:tcW w:w="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r>
      <w:tr>
        <w:trPr>
          <w:trHeight w:val="137"/>
        </w:trPr>
        <w:tc>
          <w:tcPr>
            <w:tcW w:w="8440" w:type="dxa"/>
            <w:vAlign w:val="bottom"/>
          </w:tcPr>
          <w:p>
            <w:pPr>
              <w:spacing w:after="0"/>
              <w:rPr>
                <w:sz w:val="20"/>
                <w:szCs w:val="20"/>
                <w:color w:val="auto"/>
              </w:rPr>
            </w:pPr>
            <w:r>
              <w:rPr>
                <w:rFonts w:ascii="Arial" w:cs="Arial" w:eastAsia="Arial" w:hAnsi="Arial"/>
                <w:sz w:val="12"/>
                <w:szCs w:val="12"/>
                <w:b w:val="1"/>
                <w:bCs w:val="1"/>
                <w:color w:val="auto"/>
              </w:rPr>
              <w:t>Adjusted EBITDA</w:t>
            </w:r>
          </w:p>
        </w:tc>
        <w:tc>
          <w:tcPr>
            <w:tcW w:w="920" w:type="dxa"/>
            <w:vAlign w:val="bottom"/>
          </w:tcPr>
          <w:p>
            <w:pPr>
              <w:jc w:val="right"/>
              <w:ind w:right="782"/>
              <w:spacing w:after="0"/>
              <w:rPr>
                <w:sz w:val="20"/>
                <w:szCs w:val="20"/>
                <w:color w:val="auto"/>
              </w:rPr>
            </w:pPr>
            <w:r>
              <w:rPr>
                <w:rFonts w:ascii="Arial" w:cs="Arial" w:eastAsia="Arial" w:hAnsi="Arial"/>
                <w:sz w:val="12"/>
                <w:szCs w:val="12"/>
                <w:b w:val="1"/>
                <w:bCs w:val="1"/>
                <w:color w:val="auto"/>
                <w:w w:val="89"/>
              </w:rPr>
              <w:t>$</w:t>
            </w:r>
          </w:p>
        </w:tc>
        <w:tc>
          <w:tcPr>
            <w:tcW w:w="460" w:type="dxa"/>
            <w:vAlign w:val="bottom"/>
          </w:tcPr>
          <w:p>
            <w:pPr>
              <w:jc w:val="right"/>
              <w:ind w:right="1"/>
              <w:spacing w:after="0"/>
              <w:rPr>
                <w:sz w:val="20"/>
                <w:szCs w:val="20"/>
                <w:color w:val="auto"/>
              </w:rPr>
            </w:pPr>
            <w:r>
              <w:rPr>
                <w:rFonts w:ascii="Arial" w:cs="Arial" w:eastAsia="Arial" w:hAnsi="Arial"/>
                <w:sz w:val="12"/>
                <w:szCs w:val="12"/>
                <w:b w:val="1"/>
                <w:bCs w:val="1"/>
                <w:color w:val="auto"/>
              </w:rPr>
              <w:t>2,425</w:t>
            </w:r>
          </w:p>
        </w:tc>
        <w:tc>
          <w:tcPr>
            <w:tcW w:w="80" w:type="dxa"/>
            <w:vAlign w:val="bottom"/>
          </w:tcPr>
          <w:p>
            <w:pPr>
              <w:spacing w:after="0"/>
              <w:rPr>
                <w:sz w:val="11"/>
                <w:szCs w:val="11"/>
                <w:color w:val="auto"/>
              </w:rPr>
            </w:pPr>
          </w:p>
        </w:tc>
        <w:tc>
          <w:tcPr>
            <w:tcW w:w="940" w:type="dxa"/>
            <w:vAlign w:val="bottom"/>
          </w:tcPr>
          <w:p>
            <w:pPr>
              <w:jc w:val="right"/>
              <w:ind w:right="802"/>
              <w:spacing w:after="0"/>
              <w:rPr>
                <w:sz w:val="20"/>
                <w:szCs w:val="20"/>
                <w:color w:val="auto"/>
              </w:rPr>
            </w:pPr>
            <w:r>
              <w:rPr>
                <w:rFonts w:ascii="Arial" w:cs="Arial" w:eastAsia="Arial" w:hAnsi="Arial"/>
                <w:sz w:val="12"/>
                <w:szCs w:val="12"/>
                <w:b w:val="1"/>
                <w:bCs w:val="1"/>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2,837</w:t>
            </w:r>
          </w:p>
        </w:tc>
      </w:tr>
      <w:tr>
        <w:trPr>
          <w:trHeight w:val="153"/>
        </w:trPr>
        <w:tc>
          <w:tcPr>
            <w:tcW w:w="8440" w:type="dxa"/>
            <w:vAlign w:val="bottom"/>
          </w:tcPr>
          <w:p>
            <w:pPr>
              <w:ind w:left="120"/>
              <w:spacing w:after="0" w:line="153" w:lineRule="exact"/>
              <w:rPr>
                <w:sz w:val="20"/>
                <w:szCs w:val="20"/>
                <w:color w:val="auto"/>
              </w:rPr>
            </w:pPr>
            <w:r>
              <w:rPr>
                <w:rFonts w:ascii="Arial" w:cs="Arial" w:eastAsia="Arial" w:hAnsi="Arial"/>
                <w:sz w:val="12"/>
                <w:szCs w:val="12"/>
                <w:color w:val="auto"/>
              </w:rPr>
              <w:t xml:space="preserve">Incremental costs of commercial agreements with Comcast </w:t>
            </w:r>
            <w:r>
              <w:rPr>
                <w:rFonts w:ascii="Arial" w:cs="Arial" w:eastAsia="Arial" w:hAnsi="Arial"/>
                <w:sz w:val="15"/>
                <w:szCs w:val="15"/>
                <w:color w:val="auto"/>
                <w:vertAlign w:val="superscript"/>
              </w:rPr>
              <w:t>(2)</w:t>
            </w:r>
          </w:p>
        </w:tc>
        <w:tc>
          <w:tcPr>
            <w:tcW w:w="9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(186)</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(215)</w:t>
            </w:r>
          </w:p>
        </w:tc>
      </w:tr>
      <w:tr>
        <w:trPr>
          <w:trHeight w:val="158"/>
        </w:trPr>
        <w:tc>
          <w:tcPr>
            <w:tcW w:w="8440" w:type="dxa"/>
            <w:vAlign w:val="bottom"/>
          </w:tcPr>
          <w:p>
            <w:pPr>
              <w:ind w:left="120"/>
              <w:spacing w:after="0" w:line="158" w:lineRule="exact"/>
              <w:rPr>
                <w:sz w:val="20"/>
                <w:szCs w:val="20"/>
                <w:color w:val="auto"/>
              </w:rPr>
            </w:pPr>
            <w:r>
              <w:rPr>
                <w:rFonts w:ascii="Arial" w:cs="Arial" w:eastAsia="Arial" w:hAnsi="Arial"/>
                <w:sz w:val="12"/>
                <w:szCs w:val="12"/>
                <w:color w:val="auto"/>
              </w:rPr>
              <w:t xml:space="preserve">Incremental costs of corporate administrative, facilities and support functions </w:t>
            </w:r>
            <w:r>
              <w:rPr>
                <w:rFonts w:ascii="Arial" w:cs="Arial" w:eastAsia="Arial" w:hAnsi="Arial"/>
                <w:sz w:val="15"/>
                <w:szCs w:val="15"/>
                <w:color w:val="auto"/>
                <w:vertAlign w:val="superscript"/>
              </w:rPr>
              <w:t>(3)</w:t>
            </w:r>
          </w:p>
        </w:tc>
        <w:tc>
          <w:tcPr>
            <w:tcW w:w="9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w:t>
            </w:r>
          </w:p>
        </w:tc>
        <w:tc>
          <w:tcPr>
            <w:tcW w:w="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(224)</w:t>
            </w:r>
          </w:p>
        </w:tc>
      </w:tr>
      <w:tr>
        <w:trPr>
          <w:trHeight w:val="142"/>
        </w:trPr>
        <w:tc>
          <w:tcPr>
            <w:tcW w:w="8440" w:type="dxa"/>
            <w:vAlign w:val="bottom"/>
          </w:tcPr>
          <w:p>
            <w:pPr>
              <w:spacing w:after="0"/>
              <w:rPr>
                <w:sz w:val="20"/>
                <w:szCs w:val="20"/>
                <w:color w:val="auto"/>
              </w:rPr>
            </w:pPr>
            <w:r>
              <w:rPr>
                <w:rFonts w:ascii="Arial" w:cs="Arial" w:eastAsia="Arial" w:hAnsi="Arial"/>
                <w:sz w:val="12"/>
                <w:szCs w:val="12"/>
                <w:b w:val="1"/>
                <w:bCs w:val="1"/>
                <w:color w:val="auto"/>
              </w:rPr>
              <w:t>Standalone Adjusted EBITDA</w:t>
            </w:r>
          </w:p>
        </w:tc>
        <w:tc>
          <w:tcPr>
            <w:tcW w:w="920" w:type="dxa"/>
            <w:vAlign w:val="bottom"/>
            <w:tcBorders>
              <w:bottom w:val="single" w:sz="8" w:color="auto"/>
            </w:tcBorders>
          </w:tcPr>
          <w:p>
            <w:pPr>
              <w:jc w:val="right"/>
              <w:ind w:right="782"/>
              <w:spacing w:after="0"/>
              <w:rPr>
                <w:sz w:val="20"/>
                <w:szCs w:val="20"/>
                <w:color w:val="auto"/>
              </w:rPr>
            </w:pPr>
            <w:r>
              <w:rPr>
                <w:rFonts w:ascii="Arial" w:cs="Arial" w:eastAsia="Arial" w:hAnsi="Arial"/>
                <w:sz w:val="12"/>
                <w:szCs w:val="12"/>
                <w:b w:val="1"/>
                <w:bCs w:val="1"/>
                <w:color w:val="auto"/>
                <w:w w:val="89"/>
              </w:rPr>
              <w:t>$</w:t>
            </w:r>
          </w:p>
        </w:tc>
        <w:tc>
          <w:tcPr>
            <w:tcW w:w="4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2,180</w:t>
            </w:r>
          </w:p>
        </w:tc>
        <w:tc>
          <w:tcPr>
            <w:tcW w:w="80" w:type="dxa"/>
            <w:vAlign w:val="bottom"/>
          </w:tcPr>
          <w:p>
            <w:pPr>
              <w:spacing w:after="0"/>
              <w:rPr>
                <w:sz w:val="12"/>
                <w:szCs w:val="12"/>
                <w:color w:val="auto"/>
              </w:rPr>
            </w:pPr>
          </w:p>
        </w:tc>
        <w:tc>
          <w:tcPr>
            <w:tcW w:w="940" w:type="dxa"/>
            <w:vAlign w:val="bottom"/>
            <w:tcBorders>
              <w:bottom w:val="single" w:sz="8" w:color="auto"/>
            </w:tcBorders>
          </w:tcPr>
          <w:p>
            <w:pPr>
              <w:jc w:val="right"/>
              <w:ind w:right="802"/>
              <w:spacing w:after="0"/>
              <w:rPr>
                <w:sz w:val="20"/>
                <w:szCs w:val="20"/>
                <w:color w:val="auto"/>
              </w:rPr>
            </w:pPr>
            <w:r>
              <w:rPr>
                <w:rFonts w:ascii="Arial" w:cs="Arial" w:eastAsia="Arial" w:hAnsi="Arial"/>
                <w:sz w:val="12"/>
                <w:szCs w:val="12"/>
                <w:b w:val="1"/>
                <w:bCs w:val="1"/>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2,399</w:t>
            </w:r>
          </w:p>
        </w:tc>
      </w:tr>
      <w:tr>
        <w:trPr>
          <w:trHeight w:val="20"/>
        </w:trPr>
        <w:tc>
          <w:tcPr>
            <w:tcW w:w="8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________________________________________________________________</w:t>
      </w:r>
    </w:p>
    <w:p>
      <w:pPr>
        <w:spacing w:after="0" w:line="57" w:lineRule="exact"/>
        <w:rPr>
          <w:sz w:val="20"/>
          <w:szCs w:val="20"/>
          <w:color w:val="auto"/>
        </w:rPr>
      </w:pPr>
    </w:p>
    <w:p>
      <w:pPr>
        <w:ind w:left="168" w:right="340" w:hanging="168"/>
        <w:spacing w:after="0" w:line="228" w:lineRule="auto"/>
        <w:tabs>
          <w:tab w:leader="none" w:pos="159" w:val="left"/>
        </w:tabs>
        <w:numPr>
          <w:ilvl w:val="0"/>
          <w:numId w:val="5"/>
        </w:numPr>
        <w:rPr>
          <w:rFonts w:ascii="Arial" w:cs="Arial" w:eastAsia="Arial" w:hAnsi="Arial"/>
          <w:sz w:val="15"/>
          <w:szCs w:val="15"/>
          <w:color w:val="auto"/>
          <w:vertAlign w:val="superscript"/>
        </w:rPr>
      </w:pPr>
      <w:r>
        <w:rPr>
          <w:rFonts w:ascii="Arial" w:cs="Arial" w:eastAsia="Arial" w:hAnsi="Arial"/>
          <w:sz w:val="11"/>
          <w:szCs w:val="11"/>
          <w:color w:val="auto"/>
        </w:rPr>
        <w:t>Transaction costs are incremental costs directly related to effectuating the Separation and primarily include legal, audit and advisory fees. Transaction-related costs are incremental costs incurred in anticipation of the Separation and primarily include IT separation and implementation costs, advisory fees and other one-time costs.</w:t>
      </w:r>
    </w:p>
    <w:p>
      <w:pPr>
        <w:spacing w:after="0" w:line="56"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856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4"/>
              </w:rPr>
              <w:t>Year Ended December 31,</w:t>
            </w:r>
          </w:p>
        </w:tc>
        <w:tc>
          <w:tcPr>
            <w:tcW w:w="780" w:type="dxa"/>
            <w:vAlign w:val="bottom"/>
            <w:tcBorders>
              <w:bottom w:val="single" w:sz="8" w:color="auto"/>
            </w:tcBorders>
          </w:tcPr>
          <w:p>
            <w:pPr>
              <w:spacing w:after="0"/>
              <w:rPr>
                <w:sz w:val="11"/>
                <w:szCs w:val="11"/>
                <w:color w:val="auto"/>
              </w:rPr>
            </w:pPr>
          </w:p>
        </w:tc>
      </w:tr>
      <w:tr>
        <w:trPr>
          <w:trHeight w:val="124"/>
        </w:trPr>
        <w:tc>
          <w:tcPr>
            <w:tcW w:w="8560" w:type="dxa"/>
            <w:vAlign w:val="bottom"/>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2025</w:t>
            </w: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505"/>
              <w:spacing w:after="0"/>
              <w:rPr>
                <w:sz w:val="20"/>
                <w:szCs w:val="20"/>
                <w:color w:val="auto"/>
              </w:rPr>
            </w:pPr>
            <w:r>
              <w:rPr>
                <w:rFonts w:ascii="Arial" w:cs="Arial" w:eastAsia="Arial" w:hAnsi="Arial"/>
                <w:sz w:val="10"/>
                <w:szCs w:val="10"/>
                <w:b w:val="1"/>
                <w:bCs w:val="1"/>
                <w:color w:val="auto"/>
                <w:w w:val="89"/>
              </w:rPr>
              <w:t>2024</w:t>
            </w:r>
          </w:p>
        </w:tc>
      </w:tr>
      <w:tr>
        <w:trPr>
          <w:trHeight w:val="120"/>
        </w:trPr>
        <w:tc>
          <w:tcPr>
            <w:tcW w:w="8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80" w:type="dxa"/>
            <w:vAlign w:val="bottom"/>
            <w:gridSpan w:val="3"/>
          </w:tcPr>
          <w:p>
            <w:pPr>
              <w:jc w:val="right"/>
              <w:ind w:right="269"/>
              <w:spacing w:after="0"/>
              <w:rPr>
                <w:sz w:val="20"/>
                <w:szCs w:val="20"/>
                <w:color w:val="auto"/>
              </w:rPr>
            </w:pPr>
            <w:r>
              <w:rPr>
                <w:rFonts w:ascii="Arial" w:cs="Arial" w:eastAsia="Arial" w:hAnsi="Arial"/>
                <w:sz w:val="10"/>
                <w:szCs w:val="10"/>
                <w:b w:val="1"/>
                <w:bCs w:val="1"/>
                <w:i w:val="1"/>
                <w:iCs w:val="1"/>
                <w:color w:val="auto"/>
              </w:rPr>
              <w:t>(in millions)</w:t>
            </w:r>
          </w:p>
        </w:tc>
        <w:tc>
          <w:tcPr>
            <w:tcW w:w="780" w:type="dxa"/>
            <w:vAlign w:val="bottom"/>
          </w:tcPr>
          <w:p>
            <w:pPr>
              <w:spacing w:after="0"/>
              <w:rPr>
                <w:sz w:val="10"/>
                <w:szCs w:val="10"/>
                <w:color w:val="auto"/>
              </w:rPr>
            </w:pPr>
          </w:p>
        </w:tc>
      </w:tr>
      <w:tr>
        <w:trPr>
          <w:trHeight w:val="149"/>
        </w:trPr>
        <w:tc>
          <w:tcPr>
            <w:tcW w:w="8560" w:type="dxa"/>
            <w:vAlign w:val="bottom"/>
          </w:tcPr>
          <w:p>
            <w:pPr>
              <w:spacing w:after="0"/>
              <w:rPr>
                <w:sz w:val="20"/>
                <w:szCs w:val="20"/>
                <w:color w:val="auto"/>
              </w:rPr>
            </w:pPr>
            <w:r>
              <w:rPr>
                <w:rFonts w:ascii="Arial" w:cs="Arial" w:eastAsia="Arial" w:hAnsi="Arial"/>
                <w:sz w:val="11"/>
                <w:szCs w:val="11"/>
                <w:color w:val="auto"/>
              </w:rPr>
              <w:t>Transaction costs</w:t>
            </w:r>
          </w:p>
        </w:tc>
        <w:tc>
          <w:tcPr>
            <w:tcW w:w="780" w:type="dxa"/>
            <w:vAlign w:val="bottom"/>
          </w:tcPr>
          <w:p>
            <w:pPr>
              <w:jc w:val="right"/>
              <w:ind w:right="64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36</w:t>
            </w:r>
          </w:p>
        </w:tc>
        <w:tc>
          <w:tcPr>
            <w:tcW w:w="80" w:type="dxa"/>
            <w:vAlign w:val="bottom"/>
          </w:tcPr>
          <w:p>
            <w:pPr>
              <w:spacing w:after="0"/>
              <w:rPr>
                <w:sz w:val="12"/>
                <w:szCs w:val="12"/>
                <w:color w:val="auto"/>
              </w:rPr>
            </w:pP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5"/>
              <w:spacing w:after="0"/>
              <w:rPr>
                <w:sz w:val="20"/>
                <w:szCs w:val="20"/>
                <w:color w:val="auto"/>
              </w:rPr>
            </w:pPr>
            <w:r>
              <w:rPr>
                <w:rFonts w:ascii="Arial" w:cs="Arial" w:eastAsia="Arial" w:hAnsi="Arial"/>
                <w:sz w:val="11"/>
                <w:szCs w:val="11"/>
                <w:color w:val="auto"/>
              </w:rPr>
              <w:t>6</w:t>
            </w:r>
          </w:p>
        </w:tc>
      </w:tr>
      <w:tr>
        <w:trPr>
          <w:trHeight w:val="157"/>
        </w:trPr>
        <w:tc>
          <w:tcPr>
            <w:tcW w:w="8560" w:type="dxa"/>
            <w:vAlign w:val="bottom"/>
          </w:tcPr>
          <w:p>
            <w:pPr>
              <w:spacing w:after="0"/>
              <w:rPr>
                <w:sz w:val="20"/>
                <w:szCs w:val="20"/>
                <w:color w:val="auto"/>
              </w:rPr>
            </w:pPr>
            <w:r>
              <w:rPr>
                <w:rFonts w:ascii="Arial" w:cs="Arial" w:eastAsia="Arial" w:hAnsi="Arial"/>
                <w:sz w:val="11"/>
                <w:szCs w:val="11"/>
                <w:color w:val="auto"/>
              </w:rPr>
              <w:t>Transaction-related costs</w:t>
            </w:r>
          </w:p>
        </w:tc>
        <w:tc>
          <w:tcPr>
            <w:tcW w:w="7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106</w:t>
            </w:r>
          </w:p>
        </w:tc>
        <w:tc>
          <w:tcPr>
            <w:tcW w:w="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r>
      <w:tr>
        <w:trPr>
          <w:trHeight w:val="147"/>
        </w:trPr>
        <w:tc>
          <w:tcPr>
            <w:tcW w:w="8560" w:type="dxa"/>
            <w:vAlign w:val="bottom"/>
          </w:tcPr>
          <w:p>
            <w:pPr>
              <w:spacing w:after="0"/>
              <w:rPr>
                <w:sz w:val="20"/>
                <w:szCs w:val="20"/>
                <w:color w:val="auto"/>
              </w:rPr>
            </w:pPr>
            <w:r>
              <w:rPr>
                <w:rFonts w:ascii="Arial" w:cs="Arial" w:eastAsia="Arial" w:hAnsi="Arial"/>
                <w:sz w:val="11"/>
                <w:szCs w:val="11"/>
                <w:b w:val="1"/>
                <w:bCs w:val="1"/>
                <w:color w:val="auto"/>
              </w:rPr>
              <w:t>Total transaction and transaction-related costs</w:t>
            </w:r>
          </w:p>
        </w:tc>
        <w:tc>
          <w:tcPr>
            <w:tcW w:w="780" w:type="dxa"/>
            <w:vAlign w:val="bottom"/>
            <w:tcBorders>
              <w:bottom w:val="single" w:sz="8" w:color="auto"/>
            </w:tcBorders>
          </w:tcPr>
          <w:p>
            <w:pPr>
              <w:jc w:val="right"/>
              <w:ind w:right="64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142</w:t>
            </w:r>
          </w:p>
        </w:tc>
        <w:tc>
          <w:tcPr>
            <w:tcW w:w="80" w:type="dxa"/>
            <w:vAlign w:val="bottom"/>
          </w:tcPr>
          <w:p>
            <w:pPr>
              <w:spacing w:after="0"/>
              <w:rPr>
                <w:sz w:val="12"/>
                <w:szCs w:val="12"/>
                <w:color w:val="auto"/>
              </w:rPr>
            </w:pPr>
          </w:p>
        </w:tc>
        <w:tc>
          <w:tcPr>
            <w:tcW w:w="540" w:type="dxa"/>
            <w:vAlign w:val="bottom"/>
            <w:tcBorders>
              <w:bottom w:val="single" w:sz="8" w:color="auto"/>
            </w:tcBorders>
          </w:tcPr>
          <w:p>
            <w:pPr>
              <w:jc w:val="right"/>
              <w:ind w:right="429"/>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rPr>
              <w:t>6</w:t>
            </w:r>
          </w:p>
        </w:tc>
      </w:tr>
      <w:tr>
        <w:trPr>
          <w:trHeight w:val="20"/>
        </w:trPr>
        <w:tc>
          <w:tcPr>
            <w:tcW w:w="8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168" w:right="540" w:hanging="168"/>
        <w:spacing w:after="0" w:line="228" w:lineRule="auto"/>
        <w:tabs>
          <w:tab w:leader="none" w:pos="159" w:val="left"/>
        </w:tabs>
        <w:numPr>
          <w:ilvl w:val="0"/>
          <w:numId w:val="6"/>
        </w:numPr>
        <w:rPr>
          <w:rFonts w:ascii="Arial" w:cs="Arial" w:eastAsia="Arial" w:hAnsi="Arial"/>
          <w:sz w:val="15"/>
          <w:szCs w:val="15"/>
          <w:color w:val="auto"/>
          <w:vertAlign w:val="superscript"/>
        </w:rPr>
      </w:pPr>
      <w:r>
        <w:rPr>
          <w:rFonts w:ascii="Arial" w:cs="Arial" w:eastAsia="Arial" w:hAnsi="Arial"/>
          <w:sz w:val="11"/>
          <w:szCs w:val="11"/>
          <w:color w:val="auto"/>
        </w:rPr>
        <w:t>Amounts represent incremental costs of commercial agreements entered into with Comcast in connection with the Separation and primarily relate to the commercial services agreement for the sale and use of our advertising and promotional inventory.</w:t>
      </w:r>
    </w:p>
    <w:p>
      <w:pPr>
        <w:spacing w:after="0" w:line="93" w:lineRule="exact"/>
        <w:rPr>
          <w:rFonts w:ascii="Arial" w:cs="Arial" w:eastAsia="Arial" w:hAnsi="Arial"/>
          <w:sz w:val="15"/>
          <w:szCs w:val="15"/>
          <w:color w:val="auto"/>
          <w:vertAlign w:val="superscript"/>
        </w:rPr>
      </w:pPr>
    </w:p>
    <w:p>
      <w:pPr>
        <w:ind w:left="168" w:right="20" w:hanging="168"/>
        <w:spacing w:after="0" w:line="246" w:lineRule="auto"/>
        <w:tabs>
          <w:tab w:leader="none" w:pos="159" w:val="left"/>
        </w:tabs>
        <w:numPr>
          <w:ilvl w:val="0"/>
          <w:numId w:val="6"/>
        </w:numPr>
        <w:rPr>
          <w:rFonts w:ascii="Arial" w:cs="Arial" w:eastAsia="Arial" w:hAnsi="Arial"/>
          <w:sz w:val="15"/>
          <w:szCs w:val="15"/>
          <w:color w:val="auto"/>
          <w:vertAlign w:val="superscript"/>
        </w:rPr>
      </w:pPr>
      <w:r>
        <w:rPr>
          <w:rFonts w:ascii="Arial" w:cs="Arial" w:eastAsia="Arial" w:hAnsi="Arial"/>
          <w:sz w:val="11"/>
          <w:szCs w:val="11"/>
          <w:color w:val="auto"/>
        </w:rPr>
        <w:t>Amounts represent estimated incremental costs related to corporate administrative, facilities and support functions and primarily include the recurring and ongoing costs required to operate new functions required for a public company such as external reporting, internal audit, treasury, investor relations, board of directors and stock administration, and expanding the services of existing functions such as information technology, finance, supply chain, human resources, legal, tax, facilities and insurance. Amounts were determined by comparing expected costs to amounts in the combined statements of income, inclusive of allocation for centralized functions within Comcast and allocations of costs for the use of shared assets.</w:t>
      </w:r>
    </w:p>
    <w:p>
      <w:pPr>
        <w:sectPr>
          <w:pgSz w:w="11900" w:h="16838" w:orient="portrait"/>
          <w:cols w:equalWidth="0" w:num="1">
            <w:col w:w="11308"/>
          </w:cols>
          <w:pgMar w:left="292" w:top="1016" w:right="299" w:bottom="1440" w:gutter="0" w:footer="0" w:header="0"/>
        </w:sectPr>
      </w:pPr>
    </w:p>
    <w:bookmarkStart w:id="12" w:name="page13"/>
    <w:bookmarkEnd w:id="12"/>
    <w:p>
      <w:pPr>
        <w:spacing w:after="0" w:line="246" w:lineRule="auto"/>
        <w:tabs>
          <w:tab w:leader="none" w:pos="15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46" w:lineRule="auto"/>
        <w:tabs>
          <w:tab w:leader="none" w:pos="15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46" w:lineRule="auto"/>
        <w:tabs>
          <w:tab w:leader="none" w:pos="15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46" w:lineRule="auto"/>
        <w:tabs>
          <w:tab w:leader="none" w:pos="15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46" w:lineRule="auto"/>
        <w:tabs>
          <w:tab w:leader="none" w:pos="15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46" w:lineRule="auto"/>
        <w:tabs>
          <w:tab w:leader="none" w:pos="15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46" w:lineRule="auto"/>
        <w:tabs>
          <w:tab w:leader="none" w:pos="15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bullet"/>
      <w:start w:val="1"/>
    </w:lvl>
  </w:abstractNum>
  <w:abstractNum w:abstractNumId="3">
    <w:nsid w:val="46E87CCD"/>
    <w:multiLevelType w:val="hybridMultilevel"/>
    <w:lvl w:ilvl="0">
      <w:lvlJc w:val="left"/>
      <w:lvlText w:val="1"/>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2026-03-03T06:10:34Z</dcterms:created>
  <dcterms:modified xsi:type="dcterms:W3CDTF">2026-03-03T06:10:34Z</dcterms:modified>
</cp:coreProperties>
</file>