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001-42856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2 to</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Versant Media Group, Inc.</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230505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04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39-2087186</w:t>
            </w:r>
          </w:p>
        </w:tc>
      </w:tr>
      <w:tr>
        <w:trPr>
          <w:trHeight w:val="148"/>
        </w:trPr>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40" w:type="dxa"/>
            <w:vAlign w:val="bottom"/>
          </w:tcPr>
          <w:p>
            <w:pPr>
              <w:jc w:val="center"/>
              <w:ind w:left="3635"/>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40" w:type="dxa"/>
            <w:vAlign w:val="bottom"/>
          </w:tcPr>
          <w:p>
            <w:pPr>
              <w:jc w:val="center"/>
              <w:ind w:left="3635"/>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42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904 Sylvan Avenue</w:t>
            </w:r>
          </w:p>
        </w:tc>
        <w:tc>
          <w:tcPr>
            <w:tcW w:w="5040" w:type="dxa"/>
            <w:vAlign w:val="bottom"/>
          </w:tcPr>
          <w:p>
            <w:pPr>
              <w:spacing w:after="0"/>
              <w:rPr>
                <w:sz w:val="24"/>
                <w:szCs w:val="24"/>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Englewood Cliffs, New Jersey</w:t>
            </w:r>
          </w:p>
        </w:tc>
        <w:tc>
          <w:tcPr>
            <w:tcW w:w="5040" w:type="dxa"/>
            <w:vAlign w:val="bottom"/>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07632</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5040" w:type="dxa"/>
            <w:vAlign w:val="bottom"/>
          </w:tcPr>
          <w:p>
            <w:pPr>
              <w:jc w:val="center"/>
              <w:ind w:left="3635"/>
              <w:spacing w:after="0"/>
              <w:rPr>
                <w:sz w:val="20"/>
                <w:szCs w:val="20"/>
                <w:color w:val="auto"/>
              </w:rPr>
            </w:pPr>
            <w:r>
              <w:rPr>
                <w:rFonts w:ascii="Times New Roman" w:cs="Times New Roman" w:eastAsia="Times New Roman" w:hAnsi="Times New Roman"/>
                <w:sz w:val="14"/>
                <w:szCs w:val="14"/>
                <w:color w:val="auto"/>
              </w:rPr>
              <w:t>(Zip Code)</w:t>
            </w:r>
          </w:p>
        </w:tc>
      </w:tr>
      <w:tr>
        <w:trPr>
          <w:trHeight w:val="392"/>
        </w:trPr>
        <w:tc>
          <w:tcPr>
            <w:tcW w:w="2320" w:type="dxa"/>
            <w:vAlign w:val="bottom"/>
          </w:tcPr>
          <w:p>
            <w:pPr>
              <w:spacing w:after="0"/>
              <w:rPr>
                <w:sz w:val="24"/>
                <w:szCs w:val="24"/>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(201) 735-2622</w:t>
            </w:r>
          </w:p>
        </w:tc>
      </w:tr>
      <w:tr>
        <w:trPr>
          <w:trHeight w:val="188"/>
        </w:trPr>
        <w:tc>
          <w:tcPr>
            <w:tcW w:w="2320" w:type="dxa"/>
            <w:vAlign w:val="bottom"/>
          </w:tcPr>
          <w:p>
            <w:pPr>
              <w:spacing w:after="0"/>
              <w:rPr>
                <w:sz w:val="16"/>
                <w:szCs w:val="16"/>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93"/>
        </w:trPr>
        <w:tc>
          <w:tcPr>
            <w:tcW w:w="2320" w:type="dxa"/>
            <w:vAlign w:val="bottom"/>
          </w:tcPr>
          <w:p>
            <w:pPr>
              <w:spacing w:after="0"/>
              <w:rPr>
                <w:sz w:val="24"/>
                <w:szCs w:val="24"/>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rPr>
              <w:t>John B. Meade</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Stephen A. Byeff</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Meaghan Kennedy</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8"/>
              </w:rPr>
              <w:t>450 Lexington Avenue</w:t>
            </w:r>
          </w:p>
        </w:tc>
      </w:tr>
      <w:tr>
        <w:trPr>
          <w:trHeight w:val="238"/>
        </w:trPr>
        <w:tc>
          <w:tcPr>
            <w:tcW w:w="2320" w:type="dxa"/>
            <w:vAlign w:val="bottom"/>
          </w:tcPr>
          <w:p>
            <w:pPr>
              <w:spacing w:after="0"/>
              <w:rPr>
                <w:sz w:val="20"/>
                <w:szCs w:val="20"/>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 to be so registered</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each class is to be registered</w:t>
            </w:r>
          </w:p>
        </w:tc>
      </w:tr>
      <w:tr>
        <w:trPr>
          <w:trHeight w:val="228"/>
        </w:trPr>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Media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SHEET BETWEEN INFORMATION STATEMENT AND ITEMS OF FORM 10</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“Special Note Regarding Forward-Looking Statements,” “The Separation,” “Capitalization,” “Unaudited Pro Forma Combined Financial Statements,” “Management’s Discussion and Analysis of Financial Condition and Results of Operations,” “Business,” “Management,” “Compensation Discussion and Analysis,” “Certain Relationships and Related Party Transactions,” “Where You Can Find More Information” and “Index to Combined Financial Statements” (and the statements referenced therein) of the information statement. Those sections are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“Risk Factors” and “Special Note Regarding Forward-Looking Statements” of the information statement. Those sections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“Capitalization,” “Unaudited Pro Forma Combined Financial Statements,” “Management’s Discussion and Analysis of Financial Condition and Results of Operations” and “Index to Combined Financial Statements” (and the statements referenced therein)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“Business—Properties”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“Ownership of Common Stock by Certain Beneficial Owners and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“Compensation Discussion and Analysis” and “Management” of the information statement. Those sections are incorporated herein by reference.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 Certain Relationships and Related Transactions, and Director Independence.</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“The Separation—Agreements with Comcast,” “Certain Relationships and Related Party Transactions,” “Management,” “Compensation Discussion and Analysis” and “Ownership of Common Stock by Certain Beneficial Owners and Management”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“Business—Legal Proceedings”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121" w:lineRule="exact"/>
        <w:rPr>
          <w:sz w:val="20"/>
          <w:szCs w:val="20"/>
          <w:color w:val="auto"/>
        </w:rPr>
      </w:pPr>
    </w:p>
    <w:p>
      <w:pPr>
        <w:ind w:right="760" w:firstLine="4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in the sections “Summary,” “Risk Factors,” “The Separation,” “Dividend Policy,” “Capitalization” and “Description of Capital Stock” of the information statement. Those sections are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Stock—Distributions of Securities”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“Index to Combined Financial Statements” (and the statements referenced therein)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“Index to Combined Financial Statements” (and the statements referenced therein) of the information statement. That section is incorporated herein by reference.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40" w:top="266" w:right="719" w:bottom="1440" w:gutter="0" w:footer="0" w:header="0"/>
        </w:sectPr>
      </w:pPr>
    </w:p>
    <w:bookmarkStart w:id="3" w:name="page4"/>
    <w:bookmarkEnd w:id="3"/>
    <w:p>
      <w:pPr>
        <w:ind w:left="964" w:hanging="532"/>
        <w:spacing w:after="0"/>
        <w:tabs>
          <w:tab w:leader="none" w:pos="964"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60" w:type="dxa"/>
            <w:vAlign w:val="bottom"/>
            <w:gridSpan w:val="1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520" w:type="dxa"/>
            <w:vAlign w:val="bottom"/>
          </w:tcPr>
          <w:p>
            <w:pPr>
              <w:spacing w:after="0"/>
              <w:rPr>
                <w:sz w:val="22"/>
                <w:szCs w:val="22"/>
                <w:color w:val="auto"/>
              </w:rPr>
            </w:pPr>
          </w:p>
        </w:tc>
        <w:tc>
          <w:tcPr>
            <w:tcW w:w="70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of Separation and Distribution Agreement between Comcast and Versant Media Group, Inc.</w:t>
              </w:r>
            </w:hyperlink>
          </w:p>
        </w:tc>
        <w:tc>
          <w:tcPr>
            <w:tcW w:w="26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520" w:type="dxa"/>
            <w:vAlign w:val="bottom"/>
          </w:tcPr>
          <w:p>
            <w:pPr>
              <w:spacing w:after="0"/>
              <w:rPr>
                <w:sz w:val="24"/>
                <w:szCs w:val="24"/>
                <w:color w:val="auto"/>
              </w:rPr>
            </w:pPr>
          </w:p>
        </w:tc>
        <w:tc>
          <w:tcPr>
            <w:tcW w:w="6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Form of Amended and Restated Articles of Incorporation of Versant Media Group, Inc.</w:t>
              </w:r>
            </w:hyperlink>
          </w:p>
        </w:tc>
        <w:tc>
          <w:tcPr>
            <w:tcW w:w="3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52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Amended and Restated Bylaws of Versant Media Group,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Transition Services Agreement between Comcast and Versant Media Group, Inc.</w:t>
              </w:r>
            </w:hyperlink>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4"/>
                <w:szCs w:val="24"/>
                <w:color w:val="auto"/>
              </w:rPr>
            </w:pPr>
          </w:p>
        </w:tc>
        <w:tc>
          <w:tcPr>
            <w:tcW w:w="64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Tax Matters Agreement between Comcast and Versant Media Group, Inc.</w:t>
              </w:r>
            </w:hyperlink>
          </w:p>
        </w:tc>
        <w:tc>
          <w:tcPr>
            <w:tcW w:w="3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Form of Employee Matters Agreement between Comcast and Versant Media Group, Inc.</w:t>
            </w: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 of Versant Media Group, Inc. Omnibus Equity Incentive Plan</w:t>
              </w:r>
            </w:hyperlink>
          </w:p>
        </w:tc>
        <w:tc>
          <w:tcPr>
            <w:tcW w:w="1520" w:type="dxa"/>
            <w:vAlign w:val="bottom"/>
            <w:tcBorders>
              <w:top w:val="single" w:sz="8" w:color="0000EE"/>
            </w:tcBorders>
            <w:gridSpan w:val="5"/>
          </w:tcPr>
          <w:p>
            <w:pPr>
              <w:spacing w:after="0"/>
              <w:rPr>
                <w:sz w:val="24"/>
                <w:szCs w:val="24"/>
                <w:color w:val="auto"/>
              </w:rPr>
            </w:pPr>
          </w:p>
        </w:tc>
        <w:tc>
          <w:tcPr>
            <w:tcW w:w="3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Indemnification Agreement for Non-Employee Directors</w:t>
              </w:r>
            </w:hyperlink>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24"/>
                <w:szCs w:val="24"/>
                <w:color w:val="auto"/>
              </w:rPr>
            </w:pPr>
          </w:p>
        </w:tc>
        <w:tc>
          <w:tcPr>
            <w:tcW w:w="474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Executive Employment Agreement of Mark Lazarus</w:t>
              </w:r>
            </w:hyperlink>
          </w:p>
        </w:tc>
        <w:tc>
          <w:tcPr>
            <w:tcW w:w="49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3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Executive Employment Agreement of Anand M. Kini</w:t>
              </w:r>
            </w:hyperlink>
          </w:p>
        </w:tc>
        <w:tc>
          <w:tcPr>
            <w:tcW w:w="58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24"/>
                <w:szCs w:val="24"/>
                <w:color w:val="auto"/>
              </w:rPr>
            </w:pPr>
          </w:p>
        </w:tc>
        <w:tc>
          <w:tcPr>
            <w:tcW w:w="42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Executive Employment Agreement of Jordan R. Fasbender</w:t>
              </w:r>
            </w:hyperlink>
          </w:p>
        </w:tc>
        <w:tc>
          <w:tcPr>
            <w:tcW w:w="5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24"/>
                <w:szCs w:val="24"/>
                <w:color w:val="auto"/>
              </w:rPr>
            </w:pPr>
          </w:p>
        </w:tc>
        <w:tc>
          <w:tcPr>
            <w:tcW w:w="92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Credit and Guaranty Agreement, dated as of October 3, 2025, among Versant Media Group, Inc., as borrower, certain subsidiary</w:t>
              </w:r>
            </w:hyperlink>
          </w:p>
        </w:tc>
        <w:tc>
          <w:tcPr>
            <w:tcW w:w="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gridSpan w:val="20"/>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guarantors party thereto from time to time, the financial institutions party thereto, as lenders and issuing banks, and J.P. Morgan Chase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Bank, N.A., as administrative agent, collateral agent and swingline lender</w:t>
              </w:r>
            </w:hyperlink>
          </w:p>
        </w:tc>
        <w:tc>
          <w:tcPr>
            <w:tcW w:w="436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10.10+†**</w:t>
            </w:r>
          </w:p>
        </w:tc>
        <w:tc>
          <w:tcPr>
            <w:tcW w:w="520" w:type="dxa"/>
            <w:vAlign w:val="bottom"/>
          </w:tcPr>
          <w:p>
            <w:pPr>
              <w:spacing w:after="0"/>
              <w:rPr>
                <w:sz w:val="24"/>
                <w:szCs w:val="24"/>
                <w:color w:val="auto"/>
              </w:rPr>
            </w:pPr>
          </w:p>
        </w:tc>
        <w:tc>
          <w:tcPr>
            <w:tcW w:w="95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Form of Credit and Guaranty Agreement among Versant Media Group, Inc., as borrower, certain subsidiary guarantors party thereto</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from time to time, the financial institutions party thereto, as lenders and issuing banks, and Morgan Stanley Senior Funding, Inc., as</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administrative agent and collateral agent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240" w:type="dxa"/>
            <w:vAlign w:val="bottom"/>
            <w:gridSpan w:val="1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20" w:type="dxa"/>
            <w:vAlign w:val="bottom"/>
          </w:tcPr>
          <w:p>
            <w:pPr>
              <w:spacing w:after="0"/>
              <w:rPr>
                <w:sz w:val="24"/>
                <w:szCs w:val="24"/>
                <w:color w:val="auto"/>
              </w:rPr>
            </w:pPr>
          </w:p>
        </w:tc>
        <w:tc>
          <w:tcPr>
            <w:tcW w:w="91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Indenture, dated as of October 29, 2025, between Versant Media Group, Inc., as issuer, and Citibank, N.A., as trustee and notes</w:t>
              </w:r>
            </w:hyperlink>
          </w:p>
        </w:tc>
        <w:tc>
          <w:tcPr>
            <w:tcW w:w="5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collateral agent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04" w:hanging="1304"/>
        <w:spacing w:after="0"/>
        <w:tabs>
          <w:tab w:leader="none" w:pos="13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Preliminary Information Statement dated November 18, 2025</w:t>
            </w:r>
          </w:p>
        </w:tc>
        <w:tc>
          <w:tcPr>
            <w:tcW w:w="960" w:type="dxa"/>
            <w:vAlign w:val="bottom"/>
          </w:tcPr>
          <w:p>
            <w:pPr>
              <w:spacing w:after="0"/>
              <w:rPr>
                <w:sz w:val="18"/>
                <w:szCs w:val="18"/>
                <w:color w:val="auto"/>
              </w:rPr>
            </w:pPr>
          </w:p>
        </w:tc>
      </w:tr>
      <w:tr>
        <w:trPr>
          <w:trHeight w:val="34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Form of Notice of Internet Availability of Information Statement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 w:right="8660" w:hanging="4"/>
        <w:spacing w:after="0" w:line="261"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 Previously filed.</w:t>
      </w:r>
    </w:p>
    <w:p>
      <w:pPr>
        <w:ind w:left="424" w:right="60" w:hanging="432"/>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pursuant to Item 601(a)(5) of Regulation S-K. A copy of any omitted schedule and/or exhibit will be furnished supplementally to the SEC upon request.</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personally identifiable information has been omitted from this exhibit pursuant to Item 601(a)(6) of Regulation S-K.</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C. Murdock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2025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5" w:name="page6"/>
    <w:bookmarkEnd w:id="5"/>
    <w:p>
      <w:pPr>
        <w:ind w:left="1008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Certain schedules and exhibits to this agreement have been omitted pursuant to Item 601(a)(5) of Regulation S-K. A copy of any omitted schedule and/or exhibit will be furnished supplementally to the SEC upon request.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MATTERS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[         ], 2026</w:t>
      </w:r>
    </w:p>
    <w:p>
      <w:pPr>
        <w:sectPr>
          <w:pgSz w:w="11900" w:h="16838" w:orient="portrait"/>
          <w:cols w:equalWidth="0" w:num="1">
            <w:col w:w="11020"/>
          </w:cols>
          <w:pgMar w:left="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95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r>
      <w:tr>
        <w:trPr>
          <w:trHeight w:val="392"/>
        </w:trPr>
        <w:tc>
          <w:tcPr>
            <w:tcW w:w="106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286"/>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ARTICLE 1</w:t>
            </w:r>
          </w:p>
        </w:tc>
        <w:tc>
          <w:tcPr>
            <w:tcW w:w="3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95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tc>
        <w:tc>
          <w:tcPr>
            <w:tcW w:w="340" w:type="dxa"/>
            <w:vAlign w:val="bottom"/>
          </w:tcPr>
          <w:p>
            <w:pPr>
              <w:spacing w:after="0"/>
              <w:rPr>
                <w:sz w:val="20"/>
                <w:szCs w:val="20"/>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Interpretive Provisions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95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LLOCATION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IABILITIES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NDEMNIFICATION</w:t>
            </w:r>
          </w:p>
        </w:tc>
        <w:tc>
          <w:tcPr>
            <w:tcW w:w="340" w:type="dxa"/>
            <w:vAlign w:val="bottom"/>
          </w:tcPr>
          <w:p>
            <w:pPr>
              <w:spacing w:after="0"/>
              <w:rPr>
                <w:sz w:val="20"/>
                <w:szCs w:val="20"/>
                <w:color w:val="auto"/>
              </w:rPr>
            </w:pPr>
          </w:p>
        </w:tc>
      </w:tr>
      <w:tr>
        <w:trPr>
          <w:trHeight w:val="30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Allocation of Employee-Related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No Duplicate Reimbursements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ARTICLE 3</w:t>
            </w:r>
          </w:p>
        </w:tc>
        <w:tc>
          <w:tcPr>
            <w:tcW w:w="3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95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MPLOYEES</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GREEMENTS</w:t>
            </w:r>
            <w:r>
              <w:rPr>
                <w:rFonts w:ascii="Times New Roman" w:cs="Times New Roman" w:eastAsia="Times New Roman" w:hAnsi="Times New Roman"/>
                <w:sz w:val="18"/>
                <w:szCs w:val="18"/>
                <w:color w:val="auto"/>
              </w:rPr>
              <w:t>; TSA E</w:t>
            </w:r>
            <w:r>
              <w:rPr>
                <w:rFonts w:ascii="Times New Roman" w:cs="Times New Roman" w:eastAsia="Times New Roman" w:hAnsi="Times New Roman"/>
                <w:sz w:val="14"/>
                <w:szCs w:val="14"/>
                <w:color w:val="auto"/>
              </w:rPr>
              <w:t>MPLOYEES</w:t>
            </w:r>
          </w:p>
        </w:tc>
        <w:tc>
          <w:tcPr>
            <w:tcW w:w="340" w:type="dxa"/>
            <w:vAlign w:val="bottom"/>
          </w:tcPr>
          <w:p>
            <w:pPr>
              <w:spacing w:after="0"/>
              <w:rPr>
                <w:sz w:val="20"/>
                <w:szCs w:val="20"/>
                <w:color w:val="auto"/>
              </w:rPr>
            </w:pPr>
          </w:p>
        </w:tc>
      </w:tr>
      <w:tr>
        <w:trPr>
          <w:trHeight w:val="30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Transfers of Employment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Transfer of Delayed Transfer SpinCo Employees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Employee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Labor Unions; Collective Bargaining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Assignment of Specified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Sponsored SpinCo Employees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Termination-Related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TSA Employees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ARTICLE 4</w:t>
            </w:r>
          </w:p>
        </w:tc>
        <w:tc>
          <w:tcPr>
            <w:tcW w:w="3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95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LANS</w:t>
            </w:r>
          </w:p>
        </w:tc>
        <w:tc>
          <w:tcPr>
            <w:tcW w:w="340" w:type="dxa"/>
            <w:vAlign w:val="bottom"/>
          </w:tcPr>
          <w:p>
            <w:pPr>
              <w:spacing w:after="0"/>
              <w:rPr>
                <w:sz w:val="20"/>
                <w:szCs w:val="20"/>
                <w:color w:val="auto"/>
              </w:rPr>
            </w:pPr>
          </w:p>
        </w:tc>
      </w:tr>
      <w:tr>
        <w:trPr>
          <w:trHeight w:val="30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General; Plan Participation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Service Credit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ARTICLE 5</w:t>
            </w:r>
          </w:p>
        </w:tc>
        <w:tc>
          <w:tcPr>
            <w:tcW w:w="3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95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ETIREMENT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EFERRED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OMPENSATION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p>
        </w:tc>
        <w:tc>
          <w:tcPr>
            <w:tcW w:w="340" w:type="dxa"/>
            <w:vAlign w:val="bottom"/>
          </w:tcPr>
          <w:p>
            <w:pPr>
              <w:spacing w:after="0"/>
              <w:rPr>
                <w:sz w:val="20"/>
                <w:szCs w:val="20"/>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401(k) Plan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Non-U.S. Defined Contribution Plans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Non-Qualified Retirement Plans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Retiree Health Care Benefits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Leadership Life Plan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Comcast Life Plan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Comcast DC Plans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Legacy and Select Deferred Compensation Plans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 w:name="page8"/>
    <w:bookmarkEnd w:id="7"/>
    <w:p>
      <w:pPr>
        <w:jc w:val="center"/>
        <w:ind w:righ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6</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EALTH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ELFARE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ENEFIT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HARESAVE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INIMIS</w:t>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EIMBURSEMENTS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AID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FF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Health and Welfare Benefit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Health and Welfare Benefit Plan Claims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Flexible Spending Accounts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Commuter Benefits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Workers’ Compensation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COBRA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Comcast Sharesave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De Minimis Fringe Benefits and Reimbursements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Accrued Paid Time Off</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160" w:type="dxa"/>
            <w:vAlign w:val="bottom"/>
          </w:tcPr>
          <w:p>
            <w:pPr>
              <w:spacing w:after="0"/>
              <w:rPr>
                <w:sz w:val="24"/>
                <w:szCs w:val="24"/>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ARTICLE 7</w:t>
            </w:r>
          </w:p>
        </w:tc>
        <w:tc>
          <w:tcPr>
            <w:tcW w:w="16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ASH</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OMPENSATION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ETENTION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ONUSES</w:t>
            </w:r>
          </w:p>
        </w:tc>
        <w:tc>
          <w:tcPr>
            <w:tcW w:w="1640" w:type="dxa"/>
            <w:vAlign w:val="bottom"/>
          </w:tcPr>
          <w:p>
            <w:pPr>
              <w:spacing w:after="0"/>
              <w:rPr>
                <w:sz w:val="20"/>
                <w:szCs w:val="20"/>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Annual Cash Bonuses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Advertisement Sales Commission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Retention Bonuses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160" w:type="dxa"/>
            <w:vAlign w:val="bottom"/>
          </w:tcPr>
          <w:p>
            <w:pPr>
              <w:spacing w:after="0"/>
              <w:rPr>
                <w:sz w:val="24"/>
                <w:szCs w:val="24"/>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ARTICLE 8</w:t>
            </w:r>
          </w:p>
        </w:tc>
        <w:tc>
          <w:tcPr>
            <w:tcW w:w="16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REATMENT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UTSTANDING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QUITY</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WARDS</w:t>
            </w:r>
          </w:p>
        </w:tc>
        <w:tc>
          <w:tcPr>
            <w:tcW w:w="1640" w:type="dxa"/>
            <w:vAlign w:val="bottom"/>
          </w:tcPr>
          <w:p>
            <w:pPr>
              <w:spacing w:after="0"/>
              <w:rPr>
                <w:sz w:val="20"/>
                <w:szCs w:val="20"/>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Phantom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Miscellaneous Terms and Actions; Tax Reporting and Withholding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160" w:type="dxa"/>
            <w:vAlign w:val="bottom"/>
          </w:tcPr>
          <w:p>
            <w:pPr>
              <w:spacing w:after="0"/>
              <w:rPr>
                <w:sz w:val="24"/>
                <w:szCs w:val="24"/>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ARTICLE 9</w:t>
            </w:r>
          </w:p>
        </w:tc>
        <w:tc>
          <w:tcPr>
            <w:tcW w:w="16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ERSONNEL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ECORDS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AYROLL AND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ITHHOLDING</w:t>
            </w:r>
          </w:p>
        </w:tc>
        <w:tc>
          <w:tcPr>
            <w:tcW w:w="1640" w:type="dxa"/>
            <w:vAlign w:val="bottom"/>
          </w:tcPr>
          <w:p>
            <w:pPr>
              <w:spacing w:after="0"/>
              <w:rPr>
                <w:sz w:val="20"/>
                <w:szCs w:val="20"/>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Personnel Records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Payroll; Tax Reporting and Withholding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1160" w:type="dxa"/>
            <w:vAlign w:val="bottom"/>
          </w:tcPr>
          <w:p>
            <w:pPr>
              <w:spacing w:after="0"/>
              <w:rPr>
                <w:sz w:val="24"/>
                <w:szCs w:val="24"/>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ARTICLE 10</w:t>
            </w:r>
          </w:p>
        </w:tc>
        <w:tc>
          <w:tcPr>
            <w:tcW w:w="16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ON</w:t>
            </w:r>
            <w:r>
              <w:rPr>
                <w:rFonts w:ascii="Times New Roman" w:cs="Times New Roman" w:eastAsia="Times New Roman" w:hAnsi="Times New Roman"/>
                <w:sz w:val="18"/>
                <w:szCs w:val="18"/>
                <w:color w:val="auto"/>
              </w:rPr>
              <w:t>-U.S. E</w:t>
            </w:r>
            <w:r>
              <w:rPr>
                <w:rFonts w:ascii="Times New Roman" w:cs="Times New Roman" w:eastAsia="Times New Roman" w:hAnsi="Times New Roman"/>
                <w:sz w:val="14"/>
                <w:szCs w:val="14"/>
                <w:color w:val="auto"/>
              </w:rPr>
              <w:t>MPLOYEES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p>
        </w:tc>
        <w:tc>
          <w:tcPr>
            <w:tcW w:w="1640" w:type="dxa"/>
            <w:vAlign w:val="bottom"/>
          </w:tcPr>
          <w:p>
            <w:pPr>
              <w:spacing w:after="0"/>
              <w:rPr>
                <w:sz w:val="20"/>
                <w:szCs w:val="20"/>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Special Provisions for Employees and Employee Plans Outside of the United States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1160" w:type="dxa"/>
            <w:vAlign w:val="bottom"/>
          </w:tcPr>
          <w:p>
            <w:pPr>
              <w:spacing w:after="0"/>
              <w:rPr>
                <w:sz w:val="24"/>
                <w:szCs w:val="24"/>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ARTICLE 11</w:t>
            </w:r>
          </w:p>
        </w:tc>
        <w:tc>
          <w:tcPr>
            <w:tcW w:w="16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ELAYED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RANSFER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PIN</w:t>
            </w: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MPLOYEES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PIN</w:t>
            </w: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LR</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MPLOYEES</w:t>
            </w:r>
          </w:p>
        </w:tc>
        <w:tc>
          <w:tcPr>
            <w:tcW w:w="1640" w:type="dxa"/>
            <w:vAlign w:val="bottom"/>
          </w:tcPr>
          <w:p>
            <w:pPr>
              <w:spacing w:after="0"/>
              <w:rPr>
                <w:sz w:val="20"/>
                <w:szCs w:val="20"/>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General Principles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401(k)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Health and Welfare Benefit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Treatment of Equity Awards Held by Delayed Transfer SpinCo Employees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0" w:type="dxa"/>
            <w:vAlign w:val="bottom"/>
          </w:tcPr>
          <w:p>
            <w:pPr>
              <w:jc w:val="center"/>
              <w:ind w:right="4230"/>
              <w:spacing w:after="0"/>
              <w:rPr>
                <w:sz w:val="20"/>
                <w:szCs w:val="20"/>
                <w:color w:val="auto"/>
              </w:rPr>
            </w:pPr>
            <w:r>
              <w:rPr>
                <w:rFonts w:ascii="Times New Roman" w:cs="Times New Roman" w:eastAsia="Times New Roman" w:hAnsi="Times New Roman"/>
                <w:sz w:val="18"/>
                <w:szCs w:val="18"/>
                <w:color w:val="auto"/>
                <w:w w:val="97"/>
              </w:rPr>
              <w:t>ARTICLE 12</w:t>
            </w:r>
          </w:p>
        </w:tc>
      </w:tr>
      <w:tr>
        <w:trPr>
          <w:trHeight w:val="234"/>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000" w:type="dxa"/>
            <w:vAlign w:val="bottom"/>
          </w:tcPr>
          <w:p>
            <w:pPr>
              <w:jc w:val="center"/>
              <w:ind w:right="423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ESTRICTIVE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w:t>
            </w:r>
          </w:p>
        </w:tc>
      </w:tr>
      <w:tr>
        <w:trPr>
          <w:trHeight w:val="32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Non-Solicitation of Employees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0" w:type="dxa"/>
            <w:vAlign w:val="bottom"/>
          </w:tcPr>
          <w:p>
            <w:pPr>
              <w:jc w:val="center"/>
              <w:ind w:right="4230"/>
              <w:spacing w:after="0"/>
              <w:rPr>
                <w:sz w:val="20"/>
                <w:szCs w:val="20"/>
                <w:color w:val="auto"/>
              </w:rPr>
            </w:pPr>
            <w:r>
              <w:rPr>
                <w:rFonts w:ascii="Times New Roman" w:cs="Times New Roman" w:eastAsia="Times New Roman" w:hAnsi="Times New Roman"/>
                <w:sz w:val="18"/>
                <w:szCs w:val="18"/>
                <w:color w:val="auto"/>
                <w:w w:val="97"/>
              </w:rPr>
              <w:t>ARTICLE 13</w:t>
            </w:r>
          </w:p>
        </w:tc>
      </w:tr>
      <w:tr>
        <w:trPr>
          <w:trHeight w:val="234"/>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000" w:type="dxa"/>
            <w:vAlign w:val="bottom"/>
          </w:tcPr>
          <w:p>
            <w:pPr>
              <w:jc w:val="center"/>
              <w:ind w:right="423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ENERAL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DMINISTRATIVE</w:t>
            </w:r>
          </w:p>
        </w:tc>
      </w:tr>
      <w:tr>
        <w:trPr>
          <w:trHeight w:val="30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Sharing of Participant Information</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Cooperation</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Vendor Contracts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Data Privacy</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Notices of Certain Events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 Third-Party Beneficiaries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Fiduciary Matters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Consent of Third Parties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Section 409A</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0" w:type="dxa"/>
            <w:vAlign w:val="bottom"/>
          </w:tcPr>
          <w:p>
            <w:pPr>
              <w:jc w:val="center"/>
              <w:ind w:right="4230"/>
              <w:spacing w:after="0"/>
              <w:rPr>
                <w:sz w:val="20"/>
                <w:szCs w:val="20"/>
                <w:color w:val="auto"/>
              </w:rPr>
            </w:pPr>
            <w:r>
              <w:rPr>
                <w:rFonts w:ascii="Times New Roman" w:cs="Times New Roman" w:eastAsia="Times New Roman" w:hAnsi="Times New Roman"/>
                <w:sz w:val="18"/>
                <w:szCs w:val="18"/>
                <w:color w:val="auto"/>
                <w:w w:val="97"/>
              </w:rPr>
              <w:t>ARTICLE 14</w:t>
            </w:r>
          </w:p>
        </w:tc>
      </w:tr>
      <w:tr>
        <w:trPr>
          <w:trHeight w:val="234"/>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000" w:type="dxa"/>
            <w:vAlign w:val="bottom"/>
          </w:tcPr>
          <w:p>
            <w:pPr>
              <w:jc w:val="center"/>
              <w:ind w:right="423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tc>
      </w:tr>
      <w:tr>
        <w:trPr>
          <w:trHeight w:val="32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14.01.</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General</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92"/>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286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439"/>
        </w:trPr>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Schedule I</w:t>
            </w:r>
          </w:p>
        </w:tc>
        <w:tc>
          <w:tcPr>
            <w:tcW w:w="2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SpinCo CBAs</w:t>
            </w:r>
          </w:p>
        </w:tc>
        <w:tc>
          <w:tcPr>
            <w:tcW w:w="7000" w:type="dxa"/>
            <w:vAlign w:val="bottom"/>
          </w:tcPr>
          <w:p>
            <w:pPr>
              <w:spacing w:after="0"/>
              <w:rPr>
                <w:sz w:val="24"/>
                <w:szCs w:val="24"/>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MATTERS AGREEMENT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EMPLOYEE MATTERS AGREEMENT, dated as of [      ], 2026 (as the same may be amended from time to time in accordance with its terms and together with the schedules and exhibits hereto,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Comcast Corporation, a Pennsylvania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and Versant Media Group, Inc., a Pennsylvania corporation (“</w:t>
      </w:r>
      <w:r>
        <w:rPr>
          <w:rFonts w:ascii="Times New Roman" w:cs="Times New Roman" w:eastAsia="Times New Roman" w:hAnsi="Times New Roman"/>
          <w:sz w:val="18"/>
          <w:szCs w:val="18"/>
          <w:b w:val="1"/>
          <w:bCs w:val="1"/>
          <w:color w:val="auto"/>
        </w:rPr>
        <w:t>SpinCo</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WHEREAS, the Board of Directors of Comcast (the “</w:t>
      </w:r>
      <w:r>
        <w:rPr>
          <w:rFonts w:ascii="Times New Roman" w:cs="Times New Roman" w:eastAsia="Times New Roman" w:hAnsi="Times New Roman"/>
          <w:sz w:val="18"/>
          <w:szCs w:val="18"/>
          <w:b w:val="1"/>
          <w:bCs w:val="1"/>
          <w:color w:val="auto"/>
        </w:rPr>
        <w:t>Comcast Board</w:t>
      </w:r>
      <w:r>
        <w:rPr>
          <w:rFonts w:ascii="Times New Roman" w:cs="Times New Roman" w:eastAsia="Times New Roman" w:hAnsi="Times New Roman"/>
          <w:sz w:val="18"/>
          <w:szCs w:val="18"/>
          <w:color w:val="auto"/>
        </w:rPr>
        <w:t>”) has determined that it is in the best interests of Comcast and its shareholders to separate the SpinCo Business from the Comcast Business;</w:t>
      </w:r>
    </w:p>
    <w:p>
      <w:pPr>
        <w:spacing w:after="0" w:line="155" w:lineRule="exact"/>
        <w:rPr>
          <w:sz w:val="20"/>
          <w:szCs w:val="20"/>
          <w:color w:val="auto"/>
        </w:rPr>
      </w:pPr>
    </w:p>
    <w:p>
      <w:pPr>
        <w:ind w:right="800" w:firstLine="440"/>
        <w:spacing w:after="0" w:line="317" w:lineRule="auto"/>
        <w:rPr>
          <w:sz w:val="20"/>
          <w:szCs w:val="20"/>
          <w:color w:val="auto"/>
        </w:rPr>
      </w:pPr>
      <w:r>
        <w:rPr>
          <w:rFonts w:ascii="Times New Roman" w:cs="Times New Roman" w:eastAsia="Times New Roman" w:hAnsi="Times New Roman"/>
          <w:sz w:val="17"/>
          <w:szCs w:val="17"/>
          <w:color w:val="auto"/>
        </w:rPr>
        <w:t>WHEREAS, Comcast and SpinCo have entered into a Separation and Distribution Agreement, dated as of [      ] (the “</w:t>
      </w:r>
      <w:r>
        <w:rPr>
          <w:rFonts w:ascii="Times New Roman" w:cs="Times New Roman" w:eastAsia="Times New Roman" w:hAnsi="Times New Roman"/>
          <w:sz w:val="17"/>
          <w:szCs w:val="17"/>
          <w:b w:val="1"/>
          <w:bCs w:val="1"/>
          <w:color w:val="auto"/>
        </w:rPr>
        <w:t>Separation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pursuant to which the Contribution, the Distribution and other related transactions contemplated thereby will be consummated;</w:t>
      </w:r>
    </w:p>
    <w:p>
      <w:pPr>
        <w:spacing w:after="0" w:line="136"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WHEREAS, SpinCo is a wholly owned Subsidiary of Comcast that has been incorporated for the sole purpose of, and has not engaged in activities except in preparation for, the separation of the SpinCo Business from the Comcast Business, the Contribution, the Distribution and other transactions contemplated by this Agreement, the Separation Agreement and the other Ancillary Agreements;</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set forth their agreement regarding the allocation between them of assets, Liabilities and responsibilities with respect to certain employee matters, including employee compensation and benefit plans and programs; and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WHEREAS, the Parties have agreed that, except as otherwise expressly provided herein, the general approach and philosophy underlying this Agreement is to (a) allocate assets, Liabilities and responsibilities to the SpinCo Group (as opposed to the Comcast Group) to the extent they relate to current, former or future employees, directors and other service providers primarily related to the SpinCo Business and (b) allocate assets, Liabilities and responsibilities (other than those described in clause (a) above) to the Comcast Group (as opposed to the SpinCo Group).</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the Parties hereby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For purposes of this Agreement, the following terms shall have the following meanings:</w:t>
      </w:r>
    </w:p>
    <w:p>
      <w:pPr>
        <w:spacing w:after="0" w:line="113"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Privacy Law</w:t>
      </w:r>
      <w:r>
        <w:rPr>
          <w:rFonts w:ascii="Times New Roman" w:cs="Times New Roman" w:eastAsia="Times New Roman" w:hAnsi="Times New Roman"/>
          <w:sz w:val="18"/>
          <w:szCs w:val="18"/>
          <w:color w:val="auto"/>
        </w:rPr>
        <w:t>” means all Applicable Law relating to data privacy, data protection, cybersecurity and/or the processing of Personal Information, including the California Consumer Privacy Act of 2018, the EU 2016/679 General Data Protection Regulation and the equivalent thereof under the laws of the United Kingdom.</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0" w:name="page11"/>
    <w:bookmarkEnd w:id="10"/>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Privacy Requirements</w:t>
      </w:r>
      <w:r>
        <w:rPr>
          <w:rFonts w:ascii="Times New Roman" w:cs="Times New Roman" w:eastAsia="Times New Roman" w:hAnsi="Times New Roman"/>
          <w:sz w:val="18"/>
          <w:szCs w:val="18"/>
          <w:color w:val="auto"/>
        </w:rPr>
        <w:t>” means all (i) Applicable Privacy Laws and (ii) internal and external policies and procedures, binding industry standards and restrictions and requirements contained in any applicable binding contract, in each case, under this clause (ii), relating to data privacy, data protection, cybersecurity and/or the processing of Personal Information, including, for the avoidance of doubt, the Data Processing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Benefits Commencement Date</w:t>
      </w:r>
      <w:r>
        <w:rPr>
          <w:rFonts w:ascii="Times New Roman" w:cs="Times New Roman" w:eastAsia="Times New Roman" w:hAnsi="Times New Roman"/>
          <w:sz w:val="18"/>
          <w:szCs w:val="18"/>
          <w:color w:val="auto"/>
        </w:rPr>
        <w:t>” means January 1, 2026 or such other date as mutually agreed between the Parties.</w:t>
      </w:r>
    </w:p>
    <w:p>
      <w:pPr>
        <w:spacing w:after="0" w:line="225"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continuation coverage requirements for “group health plans” under Title X of the Consolidated Omnibus Budget Reconciliation Act of 1985, as amended, and as codified in Section 4980B of the Code and Sections 601 through 608 of ERISA.</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Collective Bargaining Agreements</w:t>
      </w:r>
      <w:r>
        <w:rPr>
          <w:rFonts w:ascii="Times New Roman" w:cs="Times New Roman" w:eastAsia="Times New Roman" w:hAnsi="Times New Roman"/>
          <w:sz w:val="18"/>
          <w:szCs w:val="18"/>
          <w:color w:val="auto"/>
        </w:rPr>
        <w:t>” means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 as may be amended from time to time.</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401(k) Plans</w:t>
      </w:r>
      <w:r>
        <w:rPr>
          <w:rFonts w:ascii="Times New Roman" w:cs="Times New Roman" w:eastAsia="Times New Roman" w:hAnsi="Times New Roman"/>
          <w:sz w:val="18"/>
          <w:szCs w:val="18"/>
          <w:color w:val="auto"/>
        </w:rPr>
        <w:t>” means, collectively, the NBCUniversal Capital Accumulation Plan and the Comcast Corporation Retirement-Investment Plan and any related trusts.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Awards</w:t>
      </w:r>
      <w:r>
        <w:rPr>
          <w:rFonts w:ascii="Times New Roman" w:cs="Times New Roman" w:eastAsia="Times New Roman" w:hAnsi="Times New Roman"/>
          <w:sz w:val="18"/>
          <w:szCs w:val="18"/>
          <w:color w:val="auto"/>
        </w:rPr>
        <w:t>” means, collectively, the Comcast Options, the Comcast RSUs and the Comcast Phantom Stock Units.</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Bonus Plan</w:t>
      </w:r>
      <w:r>
        <w:rPr>
          <w:rFonts w:ascii="Times New Roman" w:cs="Times New Roman" w:eastAsia="Times New Roman" w:hAnsi="Times New Roman"/>
          <w:sz w:val="18"/>
          <w:szCs w:val="18"/>
          <w:color w:val="auto"/>
        </w:rPr>
        <w:t>” means any Employee Plan that is a cash bonus or cash incentive plan that is sponsored or maintained by any member of the Comcast Group.</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CBA</w:t>
      </w:r>
      <w:r>
        <w:rPr>
          <w:rFonts w:ascii="Times New Roman" w:cs="Times New Roman" w:eastAsia="Times New Roman" w:hAnsi="Times New Roman"/>
          <w:sz w:val="18"/>
          <w:szCs w:val="18"/>
          <w:color w:val="auto"/>
        </w:rPr>
        <w:t>” means any Collective Bargaining Agreement (or applicable portion thereof) covering Comcast Employees, including as adopted in accordance with Section 3.04(c).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CHC Committee</w:t>
      </w:r>
      <w:r>
        <w:rPr>
          <w:rFonts w:ascii="Times New Roman" w:cs="Times New Roman" w:eastAsia="Times New Roman" w:hAnsi="Times New Roman"/>
          <w:sz w:val="18"/>
          <w:szCs w:val="18"/>
          <w:color w:val="auto"/>
        </w:rPr>
        <w:t>” means the Compensation and Human Capital Committee of the Comcast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Class A Common Stock</w:t>
      </w:r>
      <w:r>
        <w:rPr>
          <w:rFonts w:ascii="Times New Roman" w:cs="Times New Roman" w:eastAsia="Times New Roman" w:hAnsi="Times New Roman"/>
          <w:sz w:val="18"/>
          <w:szCs w:val="18"/>
          <w:color w:val="auto"/>
        </w:rPr>
        <w:t>” means the Class A common stock, par value $0.01 per share, of Comcast.</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Concentration Ratio</w:t>
      </w:r>
      <w:r>
        <w:rPr>
          <w:rFonts w:ascii="Times New Roman" w:cs="Times New Roman" w:eastAsia="Times New Roman" w:hAnsi="Times New Roman"/>
          <w:sz w:val="18"/>
          <w:szCs w:val="18"/>
          <w:color w:val="auto"/>
        </w:rPr>
        <w:t>” means the quotient obtained by dividing (i) the sum of (A) the SpinCo Adjusted Share Value and (B) the Comcast Share Value by (ii) the Comcast Share Value.</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DC Plans</w:t>
      </w:r>
      <w:r>
        <w:rPr>
          <w:rFonts w:ascii="Times New Roman" w:cs="Times New Roman" w:eastAsia="Times New Roman" w:hAnsi="Times New Roman"/>
          <w:sz w:val="18"/>
          <w:szCs w:val="18"/>
          <w:color w:val="auto"/>
        </w:rPr>
        <w:t>” means, collectively, the Comcast Corporation 2002 Deferred Compensation Plan and the Comcast Corporation 2005 Deferred Compensation Plan.</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11" w:name="page12"/>
    <w:bookmarkEnd w:id="11"/>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Comcast Deferred Compensation Plans</w:t>
      </w:r>
      <w:r>
        <w:rPr>
          <w:rFonts w:ascii="Times New Roman" w:cs="Times New Roman" w:eastAsia="Times New Roman" w:hAnsi="Times New Roman"/>
          <w:sz w:val="18"/>
          <w:szCs w:val="18"/>
          <w:color w:val="auto"/>
        </w:rPr>
        <w:t>” means, collectively, the Comcast DC Plans, the Comcast Legacy Deferral Plans and the Comcast Select Deferral Plans.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Director</w:t>
      </w:r>
      <w:r>
        <w:rPr>
          <w:rFonts w:ascii="Times New Roman" w:cs="Times New Roman" w:eastAsia="Times New Roman" w:hAnsi="Times New Roman"/>
          <w:sz w:val="18"/>
          <w:szCs w:val="18"/>
          <w:color w:val="auto"/>
        </w:rPr>
        <w:t>” means a member of the Comcast Board.</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Employee</w:t>
      </w:r>
      <w:r>
        <w:rPr>
          <w:rFonts w:ascii="Times New Roman" w:cs="Times New Roman" w:eastAsia="Times New Roman" w:hAnsi="Times New Roman"/>
          <w:sz w:val="18"/>
          <w:szCs w:val="18"/>
          <w:color w:val="auto"/>
        </w:rPr>
        <w:t>” means each individual who, as of the Distribution Date, (i) is not a SpinCo Employee and (ii) is (A) actively employed by any member of the Comcast Group, (B) an inactive employee, including any employee who is on short- or long-term disability leave or other authorized leave of absence or (C) a Former Comcast Employee.</w:t>
      </w:r>
    </w:p>
    <w:p>
      <w:pPr>
        <w:spacing w:after="0" w:line="171"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Equity Plans</w:t>
      </w:r>
      <w:r>
        <w:rPr>
          <w:rFonts w:ascii="Times New Roman" w:cs="Times New Roman" w:eastAsia="Times New Roman" w:hAnsi="Times New Roman"/>
          <w:sz w:val="18"/>
          <w:szCs w:val="18"/>
          <w:color w:val="auto"/>
        </w:rPr>
        <w:t>” means, collectively, (i) the Comcast Corporation 2003 Stock Option Plan, as amended and restated, effective as of March 1, 2021, (ii) the Comcast Corporation 2002 Restricted Stock Plan, as amended and restated, effective as of June 7, 2023, (iii) the Comcast Corporation 2023 Omnibus Equity Incentive Plan, effective as of June 7, 2023 and (iv) the Comcast Corporation 2016 Phantom Equity Plan, in each case as may be amended from time to time.</w:t>
      </w:r>
    </w:p>
    <w:p>
      <w:pPr>
        <w:spacing w:after="0" w:line="176"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ESPP</w:t>
      </w:r>
      <w:r>
        <w:rPr>
          <w:rFonts w:ascii="Times New Roman" w:cs="Times New Roman" w:eastAsia="Times New Roman" w:hAnsi="Times New Roman"/>
          <w:sz w:val="18"/>
          <w:szCs w:val="18"/>
          <w:color w:val="auto"/>
        </w:rPr>
        <w:t>” means, collectively, the Comcast Corporation 2002 Employee Stock Purchase Plan and the Comcast-NBCU 2011 Employee Stock Purchase Plan, in each case as may be amended from time to time.</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FSA</w:t>
      </w:r>
      <w:r>
        <w:rPr>
          <w:rFonts w:ascii="Times New Roman" w:cs="Times New Roman" w:eastAsia="Times New Roman" w:hAnsi="Times New Roman"/>
          <w:sz w:val="18"/>
          <w:szCs w:val="18"/>
          <w:color w:val="auto"/>
        </w:rPr>
        <w:t>” means any Comcast Plan that is a flexible spending account for health and dependent care expenses under Sections 125 and 129 of the Code.</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H&amp;W Plan</w:t>
      </w:r>
      <w:r>
        <w:rPr>
          <w:rFonts w:ascii="Times New Roman" w:cs="Times New Roman" w:eastAsia="Times New Roman" w:hAnsi="Times New Roman"/>
          <w:sz w:val="18"/>
          <w:szCs w:val="18"/>
          <w:color w:val="auto"/>
        </w:rPr>
        <w:t>” means any Comcast Plan that is (i) an “employee welfare benefit plan” or “welfare plan” (as defined under Section 3(1) of ERISA) or (ii) a similar plan that is sponsored, maintained, administered, contributed to or entered into outside of the United States.</w:t>
      </w:r>
    </w:p>
    <w:p>
      <w:pPr>
        <w:spacing w:after="0" w:line="155" w:lineRule="exact"/>
        <w:rPr>
          <w:sz w:val="20"/>
          <w:szCs w:val="20"/>
          <w:color w:val="auto"/>
        </w:rPr>
      </w:pPr>
    </w:p>
    <w:p>
      <w:pPr>
        <w:ind w:right="9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Legacy Deferral Plans</w:t>
      </w:r>
      <w:r>
        <w:rPr>
          <w:rFonts w:ascii="Times New Roman" w:cs="Times New Roman" w:eastAsia="Times New Roman" w:hAnsi="Times New Roman"/>
          <w:sz w:val="18"/>
          <w:szCs w:val="18"/>
          <w:color w:val="auto"/>
        </w:rPr>
        <w:t>” means the 2013 NBCU Media Deferred Compensation Plan and the 2017 NBCU Media Deferred Compensation Plan.</w:t>
      </w:r>
    </w:p>
    <w:p>
      <w:pPr>
        <w:spacing w:after="0" w:line="15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Other Service Provider</w:t>
      </w:r>
      <w:r>
        <w:rPr>
          <w:rFonts w:ascii="Times New Roman" w:cs="Times New Roman" w:eastAsia="Times New Roman" w:hAnsi="Times New Roman"/>
          <w:sz w:val="18"/>
          <w:szCs w:val="18"/>
          <w:color w:val="auto"/>
        </w:rPr>
        <w:t>” means, solely for purposes of Article 8 hereof, each independent contractor, consultant or other service provider of any member of the Comcast Group who, as of immediately prior to the Distribution Date, (i) is not a SpinCo Other Service Provider and (ii) directly or indirectly holds any Comcast Awards.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Option</w:t>
      </w:r>
      <w:r>
        <w:rPr>
          <w:rFonts w:ascii="Times New Roman" w:cs="Times New Roman" w:eastAsia="Times New Roman" w:hAnsi="Times New Roman"/>
          <w:sz w:val="18"/>
          <w:szCs w:val="18"/>
          <w:color w:val="auto"/>
        </w:rPr>
        <w:t>” means each option to acquire Comcast Class A Common Stock granted under the Comcast Equity Plans.</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Participant</w:t>
      </w:r>
      <w:r>
        <w:rPr>
          <w:rFonts w:ascii="Times New Roman" w:cs="Times New Roman" w:eastAsia="Times New Roman" w:hAnsi="Times New Roman"/>
          <w:sz w:val="18"/>
          <w:szCs w:val="18"/>
          <w:color w:val="auto"/>
        </w:rPr>
        <w:t xml:space="preserve">” means each individual who, as of the Distribution Date, is a Comcast Employee or Comcast Director and any beneficiary, dependent or alternate payee of such individual, as the context requires;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Article 8 hereof, Comcast Participant shall also be deemed to include a Comcast Other Service Provider and any beneficiary, dependent or alternate payee thereof.</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Phantom Stock Units</w:t>
      </w:r>
      <w:r>
        <w:rPr>
          <w:rFonts w:ascii="Times New Roman" w:cs="Times New Roman" w:eastAsia="Times New Roman" w:hAnsi="Times New Roman"/>
          <w:sz w:val="18"/>
          <w:szCs w:val="18"/>
          <w:color w:val="auto"/>
        </w:rPr>
        <w:t>” means each award of phantom stock units with respect to Comcast Class A Common Stock granted under the Comcast Equity Plans.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2" w:name="page13"/>
    <w:bookmarkEnd w:id="12"/>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Comcast Plan</w:t>
      </w:r>
      <w:r>
        <w:rPr>
          <w:rFonts w:ascii="Times New Roman" w:cs="Times New Roman" w:eastAsia="Times New Roman" w:hAnsi="Times New Roman"/>
          <w:sz w:val="18"/>
          <w:szCs w:val="18"/>
          <w:color w:val="auto"/>
        </w:rPr>
        <w:t>” means any Employee Plan (other than a SpinCo Plan) sponsored, maintained, administered, contributed to (or required to be contributed to) or entered into by any member of the Comcast Group. For the avoidance of doubt, no SpinCo Plan is a Comcast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RSU</w:t>
      </w:r>
      <w:r>
        <w:rPr>
          <w:rFonts w:ascii="Times New Roman" w:cs="Times New Roman" w:eastAsia="Times New Roman" w:hAnsi="Times New Roman"/>
          <w:sz w:val="18"/>
          <w:szCs w:val="18"/>
          <w:color w:val="auto"/>
        </w:rPr>
        <w:t>” means each award of restricted stock units with respect to Comcast Class A Common Stock granted under the Comcast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Select Deferral Plans</w:t>
      </w:r>
      <w:r>
        <w:rPr>
          <w:rFonts w:ascii="Times New Roman" w:cs="Times New Roman" w:eastAsia="Times New Roman" w:hAnsi="Times New Roman"/>
          <w:sz w:val="18"/>
          <w:szCs w:val="18"/>
          <w:color w:val="auto"/>
        </w:rPr>
        <w:t>” means the Comcast Select Deferred Compensation Plan, as amended and restated effective January 1, 2021, and the Comcast Select Deferred Compensation Plan, as amended and restated effective January 1, 2023, in each case as may be amended from time to time.</w:t>
      </w:r>
    </w:p>
    <w:p>
      <w:pPr>
        <w:spacing w:after="0" w:line="171"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Share Value</w:t>
      </w:r>
      <w:r>
        <w:rPr>
          <w:rFonts w:ascii="Times New Roman" w:cs="Times New Roman" w:eastAsia="Times New Roman" w:hAnsi="Times New Roman"/>
          <w:sz w:val="18"/>
          <w:szCs w:val="18"/>
          <w:color w:val="auto"/>
        </w:rPr>
        <w:t>” means the Overall VWAP of Comcast Class A Common Stock, trading regular way, over the first five consecutive trading days immediately following the Distribution Date.</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Specified Rights</w:t>
      </w:r>
      <w:r>
        <w:rPr>
          <w:rFonts w:ascii="Times New Roman" w:cs="Times New Roman" w:eastAsia="Times New Roman" w:hAnsi="Times New Roman"/>
          <w:sz w:val="18"/>
          <w:szCs w:val="18"/>
          <w:color w:val="auto"/>
        </w:rPr>
        <w:t>” means any and all rights to enjoy, benefit from or enforce any and all restrictive covenants, including covenants relating to non-disclosure, non-solicitation, non-competition, confidentiality or Intellectual Property Rights pursuant to any Employee Plan covering or with any SpinCo Employee or Comcast Employee and to which any member of the SpinCo Group or Comcast Group is a party (other than SpinCo Specified Rights).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Comcast Service Provider</w:t>
      </w:r>
      <w:r>
        <w:rPr>
          <w:rFonts w:ascii="Times New Roman" w:cs="Times New Roman" w:eastAsia="Times New Roman" w:hAnsi="Times New Roman"/>
          <w:sz w:val="18"/>
          <w:szCs w:val="18"/>
          <w:color w:val="auto"/>
        </w:rPr>
        <w:t>” means any Comcast Employee or Comcast Director.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SpinCo Service Provider</w:t>
      </w:r>
      <w:r>
        <w:rPr>
          <w:rFonts w:ascii="Times New Roman" w:cs="Times New Roman" w:eastAsia="Times New Roman" w:hAnsi="Times New Roman"/>
          <w:sz w:val="18"/>
          <w:szCs w:val="18"/>
          <w:color w:val="auto"/>
        </w:rPr>
        <w:t>” means any SpinCo Employee or SpinCo Director.</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Trading Value</w:t>
      </w:r>
      <w:r>
        <w:rPr>
          <w:rFonts w:ascii="Times New Roman" w:cs="Times New Roman" w:eastAsia="Times New Roman" w:hAnsi="Times New Roman"/>
          <w:sz w:val="18"/>
          <w:szCs w:val="18"/>
          <w:color w:val="auto"/>
        </w:rPr>
        <w:t>” means, with respect to any applicable equity security, the product of (i) the Daily VWAP of such equity security on an applicable trading day and (ii) the Daily Trading Volume of such equity security on such trading day.</w:t>
      </w:r>
    </w:p>
    <w:p>
      <w:pPr>
        <w:spacing w:after="0" w:line="155"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Trading Volume</w:t>
      </w:r>
      <w:r>
        <w:rPr>
          <w:rFonts w:ascii="Times New Roman" w:cs="Times New Roman" w:eastAsia="Times New Roman" w:hAnsi="Times New Roman"/>
          <w:sz w:val="18"/>
          <w:szCs w:val="18"/>
          <w:color w:val="auto"/>
        </w:rPr>
        <w:t>” means, with respect to any applicable equity security, the total daily trading volume of such equity security for any applicable trading date (including “odd lots”), as published by Bloomberg L.P. on the price and volume dashboard and using the U.S. consolidated ticker, without regard to pre-open or after-hours trading outside any regular trading sessions for such trading day.</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with respect to any applicable equity security, the daily volume-weighted average trading price of such equity security on an applicable trading date (including “odd lots”), as published by Bloomberg L.P. on the price and volume dashboard and using the U.S. consolidated ticker, without regard to pre-open or after-hours trading outside any regular trading sessions for such trading day.</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Processing Agreement</w:t>
      </w:r>
      <w:r>
        <w:rPr>
          <w:rFonts w:ascii="Times New Roman" w:cs="Times New Roman" w:eastAsia="Times New Roman" w:hAnsi="Times New Roman"/>
          <w:sz w:val="18"/>
          <w:szCs w:val="18"/>
          <w:color w:val="auto"/>
        </w:rPr>
        <w:t>” means the Data Processing Agreement dated as of [      ], 2026, by and between Comcast, NBCUniversal Media, LLC and Comcast Cable Communications, LLC, on the one hand, and SpinCo and Versant Media, LLC, on the other hand, as may be amended from time to time in accordance with its terms, together with all appendices thereto.</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66" w:right="559" w:bottom="1440" w:gutter="0" w:footer="0" w:header="0"/>
        </w:sectPr>
      </w:pPr>
    </w:p>
    <w:bookmarkStart w:id="13" w:name="page14"/>
    <w:bookmarkEnd w:id="13"/>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Delayed Transfer Date</w:t>
      </w:r>
      <w:r>
        <w:rPr>
          <w:rFonts w:ascii="Times New Roman" w:cs="Times New Roman" w:eastAsia="Times New Roman" w:hAnsi="Times New Roman"/>
          <w:sz w:val="18"/>
          <w:szCs w:val="18"/>
          <w:color w:val="auto"/>
        </w:rPr>
        <w:t>” means, with respect to any Delayed Transfer SpinCo Employee, the applicable date he or she commences employment with a member of the SpinCo Group following the Distribution Date.</w:t>
      </w:r>
    </w:p>
    <w:p>
      <w:pPr>
        <w:spacing w:after="0" w:line="15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Delayed Transfer SpinCo Employee</w:t>
      </w:r>
      <w:r>
        <w:rPr>
          <w:rFonts w:ascii="Times New Roman" w:cs="Times New Roman" w:eastAsia="Times New Roman" w:hAnsi="Times New Roman"/>
          <w:sz w:val="18"/>
          <w:szCs w:val="18"/>
          <w:color w:val="auto"/>
        </w:rPr>
        <w:t>” means each (i) Sponsored SpinCo Employee whose employment terminates from a member of the Comcast Group and who transfers to, and commences employment with, a member of the SpinCo Group following the Distribution Date in accordance with the terms of this Agreement and (ii) other individual who, upon mutual agreement of the Parties, terminates from a member of the Comcast Group and who transfers to, and commences employment with, a member of the SpinCo Group following the Distribution Date (whether in connection with any other Ancillary Agreement or otherwise). For the avoidance of doubt, no SpinCo NLR Employee or New SpinCo Employee shall constitute a Delayed Transfer SpinCo Employee.</w:t>
      </w:r>
    </w:p>
    <w:p>
      <w:pPr>
        <w:spacing w:after="0" w:line="182"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Ratio</w:t>
      </w:r>
      <w:r>
        <w:rPr>
          <w:rFonts w:ascii="Times New Roman" w:cs="Times New Roman" w:eastAsia="Times New Roman" w:hAnsi="Times New Roman"/>
          <w:sz w:val="18"/>
          <w:szCs w:val="18"/>
          <w:color w:val="auto"/>
        </w:rPr>
        <w:t>” means the number of shares of SpinCo Class A Common Stock distributed in the Distribution for each share of Comcast Class A Common Stock issued and outstanding on the Record Date.</w:t>
      </w:r>
    </w:p>
    <w:p>
      <w:pPr>
        <w:spacing w:after="0" w:line="155" w:lineRule="exact"/>
        <w:rPr>
          <w:sz w:val="20"/>
          <w:szCs w:val="20"/>
          <w:color w:val="auto"/>
        </w:rPr>
      </w:pPr>
    </w:p>
    <w:p>
      <w:pPr>
        <w:ind w:left="4" w:right="4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 Plan</w:t>
      </w:r>
      <w:r>
        <w:rPr>
          <w:rFonts w:ascii="Times New Roman" w:cs="Times New Roman" w:eastAsia="Times New Roman" w:hAnsi="Times New Roman"/>
          <w:sz w:val="17"/>
          <w:szCs w:val="17"/>
          <w:color w:val="auto"/>
        </w:rPr>
        <w:t>” means any (i) “employee benefit plan” as defined in Section 3(3) of ERISA, (ii) compensation, employment, consulting, severance, termination protection, change in control, transaction bonus, retention or similar plan, agreement, arrangement, program or policy or</w:t>
      </w:r>
    </w:p>
    <w:p>
      <w:pPr>
        <w:spacing w:after="0" w:line="1" w:lineRule="exact"/>
        <w:rPr>
          <w:sz w:val="20"/>
          <w:szCs w:val="20"/>
          <w:color w:val="auto"/>
        </w:rPr>
      </w:pPr>
    </w:p>
    <w:p>
      <w:pPr>
        <w:ind w:left="4" w:hanging="4"/>
        <w:spacing w:after="0" w:line="253"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plan, agreement, arrangement, program or policy providing for compensation, deferred compensation, bonuses, profit-sharing, equity or equity-based compensation or other forms of incentive compensation, vacation benefits, insurance (including any self-insured arrangement), medical, dental, vision, prescription or fringe benefits, life insurance, relocation or expatriate benefits, perquisites, disability or sick leave benefits, employee assistance program, supplemental unemployment benefits or post-employment or retirement benefits (including compensation, pension, health, medical or insurance benefits), in each case whether or not written.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Comcast Employee</w:t>
      </w:r>
      <w:r>
        <w:rPr>
          <w:rFonts w:ascii="Times New Roman" w:cs="Times New Roman" w:eastAsia="Times New Roman" w:hAnsi="Times New Roman"/>
          <w:sz w:val="18"/>
          <w:szCs w:val="18"/>
          <w:color w:val="auto"/>
        </w:rPr>
        <w:t>” means each individual who, as of the Distribution Date, is a former employee of any member of the Comcast Group (other than any SpinCo Employee). For the avoidance of doubt, no Delayed Transfer SpinCo Employee or SpinCo NLR Employee shall constitute a Former Comcast Employee.</w:t>
      </w:r>
    </w:p>
    <w:p>
      <w:pPr>
        <w:spacing w:after="0" w:line="171" w:lineRule="exact"/>
        <w:rPr>
          <w:sz w:val="20"/>
          <w:szCs w:val="20"/>
          <w:color w:val="auto"/>
        </w:rPr>
      </w:pPr>
    </w:p>
    <w:p>
      <w:pPr>
        <w:ind w:left="4"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Former SpinCo Employee</w:t>
      </w:r>
      <w:r>
        <w:rPr>
          <w:rFonts w:ascii="Times New Roman" w:cs="Times New Roman" w:eastAsia="Times New Roman" w:hAnsi="Times New Roman"/>
          <w:sz w:val="17"/>
          <w:szCs w:val="17"/>
          <w:color w:val="auto"/>
        </w:rPr>
        <w:t>” means each (i) individual who, as of the Distribution Date, is a former employee who was last actively employed primarily with respect to the SpinCo Business by any member of the Comcast Group or the SpinCo Group and (ii) SpinCo NLR Employee.</w:t>
      </w:r>
    </w:p>
    <w:p>
      <w:pPr>
        <w:spacing w:after="0" w:line="13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Retirement Account</w:t>
      </w:r>
      <w:r>
        <w:rPr>
          <w:rFonts w:ascii="Times New Roman" w:cs="Times New Roman" w:eastAsia="Times New Roman" w:hAnsi="Times New Roman"/>
          <w:sz w:val="18"/>
          <w:szCs w:val="18"/>
          <w:color w:val="auto"/>
        </w:rPr>
        <w:t>” has the meaning set forth in Section 408 of the Code.</w:t>
      </w:r>
    </w:p>
    <w:p>
      <w:pPr>
        <w:spacing w:after="0" w:line="225" w:lineRule="exact"/>
        <w:rPr>
          <w:sz w:val="20"/>
          <w:szCs w:val="20"/>
          <w:color w:val="auto"/>
        </w:rPr>
      </w:pPr>
    </w:p>
    <w:p>
      <w:pPr>
        <w:jc w:val="center"/>
        <w:ind w:right="256"/>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SpinCo Employee</w:t>
      </w:r>
      <w:r>
        <w:rPr>
          <w:rFonts w:ascii="Times New Roman" w:cs="Times New Roman" w:eastAsia="Times New Roman" w:hAnsi="Times New Roman"/>
          <w:sz w:val="18"/>
          <w:szCs w:val="18"/>
          <w:color w:val="auto"/>
        </w:rPr>
        <w:t>” means each employee externally hired by any member of the SpinCo Group following the Distribution Date. 5</w:t>
      </w:r>
    </w:p>
    <w:p>
      <w:pPr>
        <w:sectPr>
          <w:pgSz w:w="11900" w:h="16838" w:orient="portrait"/>
          <w:cols w:equalWidth="0" w:num="1">
            <w:col w:w="10924"/>
          </w:cols>
          <w:pgMar w:left="436" w:top="266" w:right="539" w:bottom="1440" w:gutter="0" w:footer="0" w:header="0"/>
        </w:sectPr>
      </w:pPr>
    </w:p>
    <w:bookmarkStart w:id="14" w:name="page15"/>
    <w:bookmarkEnd w:id="14"/>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Non-U.S. Comcast Defined Contribution Plan</w:t>
      </w:r>
      <w:r>
        <w:rPr>
          <w:rFonts w:ascii="Times New Roman" w:cs="Times New Roman" w:eastAsia="Times New Roman" w:hAnsi="Times New Roman"/>
          <w:sz w:val="18"/>
          <w:szCs w:val="18"/>
          <w:color w:val="auto"/>
        </w:rPr>
        <w:t>” means any Employee Plan that is a defined contribution plan that provides benefits on retirement and such other benefits as are provided for under the plan to Non-U.S. Comcast Participants whether (i) exclusively or together with other participants and (ii) such plan is sponsored or maintained by a member of the Comcast Group, by a member of the SpinCo Group or by any other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Comcast Participant</w:t>
      </w:r>
      <w:r>
        <w:rPr>
          <w:rFonts w:ascii="Times New Roman" w:cs="Times New Roman" w:eastAsia="Times New Roman" w:hAnsi="Times New Roman"/>
          <w:sz w:val="18"/>
          <w:szCs w:val="18"/>
          <w:color w:val="auto"/>
        </w:rPr>
        <w:t>” means any Comcast Participant who is not a U.S. Comcast Participant.</w:t>
      </w:r>
    </w:p>
    <w:p>
      <w:pPr>
        <w:spacing w:after="0" w:line="225"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SpinCo Defined Contribution Plan</w:t>
      </w:r>
      <w:r>
        <w:rPr>
          <w:rFonts w:ascii="Times New Roman" w:cs="Times New Roman" w:eastAsia="Times New Roman" w:hAnsi="Times New Roman"/>
          <w:sz w:val="18"/>
          <w:szCs w:val="18"/>
          <w:color w:val="auto"/>
        </w:rPr>
        <w:t>” means any Employee Plan that is a defined contribution plan that provides benefits on retirement and such other benefits as are provided for under the plan to Non-U.S. SpinCo Participants, whether (i) exclusively or together with other participants and (ii) such plan is sponsored or maintained by a member of the SpinCo Group, by a member of the Comcast Group or by any other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SpinCo Participant</w:t>
      </w:r>
      <w:r>
        <w:rPr>
          <w:rFonts w:ascii="Times New Roman" w:cs="Times New Roman" w:eastAsia="Times New Roman" w:hAnsi="Times New Roman"/>
          <w:sz w:val="18"/>
          <w:szCs w:val="18"/>
          <w:color w:val="auto"/>
        </w:rPr>
        <w:t>” means any SpinCo Participant who is not a U.S. SpinCo Participant.</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Overall VWAP</w:t>
      </w:r>
      <w:r>
        <w:rPr>
          <w:rFonts w:ascii="Times New Roman" w:cs="Times New Roman" w:eastAsia="Times New Roman" w:hAnsi="Times New Roman"/>
          <w:sz w:val="18"/>
          <w:szCs w:val="18"/>
          <w:color w:val="auto"/>
        </w:rPr>
        <w:t>” means, with respect to any specified trading period, the quotient obtained by dividing (i) the Total Trading Value of the applicable equity security for such trading period by (ii) the Total Trading Volume of such equity security for such trading period.</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means the period beginning on the Distribution Date and ending on the first anniversary of the Distribution Date (or, with respect to any applicable TSA Employee, if later, the date of the expiration or termination of the applicable Service (as defined in the Transition Services Agreement) in which such TSA Employee is engaged).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all regulations and guidance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has the meaning given to it in the Transition Services Agreement.</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401(k) Plan</w:t>
      </w:r>
      <w:r>
        <w:rPr>
          <w:rFonts w:ascii="Times New Roman" w:cs="Times New Roman" w:eastAsia="Times New Roman" w:hAnsi="Times New Roman"/>
          <w:sz w:val="18"/>
          <w:szCs w:val="18"/>
          <w:color w:val="auto"/>
        </w:rPr>
        <w:t>” means any SpinCo Plan that is a defined contribution plan intended to qualify under Section 401(a) of the Code and any related trust intended to be exempt under Section 501(a) of the Code, as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Adjusted Share Value</w:t>
      </w:r>
      <w:r>
        <w:rPr>
          <w:rFonts w:ascii="Times New Roman" w:cs="Times New Roman" w:eastAsia="Times New Roman" w:hAnsi="Times New Roman"/>
          <w:sz w:val="18"/>
          <w:szCs w:val="18"/>
          <w:color w:val="auto"/>
        </w:rPr>
        <w:t>” means the product obtained by multiplying (i) the SpinCo Share Value by (ii) the Distribution Ratio.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Awards</w:t>
      </w:r>
      <w:r>
        <w:rPr>
          <w:rFonts w:ascii="Times New Roman" w:cs="Times New Roman" w:eastAsia="Times New Roman" w:hAnsi="Times New Roman"/>
          <w:sz w:val="18"/>
          <w:szCs w:val="18"/>
          <w:color w:val="auto"/>
        </w:rPr>
        <w:t>” means, collectively, the SpinCo RSUs and the SpinCo Phantom Stock Units.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Board</w:t>
      </w:r>
      <w:r>
        <w:rPr>
          <w:rFonts w:ascii="Times New Roman" w:cs="Times New Roman" w:eastAsia="Times New Roman" w:hAnsi="Times New Roman"/>
          <w:sz w:val="18"/>
          <w:szCs w:val="18"/>
          <w:color w:val="auto"/>
        </w:rPr>
        <w:t>” means the Board of Directors of SpinCo following the Distribution.</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CBA</w:t>
      </w:r>
      <w:r>
        <w:rPr>
          <w:rFonts w:ascii="Times New Roman" w:cs="Times New Roman" w:eastAsia="Times New Roman" w:hAnsi="Times New Roman"/>
          <w:sz w:val="18"/>
          <w:szCs w:val="18"/>
          <w:color w:val="auto"/>
        </w:rPr>
        <w:t xml:space="preserve">” means any Collective Bargaining Agreement (or applicable portion thereof) covering SpinCo Employees, as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or as otherwise adopted in accordance with Section 3.04(c).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SpinCo Class A Common Stock</w:t>
      </w:r>
      <w:r>
        <w:rPr>
          <w:rFonts w:ascii="Times New Roman" w:cs="Times New Roman" w:eastAsia="Times New Roman" w:hAnsi="Times New Roman"/>
          <w:sz w:val="18"/>
          <w:szCs w:val="18"/>
          <w:color w:val="auto"/>
        </w:rPr>
        <w:t>” means the Class A common stock, par value $0.01 per share, of SpinCo.</w:t>
      </w:r>
    </w:p>
    <w:p>
      <w:pPr>
        <w:spacing w:after="0" w:line="22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Concentration Ratio</w:t>
      </w:r>
      <w:r>
        <w:rPr>
          <w:rFonts w:ascii="Times New Roman" w:cs="Times New Roman" w:eastAsia="Times New Roman" w:hAnsi="Times New Roman"/>
          <w:sz w:val="18"/>
          <w:szCs w:val="18"/>
          <w:color w:val="auto"/>
        </w:rPr>
        <w:t>” means the quotient obtained by dividing (i) the sum of (A) the SpinCo Adjusted Share Value and (B) the Comcast Share Value by (ii) the SpinCo Share Value.</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Deferred Compensation Plan</w:t>
      </w:r>
      <w:r>
        <w:rPr>
          <w:rFonts w:ascii="Times New Roman" w:cs="Times New Roman" w:eastAsia="Times New Roman" w:hAnsi="Times New Roman"/>
          <w:sz w:val="18"/>
          <w:szCs w:val="18"/>
          <w:color w:val="auto"/>
        </w:rPr>
        <w:t>” means any SpinCo Plan or portion thereof that is a “nonqualified deferred compensation plan” within the meaning of Section 409A, as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Director</w:t>
      </w:r>
      <w:r>
        <w:rPr>
          <w:rFonts w:ascii="Times New Roman" w:cs="Times New Roman" w:eastAsia="Times New Roman" w:hAnsi="Times New Roman"/>
          <w:sz w:val="18"/>
          <w:szCs w:val="18"/>
          <w:color w:val="auto"/>
        </w:rPr>
        <w:t>” means a member of the SpinCo Board.</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Employee</w:t>
      </w:r>
      <w:r>
        <w:rPr>
          <w:rFonts w:ascii="Times New Roman" w:cs="Times New Roman" w:eastAsia="Times New Roman" w:hAnsi="Times New Roman"/>
          <w:sz w:val="18"/>
          <w:szCs w:val="18"/>
          <w:color w:val="auto"/>
        </w:rPr>
        <w:t>” means (i) as of the Distribution Date, each individual who is (A) actively employed primarily with respect to the SpinCo Business by any member of the Comcast Group or the SpinCo Group, (B) a SpinCo Inactive Employee or (C) a Former SpinCo Employee and (ii) as of the applicable Delayed Transfer Date, each individual who is a Delayed Transfer SpinCo Employee.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H&amp;W Plan</w:t>
      </w:r>
      <w:r>
        <w:rPr>
          <w:rFonts w:ascii="Times New Roman" w:cs="Times New Roman" w:eastAsia="Times New Roman" w:hAnsi="Times New Roman"/>
          <w:sz w:val="18"/>
          <w:szCs w:val="18"/>
          <w:color w:val="auto"/>
        </w:rPr>
        <w:t>” means any SpinCo Plan that is (i) an “employee welfare benefit plan” or “welfare plan” (as defined under Section 3(1) of ERISA) or (ii) a similar plan that is sponsored, maintained, administered, contributed to or entered into outside of the United States, as may be amended from time to time.</w:t>
      </w:r>
    </w:p>
    <w:p>
      <w:pPr>
        <w:spacing w:after="0" w:line="171"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Inactive Employee</w:t>
      </w:r>
      <w:r>
        <w:rPr>
          <w:rFonts w:ascii="Times New Roman" w:cs="Times New Roman" w:eastAsia="Times New Roman" w:hAnsi="Times New Roman"/>
          <w:sz w:val="18"/>
          <w:szCs w:val="18"/>
          <w:color w:val="auto"/>
        </w:rPr>
        <w:t>” means each individual who, as of the Distribution Date, (i) is employed primarily with respect to the SpinCo Business by any member of the Comcast Group or the SpinCo Group and (ii) is on a leave of absence protected under the Family Medical Leave Act, the Uniformed Services Employment and Reemployment Rights Act and/or receiving long- or short-term disability benefits under a Comcast H&amp;W Plan.</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Other Service Provider</w:t>
      </w:r>
      <w:r>
        <w:rPr>
          <w:rFonts w:ascii="Times New Roman" w:cs="Times New Roman" w:eastAsia="Times New Roman" w:hAnsi="Times New Roman"/>
          <w:sz w:val="18"/>
          <w:szCs w:val="18"/>
          <w:color w:val="auto"/>
        </w:rPr>
        <w:t>” means, solely for purposes of Article 8 hereof, each independent contractor, consultant or other service provider of the Comcast Group or SpinCo Group who, as of immediately prior to the Distribution Date, (i) is primarily engaged to provide services with respect to the SpinCo Business and (ii) directly or indirectly holds any Comcast Awards.</w:t>
      </w:r>
    </w:p>
    <w:p>
      <w:pPr>
        <w:spacing w:after="0" w:line="171"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NLR Employee</w:t>
      </w:r>
      <w:r>
        <w:rPr>
          <w:rFonts w:ascii="Times New Roman" w:cs="Times New Roman" w:eastAsia="Times New Roman" w:hAnsi="Times New Roman"/>
          <w:sz w:val="18"/>
          <w:szCs w:val="18"/>
          <w:color w:val="auto"/>
        </w:rPr>
        <w:t>” means each individual who, as of the Distribution Date, was last actively employed primarily with respect to the SpinCo Business by any member of the Comcast Group or the SpinCo Group and whose employment has not been terminated but is on “no longer required” status, “garden leave” or any similar arrangement as of immediately prior to the Distribution Date.</w:t>
      </w:r>
    </w:p>
    <w:p>
      <w:pPr>
        <w:spacing w:after="0" w:line="171"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Participant</w:t>
      </w:r>
      <w:r>
        <w:rPr>
          <w:rFonts w:ascii="Times New Roman" w:cs="Times New Roman" w:eastAsia="Times New Roman" w:hAnsi="Times New Roman"/>
          <w:sz w:val="18"/>
          <w:szCs w:val="18"/>
          <w:color w:val="auto"/>
        </w:rPr>
        <w:t xml:space="preserve">” means any individual who is a SpinCo Employee and any beneficiary, dependent or alternate payee of such individual, as the context requires;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Article 8 hereof, SpinCo Participant shall also be deemed to include a SpinCo Other Service Provider and any beneficiary, dependent or alternate payee thereof.</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16" w:name="page17"/>
    <w:bookmarkEnd w:id="16"/>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SpinCo Plan</w:t>
      </w:r>
      <w:r>
        <w:rPr>
          <w:rFonts w:ascii="Times New Roman" w:cs="Times New Roman" w:eastAsia="Times New Roman" w:hAnsi="Times New Roman"/>
          <w:sz w:val="18"/>
          <w:szCs w:val="18"/>
          <w:color w:val="auto"/>
        </w:rPr>
        <w:t>” means any Employee Plan (i) that is or was sponsored, maintained, administered, contributed to (or required to be contributed to) or entered into by any member of the SpinCo Group, whether before, as of or after the Distribution Date or (ii) for which Liabilities transfer to any member of the SpinCo Group under this Agreement or pursuant to Applicable Law as a result of the Contribution, the Distribution or any other transactions contemplated by this Agreement, the Separation Agreement or any other Ancillary Agreement, in each case as may be amended from time to time.</w:t>
      </w:r>
    </w:p>
    <w:p>
      <w:pPr>
        <w:spacing w:after="0" w:line="179"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Share Value</w:t>
      </w:r>
      <w:r>
        <w:rPr>
          <w:rFonts w:ascii="Times New Roman" w:cs="Times New Roman" w:eastAsia="Times New Roman" w:hAnsi="Times New Roman"/>
          <w:sz w:val="18"/>
          <w:szCs w:val="18"/>
          <w:color w:val="auto"/>
        </w:rPr>
        <w:t>” means the Overall VWAP of SpinCo Class A Common Stock, trading regular way, over the first five consecutive trading days immediately following the Distribution Date.</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Specified Rights</w:t>
      </w:r>
      <w:r>
        <w:rPr>
          <w:rFonts w:ascii="Times New Roman" w:cs="Times New Roman" w:eastAsia="Times New Roman" w:hAnsi="Times New Roman"/>
          <w:sz w:val="18"/>
          <w:szCs w:val="18"/>
          <w:color w:val="auto"/>
        </w:rPr>
        <w:t xml:space="preserve">” means any and all rights to enjoy, benefit from or enforce any and all restrictive covenants, including covenants relating to non-disclosure, non-solicitation, non-competition, confidentiality or Intellectual Property Rights, applicable or related, in whole or in part, to the SpinCo Business pursuant to any Employee Plan covering or with any SpinCo Employee and to which any member of the SpinCo Group or Comcast Group is a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Intellectual Property Rights existing, conceived, created, developed or reduced to practice prior to the Distribution Date, the foregoing rights to enjoy, benefit from or enforce any restrictive covenants related to Intellectual Property Rights is limited to those restrictive covenants related to Intellectual Property Rights included in the SpinCo Assets.</w:t>
      </w:r>
    </w:p>
    <w:p>
      <w:pPr>
        <w:spacing w:after="0" w:line="182"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Sponsored SpinCo Employee</w:t>
      </w:r>
      <w:r>
        <w:rPr>
          <w:rFonts w:ascii="Times New Roman" w:cs="Times New Roman" w:eastAsia="Times New Roman" w:hAnsi="Times New Roman"/>
          <w:sz w:val="18"/>
          <w:szCs w:val="18"/>
          <w:color w:val="auto"/>
        </w:rPr>
        <w:t>” means each SpinCo Employee working on a visa or work permit sponsored by a member of the Comcast Group as of the Distribution Date.</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Trading Value</w:t>
      </w:r>
      <w:r>
        <w:rPr>
          <w:rFonts w:ascii="Times New Roman" w:cs="Times New Roman" w:eastAsia="Times New Roman" w:hAnsi="Times New Roman"/>
          <w:sz w:val="18"/>
          <w:szCs w:val="18"/>
          <w:color w:val="auto"/>
        </w:rPr>
        <w:t>” means, with respect to any applicable equity security, the sum of the Daily Trading Value for all trading days during a specified trading period.</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Trading Volume</w:t>
      </w:r>
      <w:r>
        <w:rPr>
          <w:rFonts w:ascii="Times New Roman" w:cs="Times New Roman" w:eastAsia="Times New Roman" w:hAnsi="Times New Roman"/>
          <w:sz w:val="18"/>
          <w:szCs w:val="18"/>
          <w:color w:val="auto"/>
        </w:rPr>
        <w:t>” means, with respect to any applicable equity security, the sum of the Daily Trading Volume for all trading days during a specified trading period.</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TSA Employee</w:t>
      </w:r>
      <w:r>
        <w:rPr>
          <w:rFonts w:ascii="Times New Roman" w:cs="Times New Roman" w:eastAsia="Times New Roman" w:hAnsi="Times New Roman"/>
          <w:sz w:val="18"/>
          <w:szCs w:val="18"/>
          <w:color w:val="auto"/>
        </w:rPr>
        <w:t>” means each individual who (i) is employed by any member of the Comcast Group and (ii) provides Services (or any portion thereof) to any member of the SpinCo Group pursuant to the Transition Services Agreement.</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Comcast Participant</w:t>
      </w:r>
      <w:r>
        <w:rPr>
          <w:rFonts w:ascii="Times New Roman" w:cs="Times New Roman" w:eastAsia="Times New Roman" w:hAnsi="Times New Roman"/>
          <w:sz w:val="18"/>
          <w:szCs w:val="18"/>
          <w:color w:val="auto"/>
        </w:rPr>
        <w:t>” means any Comcast Participant who is employed (or, in the case of former employees, was last actively employed) in the United States (which, for the avoidance of doubt, shall not include Puerto Rico for these purposes).</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SpinCo Participant</w:t>
      </w:r>
      <w:r>
        <w:rPr>
          <w:rFonts w:ascii="Times New Roman" w:cs="Times New Roman" w:eastAsia="Times New Roman" w:hAnsi="Times New Roman"/>
          <w:sz w:val="18"/>
          <w:szCs w:val="18"/>
          <w:color w:val="auto"/>
        </w:rPr>
        <w:t>” means any SpinCo Participant who is employed (or, in the case of former employees, was last actively employed) in the United States (which, for the avoidance of doubt, shall not include Puerto Rico for these purposes).</w:t>
      </w:r>
    </w:p>
    <w:p>
      <w:pPr>
        <w:spacing w:after="0" w:line="159" w:lineRule="exact"/>
        <w:rPr>
          <w:sz w:val="20"/>
          <w:szCs w:val="20"/>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but not defined herein shall have the meanings ascribed to such terms in the Separation Agreement.</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terms is defined in the Section set forth opposite such term: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700" w:type="dxa"/>
            <w:vAlign w:val="bottom"/>
            <w:gridSpan w:val="3"/>
          </w:tcPr>
          <w:p>
            <w:pPr>
              <w:ind w:left="220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2025</w:t>
            </w:r>
          </w:p>
        </w:tc>
        <w:tc>
          <w:tcPr>
            <w:tcW w:w="32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Cash Bonuses</w:t>
            </w:r>
          </w:p>
        </w:tc>
        <w:tc>
          <w:tcPr>
            <w:tcW w:w="220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5"/>
              </w:rPr>
              <w:t>7.01(a)</w:t>
            </w:r>
          </w:p>
        </w:tc>
        <w:tc>
          <w:tcPr>
            <w:tcW w:w="40" w:type="dxa"/>
            <w:vAlign w:val="bottom"/>
          </w:tcPr>
          <w:p>
            <w:pPr>
              <w:spacing w:after="0"/>
              <w:rPr>
                <w:sz w:val="16"/>
                <w:szCs w:val="16"/>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270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w w:val="93"/>
              </w:rPr>
              <w:t>7.02(a)</w:t>
            </w:r>
          </w:p>
        </w:tc>
      </w:tr>
      <w:tr>
        <w:trPr>
          <w:trHeight w:val="365"/>
        </w:trPr>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220" w:type="dxa"/>
            <w:vAlign w:val="bottom"/>
          </w:tcPr>
          <w:p>
            <w:pPr>
              <w:spacing w:after="0"/>
              <w:rPr>
                <w:sz w:val="15"/>
                <w:szCs w:val="15"/>
                <w:color w:val="auto"/>
              </w:rPr>
            </w:pP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Adjusted Comcast Awards</w:t>
            </w:r>
          </w:p>
        </w:tc>
        <w:tc>
          <w:tcPr>
            <w:tcW w:w="1180" w:type="dxa"/>
            <w:vAlign w:val="bottom"/>
            <w:vMerge w:val="continue"/>
          </w:tcPr>
          <w:p>
            <w:pPr>
              <w:spacing w:after="0"/>
              <w:rPr>
                <w:sz w:val="16"/>
                <w:szCs w:val="16"/>
                <w:color w:val="auto"/>
              </w:rPr>
            </w:pPr>
          </w:p>
        </w:tc>
        <w:tc>
          <w:tcPr>
            <w:tcW w:w="1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8.03(a)(ii)(B)</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Comcast Option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8.02(a)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Comcast Phantom Stock Units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8.03(a)(ii)(B)</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Comcast RSUs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8.01(a)(ii)(B)</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Board</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Canada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5.02(a)(i)(A)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Change in Control</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8.04(c)(i)</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Commuter Benefit Plans</w:t>
            </w: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6.04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Germany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5.02(a)(i)(B)</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Hong Kong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5.02(a)(i)(D)</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Ireland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5.02(a)(i)(C)</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Life Plan</w:t>
            </w: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5.06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Netherlands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5.02(a)(i)(E)</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Phantom Stock Unit Adjustment Formula</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8.03(a)(ii)(B)(2)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Retained Employee Liabilities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2.01(a)(ii)</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Retention Bonuses</w:t>
            </w: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7.03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RRA</w:t>
            </w: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5.04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RSU Adjustment Formula</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8.01(a)(ii)(B)(2)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SAYE</w:t>
            </w: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6.07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UK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5.02(a)(i)(F)</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RSUs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7"/>
              </w:rPr>
              <w:t>8.01(a)(iii)(C)(2)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 Pension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5.03(b)</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Leadership Life Plan</w:t>
            </w: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5.05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Legacy Payroll Corrections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9.02(c)</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NBCU SERPs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5.03(a)(i)</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Party/Parties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Records</w:t>
            </w: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9.01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Separation Agreement</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SIC Plans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7.02(a)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Assumed Employee Liabilities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2.01(b)(ii)</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Change in Control</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8.04(c)(ii)</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Employee Garnishment Orders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9.02(d)</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EOR</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3.01(a)(i)</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Equity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8.04(a)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Germany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5.02(a)(iii)(A)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Hong Kong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5.02(a)(iv)(A)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Legacy Mirror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5.08(a)(i)</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Phantom Stock Units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8.03(a)(i)(B)</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RSUs</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8.01(a)(i)(B)</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Select Mirror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5.08(a)(ii)</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UK DC Plan</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5.02(a)(vii)</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Vendor Contract</w:t>
            </w:r>
          </w:p>
        </w:tc>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13.03(i)</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3" w:right="1440"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i w:val="1"/>
          <w:iCs w:val="1"/>
          <w:color w:val="auto"/>
        </w:rPr>
        <w:t>Other Definitional and Interpretive Provisions</w:t>
      </w:r>
      <w:r>
        <w:rPr>
          <w:rFonts w:ascii="Times New Roman" w:cs="Times New Roman" w:eastAsia="Times New Roman" w:hAnsi="Times New Roman"/>
          <w:sz w:val="18"/>
          <w:szCs w:val="18"/>
          <w:color w:val="auto"/>
        </w:rPr>
        <w:t>. In this Agreement, unless the context clearly indicates otherwise:</w:t>
      </w:r>
    </w:p>
    <w:p>
      <w:pPr>
        <w:spacing w:after="0" w:line="119" w:lineRule="exact"/>
        <w:rPr>
          <w:sz w:val="20"/>
          <w:szCs w:val="20"/>
          <w:color w:val="auto"/>
        </w:rPr>
      </w:pPr>
    </w:p>
    <w:p>
      <w:pPr>
        <w:ind w:left="660" w:hanging="24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in the singular include the plural and words used in the plural include the singular;</w:t>
      </w:r>
    </w:p>
    <w:p>
      <w:pPr>
        <w:spacing w:after="0" w:line="225"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include such Person’s successors and assigns but, if applicable, only if such successors and assigns are permitted by this Agreement;</w:t>
      </w:r>
    </w:p>
    <w:p>
      <w:pPr>
        <w:spacing w:after="0" w:line="161"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clearly indicated, reference to any gender includes the other gender;</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shall be deemed to be followed by the words “without limitation”;</w:t>
      </w:r>
    </w:p>
    <w:p>
      <w:pPr>
        <w:spacing w:after="0" w:line="225"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161"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6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“hereunder,” “hereof,” “hereto” and words of similar import shall be deemed references to this Agreement as a whole and not to any particular Section or other provision hereof;</w:t>
      </w:r>
    </w:p>
    <w:p>
      <w:pPr>
        <w:spacing w:after="0" w:line="161" w:lineRule="exact"/>
        <w:rPr>
          <w:rFonts w:ascii="Times New Roman" w:cs="Times New Roman" w:eastAsia="Times New Roman" w:hAnsi="Times New Roman"/>
          <w:sz w:val="18"/>
          <w:szCs w:val="18"/>
          <w:color w:val="auto"/>
        </w:rPr>
      </w:pPr>
    </w:p>
    <w:p>
      <w:pPr>
        <w:ind w:left="-20" w:right="280" w:firstLine="436"/>
        <w:spacing w:after="0" w:line="282"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Contract or other document means such Contract or other document as amended, supplemented and modified from time to time to the extent permitted by the provisions thereof and by this Agreement;</w:t>
      </w:r>
    </w:p>
    <w:p>
      <w:pPr>
        <w:spacing w:after="0" w:line="161" w:lineRule="exact"/>
        <w:rPr>
          <w:rFonts w:ascii="Times New Roman" w:cs="Times New Roman" w:eastAsia="Times New Roman" w:hAnsi="Times New Roman"/>
          <w:sz w:val="18"/>
          <w:szCs w:val="18"/>
          <w:color w:val="auto"/>
        </w:rPr>
      </w:pPr>
    </w:p>
    <w:p>
      <w:pPr>
        <w:ind w:left="-20" w:right="500" w:firstLine="436"/>
        <w:spacing w:after="0" w:line="282"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61" w:lineRule="exact"/>
        <w:rPr>
          <w:rFonts w:ascii="Times New Roman" w:cs="Times New Roman" w:eastAsia="Times New Roman" w:hAnsi="Times New Roman"/>
          <w:sz w:val="18"/>
          <w:szCs w:val="18"/>
          <w:color w:val="auto"/>
        </w:rPr>
      </w:pPr>
    </w:p>
    <w:p>
      <w:pPr>
        <w:ind w:left="-20" w:right="200" w:firstLine="436"/>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 the determination of any period of time, “from” means “from and including,” “to” means “to and including” and “through” means “through and including”;</w:t>
      </w:r>
    </w:p>
    <w:p>
      <w:pPr>
        <w:spacing w:after="0" w:line="161"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specified in this Agreement, all references to dollar amounts herein shall be in respect of lawful currency of the United States;</w:t>
      </w:r>
    </w:p>
    <w:p>
      <w:pPr>
        <w:spacing w:after="0" w:line="236" w:lineRule="exact"/>
        <w:rPr>
          <w:rFonts w:ascii="Times New Roman" w:cs="Times New Roman" w:eastAsia="Times New Roman" w:hAnsi="Times New Roman"/>
          <w:sz w:val="17"/>
          <w:szCs w:val="17"/>
          <w:color w:val="auto"/>
        </w:rPr>
      </w:pPr>
    </w:p>
    <w:p>
      <w:pPr>
        <w:ind w:left="640" w:hanging="22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in an Exhibit or Schedule but not otherwise defined therein shall have the meaning set forth in this Agreement; and</w:t>
      </w:r>
    </w:p>
    <w:p>
      <w:pPr>
        <w:spacing w:after="0" w:line="225" w:lineRule="exact"/>
        <w:rPr>
          <w:rFonts w:ascii="Times New Roman" w:cs="Times New Roman" w:eastAsia="Times New Roman" w:hAnsi="Times New Roman"/>
          <w:sz w:val="18"/>
          <w:szCs w:val="18"/>
          <w:color w:val="auto"/>
        </w:rPr>
      </w:pPr>
    </w:p>
    <w:p>
      <w:pPr>
        <w:ind w:left="720" w:hanging="304"/>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means “and/or” unless the context requires otherwise.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68" w:right="479" w:bottom="1440" w:gutter="0" w:footer="0" w:header="0"/>
        </w:sectPr>
      </w:pPr>
    </w:p>
    <w:bookmarkStart w:id="19" w:name="page20"/>
    <w:bookmarkEnd w:id="19"/>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27" w:lineRule="exact"/>
        <w:rPr>
          <w:sz w:val="20"/>
          <w:szCs w:val="20"/>
          <w:color w:val="auto"/>
        </w:rPr>
      </w:pPr>
    </w:p>
    <w:p>
      <w:pPr>
        <w:ind w:left="3344"/>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LLOCATION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IABILITIES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NDEMNIFICATION</w:t>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Allocation of Employee-Related Liabilities.</w:t>
      </w:r>
    </w:p>
    <w:p>
      <w:pPr>
        <w:spacing w:after="0" w:line="227" w:lineRule="exact"/>
        <w:rPr>
          <w:sz w:val="20"/>
          <w:szCs w:val="20"/>
          <w:color w:val="auto"/>
        </w:rPr>
      </w:pPr>
    </w:p>
    <w:p>
      <w:pPr>
        <w:ind w:left="4" w:right="100" w:firstLine="436"/>
        <w:spacing w:after="0" w:line="254" w:lineRule="auto"/>
        <w:tabs>
          <w:tab w:leader="none" w:pos="68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except as otherwise expressly provided in this Agreement, effective as of no later than the Distribution Date, Comcast shall, or shall cause the applicable member of the Comcast Group to, assume and retain, and no member of the SpinCo Group shall have any further obligation with respect to, any and all Liabilities (i) relating to, arising out of or in respect of any Comcast Participant (including, for the avoidance of doubt, any Former Comcast Employee) or any Comcast Plan, in each case, other than any SpinCo Assumed Employee Liabilities, (A) whether arising before, on or after the Distribution Date, (B) whether based on facts occurring before, on or after the Distribution Date and (C) irrespective of which Person such Liabilities are asserted against or which Person such Liabilities attached to as a matter of Applicable Law or contract or (ii) expressly assumed or retained, as applicable, by any member of the Comcast Group pursuant to this Agreement (collectively, “</w:t>
      </w:r>
      <w:r>
        <w:rPr>
          <w:rFonts w:ascii="Times New Roman" w:cs="Times New Roman" w:eastAsia="Times New Roman" w:hAnsi="Times New Roman"/>
          <w:sz w:val="18"/>
          <w:szCs w:val="18"/>
          <w:b w:val="1"/>
          <w:bCs w:val="1"/>
          <w:color w:val="auto"/>
        </w:rPr>
        <w:t>Comcast Retained Employee Liabilities</w:t>
      </w:r>
      <w:r>
        <w:rPr>
          <w:rFonts w:ascii="Times New Roman" w:cs="Times New Roman" w:eastAsia="Times New Roman" w:hAnsi="Times New Roman"/>
          <w:sz w:val="18"/>
          <w:szCs w:val="18"/>
          <w:color w:val="auto"/>
        </w:rPr>
        <w:t>”). For the avoidance of doubt, all Comcast Retained Employee Liabilities are Comcast Liabilities for purposes of the Separation Agreement.</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except as otherwise expressly provided in this Agreement, effective as of no later than the Distribution Date, SpinCo shall, or shall cause the applicable member of the SpinCo Group to, assume, and no member of the Comcast Group shall have any further obligation with respect to, any and all Liabilities (i) relating to, arising out of or in respect of any SpinCo Participant (including, for the avoidance of doubt, any Former SpinCo Employee) or any SpinCo Plan, in each case, (A) whether arising before, on or after the Distribution Date, (B) whether based on facts occurring before, on or after the Distribution Date and (C) irrespective of which Person such Liabilities are asserted against or which Person such Liabilities attached to as a matter of Applicable Law or contract or (ii) expressly assumed or retained, as applicable, by any member of the SpinCo Group pursuant to this Agreement (collectively, “</w:t>
      </w:r>
      <w:r>
        <w:rPr>
          <w:rFonts w:ascii="Times New Roman" w:cs="Times New Roman" w:eastAsia="Times New Roman" w:hAnsi="Times New Roman"/>
          <w:sz w:val="18"/>
          <w:szCs w:val="18"/>
          <w:b w:val="1"/>
          <w:bCs w:val="1"/>
          <w:color w:val="auto"/>
        </w:rPr>
        <w:t>SpinCo Assumed Employee Liabilities</w:t>
      </w:r>
      <w:r>
        <w:rPr>
          <w:rFonts w:ascii="Times New Roman" w:cs="Times New Roman" w:eastAsia="Times New Roman" w:hAnsi="Times New Roman"/>
          <w:sz w:val="18"/>
          <w:szCs w:val="18"/>
          <w:color w:val="auto"/>
        </w:rPr>
        <w:t>”), including in the case of clause</w:t>
      </w:r>
    </w:p>
    <w:p>
      <w:pPr>
        <w:spacing w:after="0" w:line="2"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98" w:lineRule="exact"/>
        <w:rPr>
          <w:rFonts w:ascii="Times New Roman" w:cs="Times New Roman" w:eastAsia="Times New Roman" w:hAnsi="Times New Roman"/>
          <w:sz w:val="18"/>
          <w:szCs w:val="18"/>
          <w:color w:val="auto"/>
        </w:rPr>
      </w:pPr>
    </w:p>
    <w:p>
      <w:pPr>
        <w:ind w:left="984" w:right="780" w:firstLine="408"/>
        <w:spacing w:after="0" w:line="282" w:lineRule="auto"/>
        <w:tabs>
          <w:tab w:leader="none" w:pos="16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separation or retirement agreements or arrangements, in each case to the extent applicable to any SpinCo Participant;</w:t>
      </w:r>
    </w:p>
    <w:p>
      <w:pPr>
        <w:spacing w:after="0" w:line="53" w:lineRule="exact"/>
        <w:rPr>
          <w:rFonts w:ascii="Times New Roman" w:cs="Times New Roman" w:eastAsia="Times New Roman" w:hAnsi="Times New Roman"/>
          <w:sz w:val="18"/>
          <w:szCs w:val="18"/>
          <w:color w:val="auto"/>
        </w:rPr>
      </w:pPr>
    </w:p>
    <w:p>
      <w:pPr>
        <w:ind w:left="984" w:right="240" w:firstLine="408"/>
        <w:spacing w:after="0" w:line="266" w:lineRule="auto"/>
        <w:tabs>
          <w:tab w:leader="none" w:pos="167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salaries, equity compensation, incentive compensation, commissions, bonuses and other compensation payable to any SpinCo Participants, without regard to when such wages, salaries, incentive compensation, equity compensation, commissions, bonuses and other compensation are or may have been earned;</w:t>
      </w:r>
    </w:p>
    <w:p>
      <w:pPr>
        <w:spacing w:after="0" w:line="67" w:lineRule="exact"/>
        <w:rPr>
          <w:rFonts w:ascii="Times New Roman" w:cs="Times New Roman" w:eastAsia="Times New Roman" w:hAnsi="Times New Roman"/>
          <w:sz w:val="18"/>
          <w:szCs w:val="18"/>
          <w:color w:val="auto"/>
        </w:rPr>
      </w:pPr>
    </w:p>
    <w:p>
      <w:pPr>
        <w:ind w:left="984" w:right="160" w:firstLine="408"/>
        <w:spacing w:after="0" w:line="266" w:lineRule="auto"/>
        <w:tabs>
          <w:tab w:leader="none" w:pos="167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3.07(c), severance, “no longer required” status, “garden leave” or any similar arrangement or similar termination-related pay or benefits applicable to any SpinCo Participant relating to the termination or alleged termination of such SpinCo Participant’s employment or service with the SpinCo Group or Comcast Group;</w:t>
      </w:r>
    </w:p>
    <w:p>
      <w:pPr>
        <w:spacing w:after="0" w:line="67" w:lineRule="exact"/>
        <w:rPr>
          <w:rFonts w:ascii="Times New Roman" w:cs="Times New Roman" w:eastAsia="Times New Roman" w:hAnsi="Times New Roman"/>
          <w:sz w:val="18"/>
          <w:szCs w:val="18"/>
          <w:color w:val="auto"/>
        </w:rPr>
      </w:pPr>
    </w:p>
    <w:p>
      <w:pPr>
        <w:ind w:left="984" w:right="420" w:firstLine="408"/>
        <w:spacing w:after="0" w:line="282" w:lineRule="auto"/>
        <w:tabs>
          <w:tab w:leader="none" w:pos="16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made by or with respect to any SpinCo Participant in connection with any employee benefit plan, program or policy, without regard to when such claim is in respect 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0" w:name="page21"/>
    <w:bookmarkEnd w:id="20"/>
    <w:p>
      <w:pPr>
        <w:ind w:left="1660" w:hanging="272"/>
        <w:spacing w:after="0"/>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workers’ compensation and unemployment compensation benefits for all SpinCo Participants;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transaction bonus, retention and stay bonuses payable to any SpinCo Participants;</w:t>
      </w:r>
    </w:p>
    <w:p>
      <w:pPr>
        <w:spacing w:after="0" w:line="117"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 (including ERISA and the Code) to the extent related to participation by any SpinCo Participant in any Employee Plan;</w:t>
      </w:r>
    </w:p>
    <w:p>
      <w:pPr>
        <w:spacing w:after="0" w:line="53"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6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allegations, demands, assessments, settlements or judgments relating to or involving any SpinCo Participant (including those relating to labor and employment, wages, hours, overtime, employee classification, hostile workplace, civil rights, discrimination, harassment, affirmative action, work authorization, immigration, safety and health, information privacy and security, workers’ compensation, continuation coverage under group health plans, wage payment, hiring practice and the payment and withholding of Taxes);</w:t>
      </w:r>
    </w:p>
    <w:p>
      <w:pPr>
        <w:spacing w:after="0" w:line="75" w:lineRule="exact"/>
        <w:rPr>
          <w:rFonts w:ascii="Times New Roman" w:cs="Times New Roman" w:eastAsia="Times New Roman" w:hAnsi="Times New Roman"/>
          <w:sz w:val="18"/>
          <w:szCs w:val="18"/>
          <w:color w:val="auto"/>
        </w:rPr>
      </w:pPr>
    </w:p>
    <w:p>
      <w:pPr>
        <w:ind w:left="980" w:firstLine="408"/>
        <w:spacing w:after="0" w:line="266" w:lineRule="auto"/>
        <w:tabs>
          <w:tab w:leader="none" w:pos="16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following the Distribution Date (1) in respect of administering or maintaining any SpinCo Plans or payroll or benefits administration for SpinCo Participants and (2) in connection with designing, establishing and adopting any SpinCo Plans or payroll or benefits administration for SpinCo Participants;</w:t>
      </w:r>
    </w:p>
    <w:p>
      <w:pPr>
        <w:spacing w:after="0" w:line="67" w:lineRule="exact"/>
        <w:rPr>
          <w:rFonts w:ascii="Times New Roman" w:cs="Times New Roman" w:eastAsia="Times New Roman" w:hAnsi="Times New Roman"/>
          <w:sz w:val="18"/>
          <w:szCs w:val="18"/>
          <w:color w:val="auto"/>
        </w:rPr>
      </w:pPr>
    </w:p>
    <w:p>
      <w:pPr>
        <w:ind w:left="980" w:right="760" w:firstLine="408"/>
        <w:spacing w:after="0" w:line="282" w:lineRule="auto"/>
        <w:tabs>
          <w:tab w:leader="none" w:pos="16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CBAs, including any grievances or arbitrations asserted thereunder and any unfair labor practice charges or representation cases related to any SpinCo Employees;</w:t>
      </w:r>
    </w:p>
    <w:p>
      <w:pPr>
        <w:spacing w:after="0" w:line="53"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relating to any compensation, benefits, severance or other employment-related costs in respect of SpinCo Inactive Employees following the Distribution Date; and</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portion of any employment, payroll or similar Taxes relating to any of the foregoing or any SpinCo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all SpinCo Assumed Employee Liabilities are SpinCo Liabilities for purposes of the Separation Agreement.</w:t>
      </w:r>
    </w:p>
    <w:p>
      <w:pPr>
        <w:spacing w:after="0" w:line="223"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For the avoidance of doubt, the provisions of Article 5 of the Separation Agreement shall apply to and govern the indemnification rights and obligations of the Parties with respect to the matters addressed by this Agreement.</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No Duplicate Reimbursements</w:t>
      </w:r>
      <w:r>
        <w:rPr>
          <w:rFonts w:ascii="Times New Roman" w:cs="Times New Roman" w:eastAsia="Times New Roman" w:hAnsi="Times New Roman"/>
          <w:sz w:val="18"/>
          <w:szCs w:val="18"/>
          <w:color w:val="auto"/>
        </w:rPr>
        <w:t>. For the avoidance of doubt and notwithstanding anything to the contrary in this Agreement or any other Ancillary Agreement, neither Party shall be required to reimburse the other Party for any amounts under this Agreement if and to the extent that such Party (or an applicable member of its Group) has otherwise previously reimbursed the other Party (or an applicable member of its Group) for such amounts pursuant to the Separation Agreement or any other Ancillary Agreement.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MPLOYEES</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GREEMENTS</w:t>
      </w:r>
      <w:r>
        <w:rPr>
          <w:rFonts w:ascii="Times New Roman" w:cs="Times New Roman" w:eastAsia="Times New Roman" w:hAnsi="Times New Roman"/>
          <w:sz w:val="18"/>
          <w:szCs w:val="18"/>
          <w:color w:val="auto"/>
        </w:rPr>
        <w:t>; TSA E</w:t>
      </w:r>
      <w:r>
        <w:rPr>
          <w:rFonts w:ascii="Times New Roman" w:cs="Times New Roman" w:eastAsia="Times New Roman" w:hAnsi="Times New Roman"/>
          <w:sz w:val="14"/>
          <w:szCs w:val="14"/>
          <w:color w:val="auto"/>
        </w:rPr>
        <w:t>MPLOYEES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Transfers of Employment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right="160" w:firstLine="436"/>
        <w:spacing w:after="0" w:line="255" w:lineRule="auto"/>
        <w:tabs>
          <w:tab w:leader="none" w:pos="6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3.01, effective as of no later than the Distribution Date, (i) the employment of each SpinCo Employee (including for the sake of clarity, each SpinCo Inactive Employee), to the extent employed at such time (other than any SpinCo NLR Employees), will be transferred to or continued by, as applicable, (A) a member of the SpinCo Group or (B) solely with respect to applicable Non-U.S. SpinCo Participants, a third party engaged by a member of the SpinCo Group as an employer of record (each, a “</w:t>
      </w:r>
      <w:r>
        <w:rPr>
          <w:rFonts w:ascii="Times New Roman" w:cs="Times New Roman" w:eastAsia="Times New Roman" w:hAnsi="Times New Roman"/>
          <w:sz w:val="18"/>
          <w:szCs w:val="18"/>
          <w:b w:val="1"/>
          <w:bCs w:val="1"/>
          <w:color w:val="auto"/>
        </w:rPr>
        <w:t>SpinCo EOR</w:t>
      </w:r>
      <w:r>
        <w:rPr>
          <w:rFonts w:ascii="Times New Roman" w:cs="Times New Roman" w:eastAsia="Times New Roman" w:hAnsi="Times New Roman"/>
          <w:sz w:val="18"/>
          <w:szCs w:val="18"/>
          <w:color w:val="auto"/>
        </w:rPr>
        <w:t>”) and (ii) the employment of each Comcast Employee and each SpinCo NLR Employee, to the extent employed at such time, will be transferred to or continued by, as applicable, a member of the Comcast Group. Before the Distribution Date, the Parties shall mutually cooperate in good faith and use their reasonable best efforts to cause all such transfers of employment contemplated by this Section 3.01(a) to occur no later than the Distribution Date.</w:t>
      </w:r>
    </w:p>
    <w:p>
      <w:pPr>
        <w:spacing w:after="0" w:line="188"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each of the Parties hereto agrees to execute, and to use their reasonable best efforts to have the applicable employees execute, any such documentation or consents as may be necessary or desirable to reflect or effectuate any such assignments or transfers contemplated by this Section 3.01.</w:t>
      </w:r>
    </w:p>
    <w:p>
      <w:pPr>
        <w:spacing w:after="0" w:line="175" w:lineRule="exact"/>
        <w:rPr>
          <w:rFonts w:ascii="Times New Roman" w:cs="Times New Roman" w:eastAsia="Times New Roman" w:hAnsi="Times New Roman"/>
          <w:sz w:val="18"/>
          <w:szCs w:val="18"/>
          <w:color w:val="auto"/>
        </w:rPr>
      </w:pPr>
    </w:p>
    <w:p>
      <w:pPr>
        <w:ind w:left="-20" w:firstLine="436"/>
        <w:spacing w:after="0" w:line="261" w:lineRule="auto"/>
        <w:tabs>
          <w:tab w:leader="none" w:pos="6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Benefits Commencement Date, (i) SpinCo shall adopt or maintain, and shall cause each member of the SpinCo Group or the SpinCo EOR, as applicable, to adopt or maintain, leave of absence programs and (ii) SpinCo shall honor, and shall cause each member of the SpinCo Group to honor, all terms and conditions of authorized leaves of absence which have been granted to any SpinCo Participant before the Distribution Date, including such leaves that are to commence on or after the Distribution Date.</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Transfer of Delayed Transfer SpinCo Employees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firstLine="436"/>
        <w:spacing w:after="0" w:line="254"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applicable Delayed Transfer Date, the employment of each applicable Delayed Transfer SpinCo Employee, to the extent employed by a member of the Comcast Group at such time, shall be transferred to a member of the SpinCo Group or a SpinCo EOR, as applicable. Following the Distribution Date, the Parties shall mutually cooperate in good faith and use their reasonable best efforts to cause all such transfers of employment contemplated by this Section 3.02(a) to occur in the manner contemplated by this Agreement or any other applicable Ancillary Agreement, including, to the extent (i) required by Applicable Law, (ii) required by any applicable Ancillary Agreement or (iii) otherwise determined by the Parties to be necessary or appropriate, by having the applicable Party (or an applicable member of its Group) make an offer of employment to such Delayed Transfer SpinCo Employee on terms and conditions of employment consistent with (A) this Agreement and (B) the terms and conditions of employment applicable to such employee as of the applicable Delayed Transfer Date.</w:t>
      </w:r>
    </w:p>
    <w:p>
      <w:pPr>
        <w:spacing w:after="0" w:line="191" w:lineRule="exact"/>
        <w:rPr>
          <w:rFonts w:ascii="Times New Roman" w:cs="Times New Roman" w:eastAsia="Times New Roman" w:hAnsi="Times New Roman"/>
          <w:sz w:val="18"/>
          <w:szCs w:val="18"/>
          <w:color w:val="auto"/>
        </w:rPr>
      </w:pPr>
    </w:p>
    <w:p>
      <w:pPr>
        <w:ind w:left="-20" w:right="40" w:firstLine="436"/>
        <w:spacing w:after="0" w:line="282"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provisions of Article 11 shall apply to and govern the rights and obligations of the Parties with respect to Delayed Transfer SpinCo Employees.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60" w:top="270" w:right="47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Times New Roman" w:cs="Times New Roman" w:eastAsia="Times New Roman" w:hAnsi="Times New Roman"/>
          <w:sz w:val="18"/>
          <w:szCs w:val="18"/>
          <w:i w:val="1"/>
          <w:iCs w:val="1"/>
          <w:color w:val="auto"/>
        </w:rPr>
        <w:t>Employee Agreements.</w:t>
      </w:r>
    </w:p>
    <w:p>
      <w:pPr>
        <w:spacing w:after="0" w:line="227" w:lineRule="exact"/>
        <w:rPr>
          <w:sz w:val="20"/>
          <w:szCs w:val="20"/>
          <w:color w:val="auto"/>
        </w:rPr>
      </w:pPr>
    </w:p>
    <w:p>
      <w:pPr>
        <w:ind w:firstLine="436"/>
        <w:spacing w:after="0" w:line="253"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employment, retention, restrictive covenant, invention assignment or similar agreements with SpinCo Employees (other than any SpinCo NLR Employees) to which a member of the SpinCo Group is not a party and which do not otherwise transfer to a SpinCo Group member by operation of Applicable Law, (i) the Parties shall use reasonable best efforts to assign, effective no later than the Distribution Date, the applicable employment, retention, restrictive covenant, invention assignment or similar agreement, as applicable, to a member of the SpinCo Group in the applicable jurisdiction, and SpinCo shall, or shall cause a member of the SpinCo Group or a SpinCo EOR, as applicable, to assume and perform such agreements in accordance with their terms, in each case as if originally entered into by such applicable member of the SpinCo Group and (ii) the Comcast Group shall cease to have any Liabilities or responsibilities with respect thereto. For the avoidance of doubt, to the extent any such agreements provide for any transfers or assignments of any Intellectual Property Rights, SpinCo (on behalf of itself and each applicable member of the SpinCo Group) hereby waives any right, title and interest in, to and under any such Intellectual Property Rights to the extent ownership thereof is allocated to the Comcast Group pursuant to the Separation Agreement.</w:t>
      </w:r>
    </w:p>
    <w:p>
      <w:pPr>
        <w:spacing w:after="0" w:line="194"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employment, retention, severance, restrictive covenant, invention assignment or similar agreements with Comcast Employees to which a member of the Comcast Group is not a party and which do not otherwise transfer to a Comcast Group member by operation of Applicable Law, the Parties shall use reasonable best efforts to assign, effective no later than the Distribution Date, the applicable employment, retention, severance, restrictive covenant, invention assignment or similar agreement, as applicable, to a member of the Comcast Group in the applicable jurisdiction and Comcast shall, or shall cause a member of the Comcast Group to, assume and perform such agreements in accordance with their terms, in each case as if originally entered into by such applicable member of the Comcast Group and the SpinCo Group shall cease to have any Liabilities or responsibilities with respect thereto. For the avoidance of doubt, to the extent any such agreements provide for any transfers or assignments of any Intellectual Property Rights, Comcast (on behalf of itself and each applicable member of the Comcast Group) hereby waives any right, title and interest in, to and under any such Intellectual Property Rights to the extent ownership thereof is allocated to the SpinCo Group pursuant to the Separation Agreement.</w:t>
      </w:r>
    </w:p>
    <w:p>
      <w:pPr>
        <w:spacing w:after="0" w:line="194"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each of the Parties hereby agrees to comply with and honor any employment, services, retention or severance agreement between any member of the SpinCo Group or the Comcast Group, as the case may be, on the one hand, and any SpinCo Employee or Comcast Employee, respectively, on the other hand, and assumes responsibility for and, to the extent applicable, Comcast or the relevant member of the Comcast Group and SpinCo or the relevant member of the SpinCo Group, respectively, shall cease to be responsible for or to otherwise have any Liability in respect of, such agreements.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Labor Unions; Collective Bargaining Agreements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60" w:firstLine="436"/>
        <w:spacing w:after="0" w:line="261"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 or any Collective Bargaining Agreement, the Parties shall cooperate and consult in good faith to provide notice, engage in consultation and take any similar action which may be required on its part in connection with the Contribution, the Distribution or any assignment, transfer or continuation of the employment of any employees as contemplated by this Agreement, the Separation Agreement or any other Ancillary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8" w:right="459" w:bottom="1440" w:gutter="0" w:footer="0" w:header="0"/>
        </w:sectPr>
      </w:pPr>
    </w:p>
    <w:bookmarkStart w:id="23" w:name="page24"/>
    <w:bookmarkEnd w:id="23"/>
    <w:p>
      <w:pPr>
        <w:ind w:right="80" w:firstLine="436"/>
        <w:spacing w:after="0" w:line="253"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From and after the Distribution Date, SpinCo or a member of the SpinCo Group shall (i) adopt and assume each SpinCo CBA, (ii) unless otherwise provided in this Agreement, assume and honor any obligations of the Comcast Group under or relating to any SpinCo CBAs as such obligations relate to SpinCo Employees as a successor to the Comcast Group (including, for the avoidance of doubt, by executing, and complying with its obligations under, any benefit trust fund arrangements contemplated by any SpinCo CBA) and (iii) recognize the works councils, labor unions and other employee representatives that are parties to such SpinCo CBAs. As of the Distribution Date, the Comcast Group shall have no further Liability under any SpinCo CBA with respect to SpinCo Employees, and SpinCo shall be solely responsible for any Liabilities relating to any Actions, claims, grievances or other proceedings by any labor union, works council or other employee representatives relating to any SpinCo Employees, which shall constitute SpinCo Assumed Employee Liabilities;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compensation or benefits that were, prior to the Delayed Transfer Date, provided to Delayed Transfer SpinCo Employees in any jurisdiction under the SpinCo CBAs through Comcast Plans shall, to the extent that such compensation and benefits are still required to be provided under the SpinCo CBAs on and after the Delayed Transfer Date, be provided as mutually agreed with such works councils, labor unions and other employee representatives through the SpinCo Plans as set forth in this Agreement.</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as of the Distribution Date, any Collective Bargaining Agreement covers both Comcast Employees and SpinCo Employees, the Parties shall cooperate in good faith, together with any labor organization or union that is or will be a party to such Collective Bargaining Agreement, to take all actions reasonably necessary to allocate the Collective Bargaining Agreement into (i) a SpinCo CBA covering SpinCo Employees and (ii) a Comcast CBA covering Comcast Employees, in each case, with terms and conditions that are, in all material respects, substantially similar to those applicable to the respective groups of employees immediately prior to the Distribution Date under the applicable Collective Bargaining Agreement (except as may be otherwise agreed among the Parties and the labor organization or union). The Parties shall reasonably cooperate and consult with one another in connection with the negotiation, implementation and effectiveness of such SpinCo CBAs and Comcast CBAs. Regardless of whether any such SpinCo CBAs and Comcast CBAs have been entered and executed, as of the Distribution Date, (A) the Comcast Group shall have no further Liability with respect to SpinCo Employees pursuant to any labor agreement or by operation of any labor law and (B) the SpinCo Group shall have no further Liability with respect to Comcast Employees pursuant to any labor agreement or by operation of any labor law.</w:t>
      </w:r>
    </w:p>
    <w:p>
      <w:pPr>
        <w:spacing w:after="0" w:line="194"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prior to the Distribution Date, any new Collective Bargaining Agreement covering SpinCo Employees is negotiated or entered into with any works councils, labor unions or other employee representatives that are or will be a party to such Collective Bargaining Agreement, SpinCo shall, or shall cause the applicable member of the SpinCo Group to, assume all Liabilities relating to, arising out of or in respect of such Collective Bargaining Agreement or negotiation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4" w:name="page25"/>
    <w:bookmarkEnd w:id="24"/>
    <w:p>
      <w:pPr>
        <w:ind w:firstLine="436"/>
        <w:spacing w:after="0" w:line="258"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that, prior to the Distribution Date, any labor organization, works council, labor union or other employee representative seeks to become or becomes the exclusive bargaining representative of any group that includes SpinCo Employees (whether such group is comprised of solely of SpinCo Employees or of a combination of SpinCo Employees and Comcast Employees), the Parties shall reasonably cooperate and consult with one another in connection with such matter;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from and after the Distribution Date, each Party shall have the right to pursue its own labor relations strategy with respect to its own employees who may have been a part of such group.</w:t>
      </w:r>
    </w:p>
    <w:p>
      <w:pPr>
        <w:spacing w:after="0" w:line="18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Assignment of Specified Rights</w:t>
      </w:r>
      <w:r>
        <w:rPr>
          <w:rFonts w:ascii="Times New Roman" w:cs="Times New Roman" w:eastAsia="Times New Roman" w:hAnsi="Times New Roman"/>
          <w:sz w:val="18"/>
          <w:szCs w:val="18"/>
          <w:color w:val="auto"/>
        </w:rPr>
        <w:t>. To the extent permitted by Applicable Law and the applicable agreement, if any, effective as of no later than the Distribution Date, (i) Comcast hereby assigns, to the maximum extent possible, on behalf of itself and the Comcast Group, the SpinCo Specified Rights, to SpinCo (and SpinCo shall be a third-party beneficiary with respect thereto) and (ii) SpinCo hereby assigns, to the maximum extent possible, on behalf of itself and the SpinCo Group, the Comcast Specified Rights to Comcast (and Comcast shall be a third-party beneficiary with respect thereto).</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Sponsored SpinCo Employees</w:t>
      </w:r>
      <w:r>
        <w:rPr>
          <w:rFonts w:ascii="Times New Roman" w:cs="Times New Roman" w:eastAsia="Times New Roman" w:hAnsi="Times New Roman"/>
          <w:sz w:val="18"/>
          <w:szCs w:val="18"/>
          <w:color w:val="auto"/>
        </w:rPr>
        <w:t>. The Parties shall, and shall cause the members of their respective Group to, cooperate in good faith with each other with respect to the process of obtaining work authorization for each Sponsored SpinCo Employee to work with SpinCo or a SpinCo Group member. The applicable member of the SpinCo Group shall be solely responsible for petitioning the applicable Governmental Authorities for the transfer of each Sponsored SpinCo Employee’s (as well as any spouse or dependent thereof, as applicable) visa or work permit to, or the grant of a new visa or work permit by, any SpinCo Group member. The applicable member of the Comcast Group shall cooperate in good faith by providing the applicable member of the SpinCo Group with all reasonably necessary information and documentation in its possession to support such petitions. Each Party shall be responsible for any costs or expenses incurred by any member of its respective Group in connection with the foregoing. In the event that it is not legally permissible for a Sponsored SpinCo Employee to continue work with the SpinCo Group from and after the Distribution Date, the Parties shall cooperate in good faith to identify and agree upon any Sponsored SpinCo Employee who is deemed to be critical to the operations of the SpinCo Business and Comcast shall reasonably cooperate with SpinCo for such Sponsored SpinCo Employee to continue to be employed by a Comcast Group member and to provide for the services of such Sponsored SpinCo Employee to be made available exclusively to the SpinCo Group under an employee secondment or similar arrangement, with any costs incurred by the Comcast Group (including those relating to compensation and benefits in respect of such Sponsored SpinCo Employee) constituting SpinCo Assumed Employee Liabilities.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Termination-Related Liabilities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436"/>
        <w:spacing w:after="0" w:line="254"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contemplated by this Agreement, neither the Contribution, the Distribution nor any assignment, transfer or continuation of the employment or service of any employees or directors as contemplated by this Agreement, the Separation Agreement or any other Ancillary Agreement shall be deemed a termination of employment or service of any Comcast Participant or SpinCo Participant for purposes of this Agreement or any Comcast Award, SpinCo Award, Comcast Bonus Plan, Comcast Plan, SpinCo Plan, Comcast Equity Plan, SpinCo Equity Plan or any other employment, severance, retention, consulting or similar agreements, plans, policies or arrangements. Each of the Parties shall cooperate in good faith and use reasonable best efforts to avoid and mitigate, to the maximum extent practicable, the incurrence of any severance or other termination-related obligations (including by the provision of all appropriate notices, assurances and offers of employment and the assignment and assumption of obligations 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5" w:name="page26"/>
    <w:bookmarkEnd w:id="25"/>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undertakings with respect to employment, compensation, benefits, protections or other obligations) imposed upon either of the Parties by operation of Applicable Law in connection with the Contribution, the Distribution and any assignment, transfer or continuation of employment or service of any employees or directors contemplated by this Agreement, the Separation Agreement or any other Ancillary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to the extent that any severance or other termination-related obligations are incurred by either of the Parties in connection with the Contribution, the Distribution or any assignment, transfer or continuation of employment or service of any employees or directors contemplated by this Agreement, the allocation of such liabilities shall be governed by Section 3.07(b).</w:t>
      </w:r>
    </w:p>
    <w:p>
      <w:pPr>
        <w:spacing w:after="0" w:line="187" w:lineRule="exact"/>
        <w:rPr>
          <w:sz w:val="20"/>
          <w:szCs w:val="20"/>
          <w:color w:val="auto"/>
        </w:rPr>
      </w:pPr>
    </w:p>
    <w:p>
      <w:pPr>
        <w:ind w:left="700" w:hanging="264"/>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2.01 and without limiting the generality of Section 3.07(a):</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07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severance or other termination-related payments become payable in connection with the transfer or termination of employment of any Delayed Transfer SpinCo Employee, the SpinCo Group shall be solely responsible for all such severance and termination-related payments and such amounts shall constitute SpinCo Assumed Employee Liabilities; and</w:t>
      </w:r>
    </w:p>
    <w:p>
      <w:pPr>
        <w:spacing w:after="0" w:line="67" w:lineRule="exact"/>
        <w:rPr>
          <w:rFonts w:ascii="Times New Roman" w:cs="Times New Roman" w:eastAsia="Times New Roman" w:hAnsi="Times New Roman"/>
          <w:sz w:val="18"/>
          <w:szCs w:val="18"/>
          <w:color w:val="auto"/>
        </w:rPr>
      </w:pPr>
    </w:p>
    <w:p>
      <w:pPr>
        <w:ind w:left="440" w:firstLine="419"/>
        <w:spacing w:after="0" w:line="281" w:lineRule="auto"/>
        <w:tabs>
          <w:tab w:leader="none" w:pos="112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severance or other termination-related payments become payable as a result of the transfer of the employment of a Comcast Employee or a SpinCo Employee on or before the Distribution Date contemplated by this Article 3 (including, for the avoidance of doubt, as a result of any Non-U.S. SpinCo Participant’s refusal to commence employment with a SpinCo EOR), the Comcast Group shall be solely responsible for all such severance and termination-related payments and such amounts shall constitute Comcast Retained Employee Liabilities.</w:t>
      </w:r>
    </w:p>
    <w:p>
      <w:pPr>
        <w:spacing w:after="0" w:line="164" w:lineRule="exact"/>
        <w:rPr>
          <w:rFonts w:ascii="Times New Roman" w:cs="Times New Roman" w:eastAsia="Times New Roman" w:hAnsi="Times New Roman"/>
          <w:sz w:val="17"/>
          <w:szCs w:val="17"/>
          <w:color w:val="auto"/>
        </w:rPr>
      </w:pPr>
    </w:p>
    <w:p>
      <w:pPr>
        <w:ind w:right="80" w:firstLine="436"/>
        <w:spacing w:after="0" w:line="256"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Comcast Group shall be responsible for all severance and other termination-related payments, whether arising under any employment, severance or similar agreement or any severance plan or policy (including any payments during any “no longer required (NLR)” or “garden leave” period) in respect of any (i) SpinCo Employee whose employment is terminated prior to the Distribution Date and any (ii) SpinCo NLR Employees, and such amounts shall constitute Comcast Retained Employee Liabilities. For the avoidance of doubt, any amounts payable pursuant to a negotiated resolution in respect of any Action against the Parties shall be allocated to the applicable Party in accordance with Article 2 hereof.</w:t>
      </w:r>
    </w:p>
    <w:p>
      <w:pPr>
        <w:spacing w:after="0" w:line="185"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TSA Employees.</w:t>
      </w:r>
      <w:r>
        <w:rPr>
          <w:rFonts w:ascii="Times New Roman" w:cs="Times New Roman" w:eastAsia="Times New Roman" w:hAnsi="Times New Roman"/>
          <w:sz w:val="18"/>
          <w:szCs w:val="18"/>
          <w:color w:val="auto"/>
        </w:rPr>
        <w:t xml:space="preserve"> Comcast shall determine the TSA Employees who shall perform the Services under the Transition Services Agreement. All labor and employment matters relating to any TSA Employees shall be within the exclusive control of Comcast or the applicable member of the Comcast Group, and no member of the SpinCo Group shall take any action affecting such matters. During the term of the Transition Services Agreement, all TSA Employees will be deemed for all compensation, employee benefits, tax and social security contribution purposes to be employees of the Comcast Group and not employees of the SpinCo Group. In providing the Services, the TSA Employees will be under the exclusive direction, control and supervision of the applicable member of the Comcast Group and not of any member of the SpinCo Group. Except with respect to the SpinCo Assets, or any other assets and materials made available by SpinCo in accordance with Section 2.08(b) of the Transition Services Agreement, and subject 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6" w:name="page27"/>
    <w:bookmarkEnd w:id="26"/>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cases to Section 2.09 of the Transition Services Agreement, all procedures, methods, systems, strategies, tools, equipment, facilities and other resources of any member of the Comcast Group that are used by any member of the Comcast Group in connection with the provision of Services under the Transition Services Agreement (including any Intellectual Property Right whether existing or created in connection with the provision of the Services or otherwise) shall, as between the SpinCo Group and the Comcast Group, remain the property of the applicable member of the Comcast Group and shall at all times be under the sole direction and control of the applicable member of the Comcast Group.</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LANS</w:t>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General; Plan Participation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00" w:firstLine="436"/>
        <w:spacing w:after="0" w:line="255" w:lineRule="auto"/>
        <w:tabs>
          <w:tab w:leader="none" w:pos="6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(including Section 5.03 and Section 5.08), effective as of 12:01 a.m., Eastern Time, on the Benefits Commencement Date, (i)(A) all SpinCo Participants (other than each SpinCo NLR Employee and any beneficiary, dependent or alternate payee of such individual) shall cease any participation in and benefit accrual under the Comcast Plans and (B) all members of the SpinCo Group shall cease to be participating employers under the Comcast Plans and shall have no further obligations with respect to any Comcast Plans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 all Comcast Participants shall cease any participation in and benefit accrual under the SpinCo Plans and (B) all members of the Comcast Group shall cease to be participating employers under the SpinCo Plans and shall have no further obligations with respect to any SpinCo Plans.</w:t>
      </w:r>
    </w:p>
    <w:p>
      <w:pPr>
        <w:spacing w:after="0" w:line="185"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in accordance with the terms of this Agreement, to the extent necessary to comply with its obligations under this Agreement or any other Ancillary Agreement, SpinCo or a member of the SpinCo Group shall adopt, or cause to be adopted, the SpinCo Plans for the benefit of SpinCo Participants to be effective from and after the Benefits Commencement Date. For the avoidance of doubt, any costs or expenses incurred in connection with the design, establishment and adoption of any SpinCo Plans shall constitute Comcast Retained Employee Liabilities,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sake of clarity, any and all expenses relating to the maintenance or administration of the SpinCo Plans (whether incurred before, on or after the Benefits Commencement Date) shall constitute SpinCo Assumed Employee Liabilities.</w:t>
      </w:r>
    </w:p>
    <w:p>
      <w:pPr>
        <w:spacing w:after="0" w:line="187"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the Parties shall take all actions necessary to effectuate the provisions of this Section 4.01 and to cause (i) the applicable SpinCo Group member to have in effect the applicable SpinCo Plans no later than the Benefits Commencement Date, (ii) the applicable SpinCo Group member to assume or retain all Liabilities with respect to each SpinCo Plan and the applicable Comcast Group member to assume or retain all Liabilities with respect to each Comcast Plan, in each case, effective no later than the Distribution Date and (iii) all assets of any SpinCo Plan to be transferred to or retained by the applicable SpinCo Group member in the applicable jurisdiction and all assets of any Comcast Plan to be transferred to or retained by the applicable Comcast Group member in the applicable jurisdiction, in each case, effective no later than the Distribution Date.</w:t>
      </w:r>
    </w:p>
    <w:p>
      <w:pPr>
        <w:spacing w:after="0" w:line="188"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requirement in this Agreement that the SpinCo Group will have established any applicable SpinCo Plan effective as of the Benefits Commencement Date, or that any SpinCo Participant shall commence participation in any SpinCo Plan effective as of the Benefits Commencement Date, in each case shall be subject to the terms of the applicable SpinCo Plan.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i w:val="1"/>
          <w:iCs w:val="1"/>
          <w:color w:val="auto"/>
        </w:rPr>
        <w:t>Service Credit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firstLine="436"/>
        <w:spacing w:after="0" w:line="256"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Section 5.04, from and after the Benefits Commencement Date, to the extent permitted by Applicable Law, for purposes of determining eligibility to participate, vesting and benefit accrual under any SpinCo Plan in which a SpinCo Employee is eligible to participate on and following the Benefits Commencement Date, such SpinCo Employee’s service with any member of the Comcast Group or the SpinCo Group, as the case may be, prior to the Benefits Commencement Date shall be treated as service with the SpinCo Group, to the extent recognized by the Comcast Group or the SpinCo Group, as applicable, under an analogous Comcast Plan or SpinCo Plan, as applicable, prior to the Benefits Commencement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service shall not be recognized to the extent that such recognition would result in any duplication of benefits.</w:t>
      </w:r>
    </w:p>
    <w:p>
      <w:pPr>
        <w:spacing w:after="0" w:line="187" w:lineRule="exact"/>
        <w:rPr>
          <w:rFonts w:ascii="Times New Roman" w:cs="Times New Roman" w:eastAsia="Times New Roman" w:hAnsi="Times New Roman"/>
          <w:sz w:val="18"/>
          <w:szCs w:val="18"/>
          <w:color w:val="auto"/>
        </w:rPr>
      </w:pPr>
    </w:p>
    <w:p>
      <w:pPr>
        <w:ind w:left="-60" w:right="20" w:firstLine="436"/>
        <w:spacing w:after="0" w:line="25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shall, or shall cause a member of the SpinCo Group to, recognize prior service to the Comcast Group or the SpinCo Group for purposes of retirement eligibility under any SpinCo Plan (including, without limitation, the SpinCo Equity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SpinCo or a member of the SpinCo Group may determine, in its sole discretion, any additional conditions upon which any SpinCo Employee becomes retirement eligible under any SpinCo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Comcast Awards converted to SpinCo Awards pursuant to Article 8 shall remain subject to the existing terms and conditions (including vesting, exercise schedules, forfeiture and post-termination vesting and exercise periods) as applicable to the corresponding Comcast Award as of immediately prior to the Distribution.</w:t>
      </w:r>
    </w:p>
    <w:p>
      <w:pPr>
        <w:spacing w:after="0" w:line="187" w:lineRule="exact"/>
        <w:rPr>
          <w:rFonts w:ascii="Times New Roman" w:cs="Times New Roman" w:eastAsia="Times New Roman" w:hAnsi="Times New Roman"/>
          <w:sz w:val="18"/>
          <w:szCs w:val="18"/>
          <w:color w:val="auto"/>
        </w:rPr>
      </w:pPr>
    </w:p>
    <w:p>
      <w:pPr>
        <w:ind w:left="-60" w:right="80" w:firstLine="436"/>
        <w:spacing w:after="0" w:line="281" w:lineRule="auto"/>
        <w:tabs>
          <w:tab w:leader="none" w:pos="6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unless otherwise required by Applicable Law, the SpinCo Plans covering New SpinCo Employees or any other individual who is externally hired by a member of the SpinCo Group following the Distribution Date (including any employee of the Comcast Group who applies for a position with the SpinCo Group after the Distribution Date) (which, for the avoidance of doubt, does not include any Delayed Transfer SpinCo Employees) will not be required to recognize such employee’s prior service with the Comcast Group (if any).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ETIREMENT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EFERRED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OMPENSATION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220" w:firstLine="436"/>
        <w:spacing w:after="0" w:line="266" w:lineRule="auto"/>
        <w:tabs>
          <w:tab w:leader="none" w:pos="6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Benefits Commencement Date, SpinCo or another member of the SpinCo Group will adopt the SpinCo 401(k) Plan. The SpinCo 401(k) Plan will have terms and features (including employer contribution provisions) that are substantially similar to any of the Comcast 401(k) Plans (as determined by SpinCo in its sole discretion), except as may otherwise be mutually agreed between the Parties.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500" w:top="268" w:right="519" w:bottom="1440" w:gutter="0" w:footer="0" w:header="0"/>
        </w:sectPr>
      </w:pPr>
    </w:p>
    <w:bookmarkStart w:id="28" w:name="page29"/>
    <w:bookmarkEnd w:id="28"/>
    <w:p>
      <w:pPr>
        <w:ind w:right="20" w:firstLine="436"/>
        <w:spacing w:after="0" w:line="256"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and after the Distribution Date, the applicable member of the SpinCo Group shall be responsible for the administration of the SpinCo 401(k) Plan. From and after the Distribution Date, no member of the Comcast Group shall have any Liability or obligation (including any administration obligation) with respect to the SpinCo 401(k) Plan or any member of the SpinCo Group with respect to the SpinCo 401(k) Plan. A member of the SpinCo Group will be solely responsible for taking all necessary, reasonable and appropriate actions (including the submission of the SpinCo 401(k) Plan to the Internal Revenue Service for a determination of tax-qualified status) to establish, maintain and administer the SpinCo 401(k) Plan so that it is qualified under Section 401(a) of the Code and that the related trust thereunder is exempt under Section 501(a) of the Code.</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Benefits Commencement Date, each SpinCo Participant who actively participates in the Comcast 401(k) Plans immediately prior to such date will (i) cease active participation in the Comcast 401(k) Plans and (ii) become eligible to participate in the SpinCo 401(k) Plan. For the avoidance of doubt, (A) all employee deferrals and employer contributions with respect to such active SpinCo Participants will be made to the SpinCo 401(k) Plan on and following the Benefits Commencement Date and (B) any SpinCo Participants who are inactive or former participants under the Comcast 401(k) Plans as of immediately prior to the Benefits Commencement Date will not become eligible to participate in the SpinCo 401(k) Plan in accordance with this Section 5.01(c) (and, for the avoidance of doubt, will continue participating under the Comcast 401(k) Plans, subject to the terms of the Comcast 401(k) Plans).</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as soon as reasonably practicable following the Benefits Commencement Date (but not later than 180 days thereafter), the account balances (whether vested or unvested) and related participant loans of all SpinCo Participants who are active participants in the Comcast 401(k) Plans as of immediately prior to the Benefits Commencement Date and any associated Liabilities will be transferred from the Comcast 401(k) Plans to the SpinCo 401(k) Plan via a trust-to-trust transfer. The transfer of assets will be in cash or in kind (as determined by Comcast) and will be made in accordance with Applicable Law, including the Code and ERISA. For the avoidance of doubt, the account balances and loans of any SpinCo Participants who are inactive or former participants under the Comcast 401(k) Plans will not be transferred to the SpinCo 401(k) Plan pursuant to this</w:t>
      </w:r>
    </w:p>
    <w:p>
      <w:pPr>
        <w:spacing w:after="0" w:line="5"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5.01(d) and will instead remain under the Comcast 401(k) Plans (and such inactive or former participants will not become eligible to participate in the SpinCo 401(k) Plan in accordance with Section 5.01(c)). Effective as of and following the time in which the applicable trust-to-trust transfer is complete, SpinCo and/or the SpinCo 401(k) Plan shall assume all Liabilities of Comcast under the Comcast 401(k) Plans with respect to all applicable participants in the Comcast 401(k) Plans whose account balances (whether vested or unvested) and loans were transferred to the SpinCo 401(k) Plan pursuant to this Section 5.01(d) and Comcast and the Comcast 401(k) Plans shall have no Liabilities to provide such participants with benefits under the Comcast 401(k) Plans following such transfer.</w:t>
      </w:r>
    </w:p>
    <w:p>
      <w:pPr>
        <w:spacing w:after="0" w:line="189"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Benefits Commencement Date, with respect to SpinCo Participants who become eligible to participate in the SpinCo 401(k) Plan as of the Benefits Commencement Date in accordance with Section 5.01(c) (other than any Delayed Transfer SpinCo Employees), the Parties will cooperate in good faith to cause the SpinCo 401(k) Plan to recognize and maintain such SpinCo Participant’s elections (to the extent applicable and reasonable), including investment, deferral and payment form elections, beneficiary designations and the rights of alternate payees under qualified domestic relations orders in effect under the Comcast 401(k) Plans as of immediately prior to the Benefits Commencement Date, subject to the terms of the SpinCo 401(k) Plan and Applicable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9" w:name="page30"/>
    <w:bookmarkEnd w:id="29"/>
    <w:p>
      <w:pPr>
        <w:ind w:left="4" w:firstLine="436"/>
        <w:spacing w:after="0" w:line="266" w:lineRule="auto"/>
        <w:tabs>
          <w:tab w:leader="none" w:pos="66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contributions to be made to a Comcast 401(k) Plan with respect to employee deferrals and employer contributions for SpinCo Participants who are active participants in such Comcast 401(k) Plan (other than any Delayed Transfer SpinCo Employees) as of immediately prior to the Benefits Commencement Date that relate to a time period ending on or prior to the Benefits Commencement Date, determined in accordance with the terms and provisions of the applicable Comcast 401(k) Plan and Applicable Law, shall be the responsibility of Comcast under such Comcast 401(k) Plan. Without limiting the generality of the immediately preceding sentence, (i) with respect to any 2025 annual retirement contribution to be made under a Comcast 401(k) Plan relating to any SpinCo Participants who are active participants in such Comcast 401(k) Plan as of immediately prior to the Benefits Commencement Date, the amount of such 2025 annual retirement contribution shall be (A) calculated in accordance with the terms of such Comcast 401(k) Plan based on such SpinCo Participant’s eligible earnings for the full year (i.e., for the one-year period preceding the Benefits Commencement Date), (B) paid by Comcast under such Comcast 401(k) Plan and (C) the account balances (whether vested or unvested) of all SpinCo Participants who are active participants in the Comcast 401(k) Plans as of immediately prior to the Benefits Commencement Date that remain under the Comcast 401(k) Plans after giving effect to this Section 5.01(f) will be transferred from the Comcast 401(k) Plans to the SpinCo 401(k) Plan via a trust-to-trust transfer as soon as reasonably practicable following the Benefits Commencement Date (but not later than 180 days thereafter) and (ii) subject to any agreement between the Parties made in accordance with Section 5.01(g) below, with respect to any 2025 annual retirement contribution to be made under a Comcast 401(k) Plan relating to any other eligible participant under such Comcast 401(k) Plan (other than those SpinCo Participants described in clause</w:t>
      </w:r>
    </w:p>
    <w:p>
      <w:pPr>
        <w:spacing w:after="0" w:line="9" w:lineRule="exact"/>
        <w:rPr>
          <w:rFonts w:ascii="Times New Roman" w:cs="Times New Roman" w:eastAsia="Times New Roman" w:hAnsi="Times New Roman"/>
          <w:sz w:val="17"/>
          <w:szCs w:val="17"/>
          <w:color w:val="auto"/>
        </w:rPr>
      </w:pPr>
    </w:p>
    <w:p>
      <w:pPr>
        <w:ind w:left="4" w:right="280" w:hanging="4"/>
        <w:spacing w:after="0" w:line="260" w:lineRule="auto"/>
        <w:tabs>
          <w:tab w:leader="none" w:pos="2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5.01(f)), the amount of such 2025 annual retirement contribution shall be calculated in accordance with the terms of such Comcast 401(k) Plan and shall be the responsibility of Comcast under such Comcast 401(k) Plan.</w:t>
      </w:r>
    </w:p>
    <w:p>
      <w:pPr>
        <w:spacing w:after="0" w:line="181"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in good faith to determine the treatment of any contributions to be made to a Comcast 401(k) Plan or the SpinCo 401(k) Plan, as applicable, with respect to employee deferrals, matching contributions and employer contributions for Delayed Transfer SpinCo Employees, relating to a time period ending on or prior to the applicable Delayed Transfer Date.</w:t>
      </w:r>
    </w:p>
    <w:p>
      <w:pPr>
        <w:spacing w:after="0" w:line="175"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Benefits Commencement Date, the Parties shall cooperate in good faith to determine the allocation (if any) between the Comcast 401(k) Plans and the SpinCo 401(k) Plan of the forfeiture account balance under the respective Comcast 401(k) Plans outstanding as of immediately prior to the Benefits Commencement Date and, to the extent applicable, the mechanics for transferring the applicable allocable portion of such account from the applicable Comcast 401(k) Plan to the SpinCo 401(k) Plan.</w:t>
      </w:r>
    </w:p>
    <w:p>
      <w:pPr>
        <w:spacing w:after="0" w:line="1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Non-U.S. Defined Contribution Plans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84" w:hanging="244"/>
        <w:spacing w:after="0"/>
        <w:tabs>
          <w:tab w:leader="none" w:pos="6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Article 10 and subject to Applicable Law:</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77" w:lineRule="auto"/>
        <w:tabs>
          <w:tab w:leader="none" w:pos="108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Distribution Date, the participation by each Non-U.S. SpinCo Participant who participates in any Non-U.S. Comcast Defined Contribution Plan that is sponsored or maintained by any member of the Comcast Group that is organized in (A) Canada (the “</w:t>
      </w:r>
      <w:r>
        <w:rPr>
          <w:rFonts w:ascii="Times New Roman" w:cs="Times New Roman" w:eastAsia="Times New Roman" w:hAnsi="Times New Roman"/>
          <w:sz w:val="17"/>
          <w:szCs w:val="17"/>
          <w:b w:val="1"/>
          <w:bCs w:val="1"/>
          <w:color w:val="auto"/>
        </w:rPr>
        <w:t>Comcast Canada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DC Plan</w:t>
      </w:r>
      <w:r>
        <w:rPr>
          <w:rFonts w:ascii="Times New Roman" w:cs="Times New Roman" w:eastAsia="Times New Roman" w:hAnsi="Times New Roman"/>
          <w:sz w:val="17"/>
          <w:szCs w:val="17"/>
          <w:color w:val="auto"/>
        </w:rPr>
        <w:t>”), (B) Germany (the “</w:t>
      </w:r>
      <w:r>
        <w:rPr>
          <w:rFonts w:ascii="Times New Roman" w:cs="Times New Roman" w:eastAsia="Times New Roman" w:hAnsi="Times New Roman"/>
          <w:sz w:val="17"/>
          <w:szCs w:val="17"/>
          <w:b w:val="1"/>
          <w:bCs w:val="1"/>
          <w:color w:val="auto"/>
        </w:rPr>
        <w:t>Comcast Germany DC Plan</w:t>
      </w:r>
      <w:r>
        <w:rPr>
          <w:rFonts w:ascii="Times New Roman" w:cs="Times New Roman" w:eastAsia="Times New Roman" w:hAnsi="Times New Roman"/>
          <w:sz w:val="17"/>
          <w:szCs w:val="17"/>
          <w:color w:val="auto"/>
        </w:rPr>
        <w:t>”), (C) Ireland (the “</w:t>
      </w:r>
      <w:r>
        <w:rPr>
          <w:rFonts w:ascii="Times New Roman" w:cs="Times New Roman" w:eastAsia="Times New Roman" w:hAnsi="Times New Roman"/>
          <w:sz w:val="17"/>
          <w:szCs w:val="17"/>
          <w:b w:val="1"/>
          <w:bCs w:val="1"/>
          <w:color w:val="auto"/>
        </w:rPr>
        <w:t>Comcast Ireland DC Plan</w:t>
      </w:r>
      <w:r>
        <w:rPr>
          <w:rFonts w:ascii="Times New Roman" w:cs="Times New Roman" w:eastAsia="Times New Roman" w:hAnsi="Times New Roman"/>
          <w:sz w:val="17"/>
          <w:szCs w:val="17"/>
          <w:color w:val="auto"/>
        </w:rPr>
        <w:t>”), (D) Hong Kong (the “</w:t>
      </w:r>
      <w:r>
        <w:rPr>
          <w:rFonts w:ascii="Times New Roman" w:cs="Times New Roman" w:eastAsia="Times New Roman" w:hAnsi="Times New Roman"/>
          <w:sz w:val="17"/>
          <w:szCs w:val="17"/>
          <w:b w:val="1"/>
          <w:bCs w:val="1"/>
          <w:color w:val="auto"/>
        </w:rPr>
        <w:t>Comcast Hong Kong DC Plan</w:t>
      </w:r>
      <w:r>
        <w:rPr>
          <w:rFonts w:ascii="Times New Roman" w:cs="Times New Roman" w:eastAsia="Times New Roman" w:hAnsi="Times New Roman"/>
          <w:sz w:val="17"/>
          <w:szCs w:val="17"/>
          <w:color w:val="auto"/>
        </w:rPr>
        <w:t>”), (E) the Netherlands (the “</w:t>
      </w:r>
      <w:r>
        <w:rPr>
          <w:rFonts w:ascii="Times New Roman" w:cs="Times New Roman" w:eastAsia="Times New Roman" w:hAnsi="Times New Roman"/>
          <w:sz w:val="17"/>
          <w:szCs w:val="17"/>
          <w:b w:val="1"/>
          <w:bCs w:val="1"/>
          <w:color w:val="auto"/>
        </w:rPr>
        <w:t>Comcast Netherlands DC Plan</w:t>
      </w:r>
      <w:r>
        <w:rPr>
          <w:rFonts w:ascii="Times New Roman" w:cs="Times New Roman" w:eastAsia="Times New Roman" w:hAnsi="Times New Roman"/>
          <w:sz w:val="17"/>
          <w:szCs w:val="17"/>
          <w:color w:val="auto"/>
        </w:rPr>
        <w:t>”) or (F) the United Kingdom (the “</w:t>
      </w:r>
      <w:r>
        <w:rPr>
          <w:rFonts w:ascii="Times New Roman" w:cs="Times New Roman" w:eastAsia="Times New Roman" w:hAnsi="Times New Roman"/>
          <w:sz w:val="17"/>
          <w:szCs w:val="17"/>
          <w:b w:val="1"/>
          <w:bCs w:val="1"/>
          <w:color w:val="auto"/>
        </w:rPr>
        <w:t>Comcast UK DC Plan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terminate, in each case in accordance with, and subject to, the terms of the applicable Non-U.S. Comcast Defined Contribution Plan;</w:t>
      </w:r>
    </w:p>
    <w:p>
      <w:pPr>
        <w:spacing w:after="0" w:line="10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70" w:right="499" w:bottom="1440" w:gutter="0" w:footer="0" w:header="0"/>
        </w:sectPr>
      </w:pPr>
    </w:p>
    <w:bookmarkStart w:id="30" w:name="page31"/>
    <w:bookmarkEnd w:id="30"/>
    <w:p>
      <w:pPr>
        <w:ind w:right="140" w:firstLine="419"/>
        <w:spacing w:after="0" w:line="266" w:lineRule="auto"/>
        <w:tabs>
          <w:tab w:leader="none" w:pos="6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Distribution Date, Non-U.S. SpinCo Participants who participate in the Comcast Canada DC Plan shall be deemed to experience a termination of service with respect to the Comcast Canada DC Plan and such Non-U.S. SpinCo Participants’ account balances shall be treated in accordance with the terms of the Comcast Canada DC Plan;</w:t>
      </w:r>
    </w:p>
    <w:p>
      <w:pPr>
        <w:spacing w:after="0" w:line="67" w:lineRule="exact"/>
        <w:rPr>
          <w:rFonts w:ascii="Times New Roman" w:cs="Times New Roman" w:eastAsia="Times New Roman" w:hAnsi="Times New Roman"/>
          <w:sz w:val="18"/>
          <w:szCs w:val="18"/>
          <w:color w:val="auto"/>
        </w:rPr>
      </w:pPr>
    </w:p>
    <w:p>
      <w:pPr>
        <w:ind w:right="40" w:firstLine="419"/>
        <w:spacing w:after="0" w:line="256" w:lineRule="auto"/>
        <w:tabs>
          <w:tab w:leader="none" w:pos="7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as soon as practicable following, the Distribution Date, (A) all insurance contracts and assets associated with Non-U.S. SpinCo Participants who participate in the Comcast Germany DC Plan shall be transferred to the applicable Non-U.S. SpinCo Defined Contribution Plan that is sponsored and maintained for the benefit of SpinCo Participants who are based in Germany (the “</w:t>
      </w:r>
      <w:r>
        <w:rPr>
          <w:rFonts w:ascii="Times New Roman" w:cs="Times New Roman" w:eastAsia="Times New Roman" w:hAnsi="Times New Roman"/>
          <w:sz w:val="18"/>
          <w:szCs w:val="18"/>
          <w:b w:val="1"/>
          <w:bCs w:val="1"/>
          <w:color w:val="auto"/>
        </w:rPr>
        <w:t>SpinCo Germany DC Plan</w:t>
      </w:r>
      <w:r>
        <w:rPr>
          <w:rFonts w:ascii="Times New Roman" w:cs="Times New Roman" w:eastAsia="Times New Roman" w:hAnsi="Times New Roman"/>
          <w:sz w:val="18"/>
          <w:szCs w:val="18"/>
          <w:color w:val="auto"/>
        </w:rPr>
        <w:t>”) in accordance with, and subject to, the terms of the Comcast Germany DC Plan and the SpinCo Germany DC Plan and (B) the SpinCo Germany DC Plan shall maintain the private pension arrangements (including employer contribution) that are substantially similar to the Comcast Germany DC Plan;</w:t>
      </w:r>
    </w:p>
    <w:p>
      <w:pPr>
        <w:spacing w:after="0" w:line="79" w:lineRule="exact"/>
        <w:rPr>
          <w:rFonts w:ascii="Times New Roman" w:cs="Times New Roman" w:eastAsia="Times New Roman" w:hAnsi="Times New Roman"/>
          <w:sz w:val="18"/>
          <w:szCs w:val="18"/>
          <w:color w:val="auto"/>
        </w:rPr>
      </w:pPr>
    </w:p>
    <w:p>
      <w:pPr>
        <w:ind w:right="180" w:firstLine="419"/>
        <w:spacing w:after="0" w:line="289" w:lineRule="auto"/>
        <w:tabs>
          <w:tab w:leader="none" w:pos="72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or as soon as practicable following, the Distribution Date, (A) SpinCo shall assume sponsorship of the Comcast Hong Kong DC Plan in accordance with the terms of the Comcast Hong Kong DC Plan and Applicable Law (such assumed plan, the “</w:t>
      </w:r>
      <w:r>
        <w:rPr>
          <w:rFonts w:ascii="Times New Roman" w:cs="Times New Roman" w:eastAsia="Times New Roman" w:hAnsi="Times New Roman"/>
          <w:sz w:val="17"/>
          <w:szCs w:val="17"/>
          <w:b w:val="1"/>
          <w:bCs w:val="1"/>
          <w:color w:val="auto"/>
        </w:rPr>
        <w:t>SpinCo Hong Kong DC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and (B) the SpinCo Hong Kong DC Plan, and each of the Liabilities thereunder, shall constitute SpinCo Assumed Employee Liabilities;</w:t>
      </w:r>
    </w:p>
    <w:p>
      <w:pPr>
        <w:spacing w:after="0" w:line="49" w:lineRule="exact"/>
        <w:rPr>
          <w:rFonts w:ascii="Times New Roman" w:cs="Times New Roman" w:eastAsia="Times New Roman" w:hAnsi="Times New Roman"/>
          <w:sz w:val="17"/>
          <w:szCs w:val="17"/>
          <w:color w:val="auto"/>
        </w:rPr>
      </w:pPr>
    </w:p>
    <w:p>
      <w:pPr>
        <w:jc w:val="both"/>
        <w:ind w:firstLine="419"/>
        <w:spacing w:after="0" w:line="266"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 Non-U.S. SpinCo Participants who participate in the Comcast Ireland DC Plan shall be deemed to experience a termination of service with respect to the Comcast Ireland DC Plan and such Non-U.S. SpinCo Participants’ account balances shall be treated in accordance with the terms of the Comcast Ireland DC Plan;</w:t>
      </w:r>
    </w:p>
    <w:p>
      <w:pPr>
        <w:spacing w:after="0" w:line="67" w:lineRule="exact"/>
        <w:rPr>
          <w:rFonts w:ascii="Times New Roman" w:cs="Times New Roman" w:eastAsia="Times New Roman" w:hAnsi="Times New Roman"/>
          <w:sz w:val="18"/>
          <w:szCs w:val="18"/>
          <w:color w:val="auto"/>
        </w:rPr>
      </w:pPr>
    </w:p>
    <w:p>
      <w:pPr>
        <w:ind w:right="200" w:firstLine="419"/>
        <w:spacing w:after="0" w:line="266" w:lineRule="auto"/>
        <w:tabs>
          <w:tab w:leader="none" w:pos="7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 Non-U.S. SpinCo Participants who participate in the Comcast Netherlands DC Plan shall be deemed to experience a termination of service with respect to the Comcast Netherlands DC Plan and such Non-U.S. SpinCo Participants’ account balances shall be treated in accordance with the terms of the Comcast Netherlands DC Plan; and</w:t>
      </w:r>
    </w:p>
    <w:p>
      <w:pPr>
        <w:spacing w:after="0" w:line="67" w:lineRule="exact"/>
        <w:rPr>
          <w:rFonts w:ascii="Times New Roman" w:cs="Times New Roman" w:eastAsia="Times New Roman" w:hAnsi="Times New Roman"/>
          <w:sz w:val="18"/>
          <w:szCs w:val="18"/>
          <w:color w:val="auto"/>
        </w:rPr>
      </w:pPr>
    </w:p>
    <w:p>
      <w:pPr>
        <w:ind w:right="80" w:firstLine="419"/>
        <w:spacing w:after="0" w:line="255" w:lineRule="auto"/>
        <w:tabs>
          <w:tab w:leader="none" w:pos="7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Benefits Commencement Date, Non-U.S. SpinCo Participants who participate in the Comcast UK DC Plan shall be given the opportunity to transfer account balances under the Comcast UK DC Plan, effective as of or as soon as practicable following the Benefits Commencement Date, to the applicable Non-U.S. SpinCo Defined Contribution Plan that is sponsored and maintained for the benefit of SpinCo Participants who are based in the United Kingdom (the “</w:t>
      </w:r>
      <w:r>
        <w:rPr>
          <w:rFonts w:ascii="Times New Roman" w:cs="Times New Roman" w:eastAsia="Times New Roman" w:hAnsi="Times New Roman"/>
          <w:sz w:val="18"/>
          <w:szCs w:val="18"/>
          <w:b w:val="1"/>
          <w:bCs w:val="1"/>
          <w:color w:val="auto"/>
        </w:rPr>
        <w:t>SpinCo UK DC Plan</w:t>
      </w:r>
      <w:r>
        <w:rPr>
          <w:rFonts w:ascii="Times New Roman" w:cs="Times New Roman" w:eastAsia="Times New Roman" w:hAnsi="Times New Roman"/>
          <w:sz w:val="18"/>
          <w:szCs w:val="18"/>
          <w:color w:val="auto"/>
        </w:rPr>
        <w:t xml:space="preserve">”) in accordance with, and subject to, the terms of the Comcast UK DC Plan and the SpinCo UK DC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Non-U.S. SpinCo Participants do not elect to transfer assets held in the Comcast UK DC Plan to the SpinCo UK DC Plan, such assets will remain in the Comcast UK DC Plan and shall constitute Comcast Retained Employee Liabilities.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31" w:name="page32"/>
    <w:bookmarkEnd w:id="31"/>
    <w:p>
      <w:pPr>
        <w:ind w:right="40" w:firstLine="436"/>
        <w:spacing w:after="0" w:line="266"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generality of Section 5.02(a), from and after the Distribution Date, subject to Applicable Law, the Comcast Group shall have no further Liability in respect of any Non-U.S. SpinCo Participant’s participation in any Non-U.S. Defined Contribution Plan and no such Liability shall be treated as a Comcast Retained Employee Liability.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Non-Qualified Retirement Plans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80" w:hanging="24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312" w:lineRule="auto"/>
        <w:tabs>
          <w:tab w:leader="none" w:pos="107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member of the Comcast Group shall be responsible for the administration of each of the NBCU Media Supplemental Pension Plan and the NBCU Media Defined Contribution Supplemental Executive Retirement Plan (collectively, the “</w:t>
      </w:r>
      <w:r>
        <w:rPr>
          <w:rFonts w:ascii="Times New Roman" w:cs="Times New Roman" w:eastAsia="Times New Roman" w:hAnsi="Times New Roman"/>
          <w:sz w:val="17"/>
          <w:szCs w:val="17"/>
          <w:b w:val="1"/>
          <w:bCs w:val="1"/>
          <w:color w:val="auto"/>
        </w:rPr>
        <w:t>NBCU SERPs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440" w:right="240" w:firstLine="419"/>
        <w:spacing w:after="0" w:line="266"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Comcast Group shall be responsible for taking all necessary, reasonable and appropriate actions to maintain and administer the NBCU SERPs, and no member of the SpinCo Group shall have any administration obligation with respect to the participation in the NBCU SERPs by the SpinCo Participants except as set forth in Section 5.03(c); and</w:t>
      </w:r>
    </w:p>
    <w:p>
      <w:pPr>
        <w:spacing w:after="0" w:line="67" w:lineRule="exact"/>
        <w:rPr>
          <w:rFonts w:ascii="Times New Roman" w:cs="Times New Roman" w:eastAsia="Times New Roman" w:hAnsi="Times New Roman"/>
          <w:sz w:val="18"/>
          <w:szCs w:val="18"/>
          <w:color w:val="auto"/>
        </w:rPr>
      </w:pPr>
    </w:p>
    <w:p>
      <w:pPr>
        <w:jc w:val="both"/>
        <w:ind w:left="440" w:right="500" w:firstLine="419"/>
        <w:spacing w:after="0" w:line="266" w:lineRule="auto"/>
        <w:tabs>
          <w:tab w:leader="none" w:pos="11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Participants shall continue to be eligible to vest in benefits in respect of the NBCU SERPs, and each SpinCo Participant’s service to any member of the SpinCo Group shall be considered as service to the applicable member of the Comcast Group in respect of the applicable vesting provisions of the NBCU SERPs.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the applicable member of the Comcast Group shall be responsible for the administration of, and</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payable to General Electric Company in respect of, the General Electric Pension Plan (the “</w:t>
      </w:r>
      <w:r>
        <w:rPr>
          <w:rFonts w:ascii="Times New Roman" w:cs="Times New Roman" w:eastAsia="Times New Roman" w:hAnsi="Times New Roman"/>
          <w:sz w:val="18"/>
          <w:szCs w:val="18"/>
          <w:b w:val="1"/>
          <w:bCs w:val="1"/>
          <w:color w:val="auto"/>
        </w:rPr>
        <w:t>GE Pension Plan</w:t>
      </w:r>
      <w:r>
        <w:rPr>
          <w:rFonts w:ascii="Times New Roman" w:cs="Times New Roman" w:eastAsia="Times New Roman" w:hAnsi="Times New Roman"/>
          <w:sz w:val="18"/>
          <w:szCs w:val="18"/>
          <w:color w:val="auto"/>
        </w:rPr>
        <w:t>”). SpinCo shall reimburse the applicable member of the Comcast Group for the portion of such reimbursement payment or other expenses attributable to any SpinCo Participants in respect of the GE Pension Plan. A member of the Comcast Group shall be responsible for taking all necessary, reasonable and appropriate actions to maintain and administer the GE Pension Plan, and no member of the SpinCo Group shall have any administration obligation with respect to the participation in the GE Pension Plan by the SpinCo Participants except as set forth in Section 5.03(c).</w:t>
      </w:r>
    </w:p>
    <w:p>
      <w:pPr>
        <w:spacing w:after="0" w:line="186"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the Parties shall reasonably cooperate in good faith to effect the provisions of this Section 5.03, including with respect to the administration of benefits under the NBCU SERPs and GE Pension Plan. Without limiting the generality of the foregoing, SpinCo shall provide Comcast with timely information as to (i) the date on which the employment or service with the SpinCo Group of any SpinCo Participant who is a participant in the NBCU SERPs or GE Pension Plan terminates and (ii) the circumstances under which any such SpinCo Participant’s employment or service with the SpinCo Group terminates (i.e., whether such termination was for “cause,” with “good reason” or due to death or “disability”).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2" w:name="page33"/>
    <w:bookmarkEnd w:id="32"/>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5.04. </w:t>
      </w:r>
      <w:r>
        <w:rPr>
          <w:rFonts w:ascii="Times New Roman" w:cs="Times New Roman" w:eastAsia="Times New Roman" w:hAnsi="Times New Roman"/>
          <w:sz w:val="18"/>
          <w:szCs w:val="18"/>
          <w:i w:val="1"/>
          <w:iCs w:val="1"/>
          <w:color w:val="auto"/>
        </w:rPr>
        <w:t>Retiree Health Care Benefits</w:t>
      </w:r>
      <w:r>
        <w:rPr>
          <w:rFonts w:ascii="Times New Roman" w:cs="Times New Roman" w:eastAsia="Times New Roman" w:hAnsi="Times New Roman"/>
          <w:sz w:val="18"/>
          <w:szCs w:val="18"/>
          <w:color w:val="auto"/>
        </w:rPr>
        <w:t>. Effective as of the Distribution Date, service credit accruals under the Comcast NBCUniversal Post-Retirement Health Care &amp; Retiree Reimbursement Account Program (the “</w:t>
      </w:r>
      <w:r>
        <w:rPr>
          <w:rFonts w:ascii="Times New Roman" w:cs="Times New Roman" w:eastAsia="Times New Roman" w:hAnsi="Times New Roman"/>
          <w:sz w:val="18"/>
          <w:szCs w:val="18"/>
          <w:b w:val="1"/>
          <w:bCs w:val="1"/>
          <w:color w:val="auto"/>
        </w:rPr>
        <w:t>Comcast RRA</w:t>
      </w:r>
      <w:r>
        <w:rPr>
          <w:rFonts w:ascii="Times New Roman" w:cs="Times New Roman" w:eastAsia="Times New Roman" w:hAnsi="Times New Roman"/>
          <w:sz w:val="18"/>
          <w:szCs w:val="18"/>
          <w:color w:val="auto"/>
        </w:rPr>
        <w:t>”) shall be frozen for each SpinCo Employee. Notwithstanding the foregoing, SpinCo Employees shall be permitted to satisfy retirement eligibility requirements under the Comcast RRA following the Distribution Date (based on attaining the age requirements under the Comcast RRA following the Distribution Date at the time of his or her termination of employment with the SpinCo Group and subject to the satisfaction of the service requirements on or before the Distribution Date) and may claim such Comcast RRA benefit to the extent that (i) such SpinCo Employee is eligible to receive benefits under the terms of the Comcast RRA as of the date of such SpinCo Employee’s retirement and (ii) such SpinCo Employee is employed by a member of the SpinCo Group as of the date of such SpinCo Employee’s retirement. From and after the Distribution Date, Comcast shall continue to administer the Comcast RRA, including making benefit payments to SpinCo Employees in accordance with the terms of the Comcast RRA and this Section 5.04. The applicable member of the SpinCo Group shall reimburse the applicable member of the Comcast Group the amount of the benefits paid to the SpinCo Employees from and after the Distribution Date, which such amounts shall constitute SpinCo Assumed Employee Liabilities. In the event any SpinCo Employee who is entitled to such Comcast RRA benefit in accordance with this Section 5.04 retires or terminates employment with the SpinCo Group, SpinCo shall promptly notify Comcast of such retirement or termination, as applicable, in accordance with the procedures set forth in Section 13.01.</w:t>
      </w:r>
    </w:p>
    <w:p>
      <w:pPr>
        <w:spacing w:after="0" w:line="187" w:lineRule="exact"/>
        <w:rPr>
          <w:sz w:val="20"/>
          <w:szCs w:val="20"/>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i w:val="1"/>
          <w:iCs w:val="1"/>
          <w:color w:val="auto"/>
        </w:rPr>
        <w:t>Leadership Life Plan.</w:t>
      </w:r>
      <w:r>
        <w:rPr>
          <w:rFonts w:ascii="Times New Roman" w:cs="Times New Roman" w:eastAsia="Times New Roman" w:hAnsi="Times New Roman"/>
          <w:sz w:val="17"/>
          <w:szCs w:val="17"/>
          <w:color w:val="auto"/>
        </w:rPr>
        <w:t xml:space="preserve"> The Parties acknowledge and agree that, prior to the Distribution Date, the applicable member of the Comcast Group has provided each SpinCo Participant who actively participates in the NBCU Media Leadership Life Plan (the “</w:t>
      </w:r>
      <w:r>
        <w:rPr>
          <w:rFonts w:ascii="Times New Roman" w:cs="Times New Roman" w:eastAsia="Times New Roman" w:hAnsi="Times New Roman"/>
          <w:sz w:val="17"/>
          <w:szCs w:val="17"/>
          <w:b w:val="1"/>
          <w:bCs w:val="1"/>
          <w:color w:val="auto"/>
        </w:rPr>
        <w:t>Leadership Life Plan</w:t>
      </w:r>
      <w:r>
        <w:rPr>
          <w:rFonts w:ascii="Times New Roman" w:cs="Times New Roman" w:eastAsia="Times New Roman" w:hAnsi="Times New Roman"/>
          <w:sz w:val="17"/>
          <w:szCs w:val="17"/>
          <w:color w:val="auto"/>
        </w:rPr>
        <w:t>”) the option, effective as of the Distribution Date, to either (i) continue participation in the Leadership Life Plan at such SpinCo Participant’s sole expense or</w:t>
      </w:r>
    </w:p>
    <w:p>
      <w:pPr>
        <w:spacing w:after="0" w:line="1" w:lineRule="exact"/>
        <w:rPr>
          <w:sz w:val="20"/>
          <w:szCs w:val="20"/>
          <w:color w:val="auto"/>
        </w:rPr>
      </w:pPr>
    </w:p>
    <w:p>
      <w:pPr>
        <w:ind w:left="4" w:right="100" w:hanging="4"/>
        <w:spacing w:after="0" w:line="255"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distribution of such SpinCo Participant’s account balance under the Leadership Life Plan, in each case in accordance with the terms of the Leadership Life Plan. From and after the Distribution Date, the Comcast Group shall have no further Liability in respect of any SpinCo Participant’s participation in the Leadership Life Plan, and any such Liability shall be treated as a SpinCo Assumed Employee Liability.</w:t>
      </w:r>
    </w:p>
    <w:p>
      <w:pPr>
        <w:spacing w:after="0" w:line="184"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Comcast Life Plan.</w:t>
      </w:r>
      <w:r>
        <w:rPr>
          <w:rFonts w:ascii="Times New Roman" w:cs="Times New Roman" w:eastAsia="Times New Roman" w:hAnsi="Times New Roman"/>
          <w:sz w:val="18"/>
          <w:szCs w:val="18"/>
          <w:color w:val="auto"/>
        </w:rPr>
        <w:t xml:space="preserve"> Effective no later than the Distribution Date, each SpinCo Participant’s participation in the Comcast Employee Term Life, Dependents Term Life and Accidental Death and Dismemberment Plans for Grandfathered Employees (the “</w:t>
      </w:r>
      <w:r>
        <w:rPr>
          <w:rFonts w:ascii="Times New Roman" w:cs="Times New Roman" w:eastAsia="Times New Roman" w:hAnsi="Times New Roman"/>
          <w:sz w:val="18"/>
          <w:szCs w:val="18"/>
          <w:b w:val="1"/>
          <w:bCs w:val="1"/>
          <w:color w:val="auto"/>
        </w:rPr>
        <w:t>Comcast Life Plan</w:t>
      </w:r>
      <w:r>
        <w:rPr>
          <w:rFonts w:ascii="Times New Roman" w:cs="Times New Roman" w:eastAsia="Times New Roman" w:hAnsi="Times New Roman"/>
          <w:sz w:val="18"/>
          <w:szCs w:val="18"/>
          <w:color w:val="auto"/>
        </w:rPr>
        <w:t>”) shall terminate in accordance with the terms of the Comcast Life Plan. From and after the Distribution Date, (i) all Liabilities relating to, arising out of or resulting from any SpinCo Participant’s participation in the Comcast Life Plan incurred prior to the Benefits Commencement Date shall remain Liabilities of the Comcast Group and shall be deemed to be Comcast Retained Employee Liabilities and (ii) all Liabilities relating to, arising out of or resulting from any SpinCo Participant’s participation in the Comcast Life Plan incurred on or after the Benefits Commencement Date shall be retained or assumed by the applicable member of the SpinCo Group and shall constitute SpinCo Assumed Employee Liabilities and no such Liability shall be treated as a Comcast Retained Employee Liability.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8" w:right="47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5.07. </w:t>
      </w:r>
      <w:r>
        <w:rPr>
          <w:rFonts w:ascii="Times New Roman" w:cs="Times New Roman" w:eastAsia="Times New Roman" w:hAnsi="Times New Roman"/>
          <w:sz w:val="18"/>
          <w:szCs w:val="18"/>
          <w:i w:val="1"/>
          <w:iCs w:val="1"/>
          <w:color w:val="auto"/>
        </w:rPr>
        <w:t>Comcast DC Plans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hanging="244"/>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w:t>
      </w:r>
    </w:p>
    <w:p>
      <w:pPr>
        <w:spacing w:after="0" w:line="117" w:lineRule="exact"/>
        <w:rPr>
          <w:rFonts w:ascii="Times New Roman" w:cs="Times New Roman" w:eastAsia="Times New Roman" w:hAnsi="Times New Roman"/>
          <w:sz w:val="18"/>
          <w:szCs w:val="18"/>
          <w:color w:val="auto"/>
        </w:rPr>
      </w:pPr>
    </w:p>
    <w:p>
      <w:pPr>
        <w:ind w:left="420" w:firstLine="419"/>
        <w:spacing w:after="0" w:line="272" w:lineRule="auto"/>
        <w:tabs>
          <w:tab w:leader="none" w:pos="105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this Section 5.07 and Section 7.01(c), each SpinCo Employee who participates in a Comcast DC Plan shall cease active participation in such applicable Comcast DC Plan and shall be deemed to be an “Inactive Participant” (as defined in the applicable Comcast DC Plan), including, for the avoidance of doubt, with respect to (A) the applicable crediting rate provisions of each such Comcast DC Plan and</w:t>
      </w:r>
    </w:p>
    <w:p>
      <w:pPr>
        <w:spacing w:after="0" w:line="1"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provisions relating to Subsequent Deferral Elections for Inactive Participants (each as defined in the applicable Comcast DC Plan);</w:t>
      </w:r>
    </w:p>
    <w:p>
      <w:pPr>
        <w:spacing w:after="0" w:line="98" w:lineRule="exact"/>
        <w:rPr>
          <w:rFonts w:ascii="Times New Roman" w:cs="Times New Roman" w:eastAsia="Times New Roman" w:hAnsi="Times New Roman"/>
          <w:sz w:val="17"/>
          <w:szCs w:val="17"/>
          <w:color w:val="auto"/>
        </w:rPr>
      </w:pPr>
    </w:p>
    <w:p>
      <w:pPr>
        <w:ind w:left="420" w:right="60" w:firstLine="419"/>
        <w:spacing w:after="0" w:line="266" w:lineRule="auto"/>
        <w:tabs>
          <w:tab w:leader="none" w:pos="11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deferral elections by SpinCo Employees in effect as of the Distribution Date in respect of deferral accounts under the Comcast DC Plans shall remain in effect in accordance with their terms (and there shall be no change to the timing of deferral payments) and deferred amounts shall otherwise remain subject to the existing terms and conditions of the Comcast DC Plans; and</w:t>
      </w:r>
    </w:p>
    <w:p>
      <w:pPr>
        <w:spacing w:after="0" w:line="67" w:lineRule="exact"/>
        <w:rPr>
          <w:rFonts w:ascii="Times New Roman" w:cs="Times New Roman" w:eastAsia="Times New Roman" w:hAnsi="Times New Roman"/>
          <w:sz w:val="18"/>
          <w:szCs w:val="18"/>
          <w:color w:val="auto"/>
        </w:rPr>
      </w:pPr>
    </w:p>
    <w:p>
      <w:pPr>
        <w:ind w:left="420" w:right="480" w:firstLine="419"/>
        <w:spacing w:after="0" w:line="312" w:lineRule="auto"/>
        <w:tabs>
          <w:tab w:leader="none" w:pos="115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accounts of SpinCo Employees maintained under the Comcast DC Plans as of the Distribution Date shall constitute a Comcast Retained Employee Liability and Comcast shall maintain all Liabilities and administration obligations in respect of the Comcast DC Plans.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Legacy and Select Deferred Compensation Plans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firstLine="436"/>
        <w:spacing w:after="0" w:line="253"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SpinCo or another member of the SpinCo Group will adopt (i) a SpinCo Deferred Compensation Plan for the benefit of eligible SpinCo Participants that has terms and features that are substantially similar to the Comcast Legacy Deferral Plans, except as may otherwise be mutually agreed between the Parties (such SpinCo Deferred Compensation Plan, the “</w:t>
      </w:r>
      <w:r>
        <w:rPr>
          <w:rFonts w:ascii="Times New Roman" w:cs="Times New Roman" w:eastAsia="Times New Roman" w:hAnsi="Times New Roman"/>
          <w:sz w:val="18"/>
          <w:szCs w:val="18"/>
          <w:b w:val="1"/>
          <w:bCs w:val="1"/>
          <w:color w:val="auto"/>
        </w:rPr>
        <w:t>SpinCo Legacy Mirror Plan</w:t>
      </w:r>
      <w:r>
        <w:rPr>
          <w:rFonts w:ascii="Times New Roman" w:cs="Times New Roman" w:eastAsia="Times New Roman" w:hAnsi="Times New Roman"/>
          <w:sz w:val="18"/>
          <w:szCs w:val="18"/>
          <w:color w:val="auto"/>
        </w:rPr>
        <w:t>”), and (ii) a SpinCo Deferred Compensation Plan for the benefit of eligible SpinCo Participants that has terms and features that are substantially similar to the Comcast Select Deferral Plans, except as may otherwise be mutually agreed between the Parties (such SpinCo Deferred Compensation Plan, the “</w:t>
      </w:r>
      <w:r>
        <w:rPr>
          <w:rFonts w:ascii="Times New Roman" w:cs="Times New Roman" w:eastAsia="Times New Roman" w:hAnsi="Times New Roman"/>
          <w:sz w:val="18"/>
          <w:szCs w:val="18"/>
          <w:b w:val="1"/>
          <w:bCs w:val="1"/>
          <w:color w:val="auto"/>
        </w:rPr>
        <w:t>SpinCo Select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Mirror Plan</w:t>
      </w:r>
      <w:r>
        <w:rPr>
          <w:rFonts w:ascii="Times New Roman" w:cs="Times New Roman" w:eastAsia="Times New Roman" w:hAnsi="Times New Roman"/>
          <w:sz w:val="18"/>
          <w:szCs w:val="18"/>
          <w:color w:val="auto"/>
        </w:rPr>
        <w:t>”). Unless otherwise determined by SpinCo, each of the SpinCo Legacy Mirror Plan and the SpinCo Select Mirror Plan shall be “frozen”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participants and, except as set forth in Section 7.01(c), no contributions shall be permitted under either such SpinCo Deferred Compensation Plan except for in respect of 2025 Cash Bonuses, which, for the avoidance of doubt, shall be contributed to each applicable eligible SpinCo Participant’s account under the SpinCo Select Mirror Plan. For the avoidance of doubt, neither the SpinCo Legacy Mirror Plan nor the SpinCo Select Mirror Plan shall be a funded plan, and neither SpinCo nor any member of the SpinCo Group shall have any obligation to set aside any funds for the purpose of making payments under the SpinCo Legacy Mirror Plan and the SpinCo Select Mirror Plan, unless otherwise determined in the discretion of SpinCo following the Distribution Date.</w:t>
      </w:r>
    </w:p>
    <w:p>
      <w:pPr>
        <w:spacing w:after="0" w:line="189"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(i) the SpinCo Legacy Mirror Plan shall assume all Liabilities under the Comcast Legacy Deferral Plan relating to SpinCo Participants whose account balances (whether vested or unvested) were transferred to the SpinCo Legacy Mirror Plan or the SpinCo Select Mirror Plan pursuant to Section 5.08(e) and (ii) the SpinCo Select Mirror Plan shall assume all Liabilities under the Comcast Select Deferral Plan relating to SpinCo Participants whose account balances (whether vested or unvested) were transferred to the SpinCo Legacy Mirror Plan or the SpinCo Select Mirror Plan pursuant to Section 5.08(e), in each case, including all account balances and associated Liabilities (including those in respect of contributions made pursuant to Section 7.01(c)) and excluding, in each case, with respect to any Delayed Transfer SpinCo Employee.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60" w:top="268" w:right="479" w:bottom="1440" w:gutter="0" w:footer="0" w:header="0"/>
        </w:sectPr>
      </w:pPr>
    </w:p>
    <w:bookmarkStart w:id="34" w:name="page35"/>
    <w:bookmarkEnd w:id="34"/>
    <w:p>
      <w:pPr>
        <w:ind w:left="680" w:hanging="24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as of the Distribution Date:</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07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SpinCo Participant who actively participates in either the Comcast Legacy Deferral Plans or the Comcast Select Deferral Plans immediately prior to the Distribution Date will cease active participation in the Comcast Legacy Deferral Plans and the Comcast Select Deferral Plans, as applicable;</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SpinCo Participant who was an active participant in the Comcast Legacy Deferral Plans prior to the Distribution Date will become eligible to participate in the SpinCo Legacy Mirror Plan as of the Distribution Date;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7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SpinCo Participant who was an active participant in the Comcast Select Deferral Plans prior to the Distribution Date will become eligible to participate the SpinCo Select Mirror Plan.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avoidance of doubt, on and following the Distribution Date, (A) all existing deferral elections by SpinCo Participants with respect to the timing of payments under Comcast Legacy Deferral Plans or the Comcast Select Deferral Plans, as applicable, shall remain in effect with respect to the SpinCo Legacy Deferral Plans or the SpinCo Select Deferral Plans, as applicable, until such time as a valid re-deferral election is made and (B) any SpinCo Participants who are inactive or former participants under the Comcast Legacy Deferral Plans or the Comcast Select Deferral Plans, as applicable, as of immediately prior to the Distribution Date will not become eligible to participate in the SpinCo Deferred Compensation Plans in accordance with this Section 5.08(c) (and, for the avoidance of doubt, will continue to participate in the Comcast Legacy Deferral Plans or the Comcast Select Deferral Plans, as applicable).</w:t>
      </w:r>
    </w:p>
    <w:p>
      <w:pPr>
        <w:spacing w:after="0" w:line="189" w:lineRule="exact"/>
        <w:rPr>
          <w:sz w:val="20"/>
          <w:szCs w:val="20"/>
          <w:color w:val="auto"/>
        </w:rPr>
      </w:pPr>
    </w:p>
    <w:p>
      <w:pPr>
        <w:ind w:right="180"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Benefits Commencement Date, the applicable member of the SpinCo Group shall be responsible for the administration of the SpinCo Legacy Mirror Plan and the SpinCo Select Mirror Plan and, except as set forth in Section 5.08(e), no member of the Comcast Group shall have any Liability or obligation (including any administration obligation) with respect to the SpinCo Legacy Mirror Plan or the SpinCo Select Mirror Plan. A member of the SpinCo Group shall be responsible for taking all necessary, reasonable and appropriate actions to establish, maintain and administer the SpinCo Legacy Mirror Plan and the SpinCo Select Mirror Plan.</w:t>
      </w:r>
    </w:p>
    <w:p>
      <w:pPr>
        <w:spacing w:after="0" w:line="183" w:lineRule="exact"/>
        <w:rPr>
          <w:rFonts w:ascii="Times New Roman" w:cs="Times New Roman" w:eastAsia="Times New Roman" w:hAnsi="Times New Roman"/>
          <w:sz w:val="18"/>
          <w:szCs w:val="18"/>
          <w:color w:val="auto"/>
        </w:rPr>
      </w:pPr>
    </w:p>
    <w:p>
      <w:pPr>
        <w:ind w:right="20" w:firstLine="436"/>
        <w:spacing w:after="0" w:line="255"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as soon as reasonably practicable following the Distribution Date (but not later than 180 days thereafter), the account balances (whether vested or unvested) of all SpinCo Participants (excluding any SpinCo Employee who has received notice that such SpinCo Employee’s employment will be terminated or any SpinCo NLR Employee) that are active participants in the Comcast Legacy Deferral Plan and Comcast Select Deferral Plan, as applicable, as of immediately prior to the Distribution Date and any associated Liabilities will be transferred from the Comcast Legacy Deferral Plan and Comcast Select Deferral Plan to the SpinCo Legacy Mirror Plan and the SpinCo Select Mirror Plan, respectively. For the avoidance of doubt, the account balances of any SpinCo Participants who are inactive or former participants under the Comcast Legacy Deferral Plan or Comcast Select Deferral Plan, as applicable, will not be transferred to the SpinCo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5" w:name="page36"/>
    <w:bookmarkEnd w:id="3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Legacy Mirror Plan and the SpinCo Select Mirror Plan pursuant to this Section 5.08(e) and will instead remain under the Comcast Legacy Deferral Plan or Comcast Select Deferral Plan, as applicable (and such inactive or former participants will not become eligible to participate in the SpinCo Legacy Mirror Plan or the SpinCo Select Mirror Plan in accordance with Section 5.08(c)). Effective as of and following the Distribution Date, Comcast and the Comcast Legacy Deferral Plan and Comcast Select Deferral Plan shall have no Liabilities with respect to, obligation to provide benefits under, or obligation to administer, the Comcast Legacy Deferral Plan and Comcast Select Deferral Plan following such transfer, in each case with respect to SpinCo Participants. Comcast shall use commercially reasonable efforts to limit to five Business Days the duration of any “blackout period” imposed in connection with each transfer of account balances from the Comcast Legacy Deferral Plans and Comcast Select Deferral Plans to the SpinCo Legacy Mirror Plan and the SpinCo Select Mirror Plan,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EALTH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ELFARE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ENEFIT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HARESAVE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INIMIS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EIMBURSEMENTS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AID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FF</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Health and Welfare Benefit Plans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6"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set forth in Section 6.03, (ii) with respect to any Comcast H&amp;W Plans maintained for the sole benefit of any Non-U.S. SpinCo Participants located in China or (iii) as may be otherwise mutually agreed between the Parties, effective as of 12:01 a.m., Eastern Time, on the Benefits Commencement Date, SpinCo or another member of the SpinCo Group shall provide all health and welfare benefits under SpinCo H&amp;W Plans to SpinCo Participants and, to the extent necessary, establish certain SpinCo H&amp;W Plans having terms and features (including benefit coverage options and employer contribution provisions) that are substantially similar to the terms and features of the corresponding Comcast H&amp;W Plans in which such SpinCo Participants participated prior to the Benefits Commencement Date.</w:t>
      </w:r>
    </w:p>
    <w:p>
      <w:pPr>
        <w:spacing w:after="0" w:line="187"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4.01, (i) effective as of the Benefits Commencement Date, SpinCo Participants shall cease to actively participate in the Comcast H&amp;W Plans, (ii) effective as of the Benefits Commencement Date, SpinCo shall cause SpinCo Participants to be enrolled in and covered by each SpinCo H&amp;W Plan in accordance with each SpinCo Participant’s participation elections and designations (including coverage and contribution elections and beneficiary designations, continuation coverage and conversion elections) made prior to the Benefits Commencement Date and (iii) SpinCo shall use reasonable best efforts to cause the SpinCo H&amp;W Plans to recognize all qualified medical child support orders and other orders issued by courts of competent jurisdiction in effect with respect to SpinCo Participants as of immediately prior to the Benefits Commencement Date under the corresponding Comcast H&amp;W Plan for the remainder of the period or periods for which such elections are by their terms applicable, subject to the terms of the applicable SpinCo H&amp;W Plan.</w:t>
      </w:r>
    </w:p>
    <w:p>
      <w:pPr>
        <w:spacing w:after="0" w:line="191" w:lineRule="exact"/>
        <w:rPr>
          <w:rFonts w:ascii="Times New Roman" w:cs="Times New Roman" w:eastAsia="Times New Roman" w:hAnsi="Times New Roman"/>
          <w:sz w:val="18"/>
          <w:szCs w:val="18"/>
          <w:color w:val="auto"/>
        </w:rPr>
      </w:pPr>
    </w:p>
    <w:p>
      <w:pPr>
        <w:ind w:right="160" w:firstLine="436"/>
        <w:spacing w:after="0" w:line="266"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SpinCo H&amp;W Plan and to the extent permitted by Applicable Law, SpinCo shall use its reasonable best efforts to (i) waive all limitations as to preexisting conditions, exclusions and waiting periods with respect to participation and coverage requirements applicable to SpinCo Participants under any SpinCo H&amp;W Plan in which any such SpinCo Participant may be eligible to participate 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6" w:name="page37"/>
    <w:bookmarkEnd w:id="3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after the Benefits Commencement Date to the extent that such conditions, exclusions and waiting periods are not applicable to or had been previously satisfied by any such SpinCo Participant under the corresponding Comcast H&amp;W Plans and (ii) credit SpinCo Participants under any applicable SpinCo H&amp;W Plan for any coinsurance or deductibles paid under any corresponding Comcast H&amp;W Plan prior to the date such SpinCo Participant becomes a participant in such applicable SpinCo H&amp;W Plan, if any, with respect to the calendar year in which such participation commences. Such credit, if any, shall be given for the purpose of satisfying any applicable coinsurance or deductible requirements under any of the applicable SpinCo H&amp;W Plans in which such SpinCo Participant is eligible to participate after the Benefits Commencement Date.</w:t>
      </w:r>
    </w:p>
    <w:p>
      <w:pPr>
        <w:spacing w:after="0" w:line="187" w:lineRule="exact"/>
        <w:rPr>
          <w:sz w:val="20"/>
          <w:szCs w:val="20"/>
          <w:color w:val="auto"/>
        </w:rPr>
      </w:pPr>
    </w:p>
    <w:p>
      <w:pPr>
        <w:ind w:right="80" w:firstLine="436"/>
        <w:spacing w:after="0" w:line="266"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transfer nor other movement of employment or service from any member of the Comcast Group to any member of the SpinCo Group or from any member of the SpinCo Group to the Comcast Group, as the case may be, at any time before the Benefits Commencement Date shall constitute or be treated as a “status change” under the Comcast H&amp;W Plans or the SpinCo H&amp;W Plans.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Health and Welfare Benefit Plan Claims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80" w:firstLine="436"/>
        <w:spacing w:after="0" w:line="258"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(i) all Liabilities relating to, arising out of or resulting from health and welfare coverage or claims incurred by any SpinCo Participant under the Comcast H&amp;W Plans shall remain Liabilities of the Comcast Group and shall be deemed to be Comcast Retained Employee Liabilities and (ii) all Liabilities relating to, arising out of or resulting from health and welfare coverage or claims incurred by any SpinCo Participant under the SpinCo H&amp;W Plans shall be Liabilities of the SpinCo Group, and no portion of such Liabilities shall be treated as a Comcast Retained Employee Liability.</w:t>
      </w:r>
    </w:p>
    <w:p>
      <w:pPr>
        <w:spacing w:after="0" w:line="183"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2.01 or Section 6.02(a), any long-term disability benefit Liabilities in respect of individuals who are SpinCo Inactive Employees and receiving long-term disability benefits under a Comcast H&amp;W Plan as of the Distribution Date shall be retained or assumed by the respective Comcast H&amp;W Plans and no portion of the Liability shall be treated as a SpinCo Assumed Employee Liability. For the avoidance of doubt, if a SpinCo Inactive Employee is on short-term disability as of the Distribution Date due to an event or condition that occurred prior to the Distribution Date, such SpinCo Inactive Employee shall remain a SpinCo Employee and, to the extent such SpinCo Employee subsequently becomes entitled to receive long-term disability benefits under the Comcast H&amp;W Plans as a result of such event or condition prior to returning to active service with the SpinCo Group, Comcast shall be required to provide such benefits under a Comcast H&amp;W Plan.</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6.02(a), (i) a medical, dental or vision benefit claim shall be “incurred” when the relevant service is provided or item purchased, (ii) life insurance, accidental death and dismemberment and business travel accident insurance claims shall be “incurred” upon the occurrence of the event giving rise to such claim and (iii) other benefit claims shall be “incurred” when any relevant benefit or payment is required to be provided or paid to the SpinCo Participant or Comcast Participant, as applicable, regardless of the time of the circumstance or event giving rise to such claims.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37" w:name="page38"/>
    <w:bookmarkEnd w:id="37"/>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6.03. </w:t>
      </w:r>
      <w:r>
        <w:rPr>
          <w:rFonts w:ascii="Times New Roman" w:cs="Times New Roman" w:eastAsia="Times New Roman" w:hAnsi="Times New Roman"/>
          <w:sz w:val="18"/>
          <w:szCs w:val="18"/>
          <w:i w:val="1"/>
          <w:iCs w:val="1"/>
          <w:color w:val="auto"/>
        </w:rPr>
        <w:t>Flexible Spending Accounts</w:t>
      </w:r>
      <w:r>
        <w:rPr>
          <w:rFonts w:ascii="Times New Roman" w:cs="Times New Roman" w:eastAsia="Times New Roman" w:hAnsi="Times New Roman"/>
          <w:sz w:val="18"/>
          <w:szCs w:val="18"/>
          <w:color w:val="auto"/>
        </w:rPr>
        <w:t>. As of the Benefits Commencement Date, each SpinCo Participant under the Comcast FSAs who has elected to participate therein in the year in which the Benefits Commencement Date occurs shall not be permitted to make additional contributions to the Comcast FSAs. Such SpinCo Participants will be permitted to submit claims to the applicable member of the Comcast Group with respect to eligible expenses under the Comcast FSAs through March 31, 2026 (or March 31 of the year following the Delayed Transfer Date, if applicable and to the extent permitted by the terms of the Comcast FSAs) after which date all the account balances of SpinCo Participants will be forfeited in accordance with the terms of the Comcast FSAs. For the avoidance of doubt, notwithstanding Section 6.01(a), SpinCo shall not be required to establish or designate flexible spending accounts for health and dependent care expenses under Sections 125 and 129 of the Code.</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Commuter Benefits.</w:t>
      </w:r>
      <w:r>
        <w:rPr>
          <w:rFonts w:ascii="Times New Roman" w:cs="Times New Roman" w:eastAsia="Times New Roman" w:hAnsi="Times New Roman"/>
          <w:sz w:val="18"/>
          <w:szCs w:val="18"/>
          <w:color w:val="auto"/>
        </w:rPr>
        <w:t xml:space="preserve"> As of the Distribution Date, each SpinCo Participant who has elected to participate in any commuter benefit plan sponsored and maintained by any member of the Comcast Group (the “</w:t>
      </w:r>
      <w:r>
        <w:rPr>
          <w:rFonts w:ascii="Times New Roman" w:cs="Times New Roman" w:eastAsia="Times New Roman" w:hAnsi="Times New Roman"/>
          <w:sz w:val="18"/>
          <w:szCs w:val="18"/>
          <w:b w:val="1"/>
          <w:bCs w:val="1"/>
          <w:color w:val="auto"/>
        </w:rPr>
        <w:t>Comcast Commuter Benefit Plans</w:t>
      </w:r>
      <w:r>
        <w:rPr>
          <w:rFonts w:ascii="Times New Roman" w:cs="Times New Roman" w:eastAsia="Times New Roman" w:hAnsi="Times New Roman"/>
          <w:sz w:val="18"/>
          <w:szCs w:val="18"/>
          <w:color w:val="auto"/>
        </w:rPr>
        <w:t>”) shall terminate participation in such Comcast Commuter Benefit Plan. The balances under the Comcast Commuter Benefit Plans, if any, shall remain outstanding and available for use by such SpinCo Participants in accordance with the terms of such Comcast Commuter Benefit Plans. For the avoidance of doubt, notwithstanding Section 6.01(a), SpinCo shall not be required to establish or designate any commuter benefit plan for the benefit of any SpinCo Participant.</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Workers’ Compensation Liabilities</w:t>
      </w:r>
      <w:r>
        <w:rPr>
          <w:rFonts w:ascii="Times New Roman" w:cs="Times New Roman" w:eastAsia="Times New Roman" w:hAnsi="Times New Roman"/>
          <w:sz w:val="18"/>
          <w:szCs w:val="18"/>
          <w:color w:val="auto"/>
        </w:rPr>
        <w:t>. Notwithstanding anything to the contrary in the Separation Agreement, from and after the Distribution Date, all workers’ compensation Liabilities relating to, arising out of or resulting from any claim by any SpinCo Participant that results from an accident or an occupational disease shall be assumed by SpinCo and shall constitute SpinCo Assumed Employee Liabilities. Without limiting the generality of the foregoing, to the extent any workers’ compensation claim relates to, arises out of or results from any act, circumstance, occurrence or incident that arises prior to the Distribution Date and relates to the SpinCo Business, and such claim is discovered after the Distribution Date but is potentially covered by a Comcast Insurance Policy written on an “occurrence” basis in effect prior to the Distribution Date, the provisions of Section 4.11(b) of the Separation Agreement shall apply to and govern the rights and obligations of the Parties with respect to such workers’ compensation claim.</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320" w:firstLine="436"/>
        <w:spacing w:after="0" w:line="266"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Group shall administer the Comcast Group’s compliance with the health care continuation coverage requirements of COBRA and the corresponding provisions of the Comcast H&amp;W Plans with respect to SpinCo Participants who incur a COBRA “qualifying event” occurring before the Benefits Commencement Date, and any Liabilities related thereto shall constitute Comcast Retained Employee Liabilities.</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be solely responsible for all Liabilities incurred pursuant to COBRA and for administering, at SpinCo’s expense, compliance with the health care continuation coverage requirements of COBRA and the corresponding provisions of the SpinCo H&amp;W Plans with respect to SpinCo Participants who incur a COBRA “qualifying event” that occurs at any time on or after the Benefits Commencement Date.</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and agree that neither the Contribution, the Distribution, nor any assignment, transfer or continuation of the employment of any employee prior to the Distribution Date as contemplated by this Agreement, the Separation Agreement or any other Ancillary Agreement shall constitute a COBRA “qualifying event” for any purpose of COBRA, and the Parties shall cooperate in good faith to give effect to such intent.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8" w:right="439" w:bottom="1440" w:gutter="0" w:footer="0" w:header="0"/>
        </w:sectPr>
      </w:pPr>
    </w:p>
    <w:bookmarkStart w:id="38" w:name="page39"/>
    <w:bookmarkEnd w:id="3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Times New Roman" w:cs="Times New Roman" w:eastAsia="Times New Roman" w:hAnsi="Times New Roman"/>
          <w:sz w:val="18"/>
          <w:szCs w:val="18"/>
          <w:i w:val="1"/>
          <w:iCs w:val="1"/>
          <w:color w:val="auto"/>
        </w:rPr>
        <w:t>Comcast Sharesave Plan</w:t>
      </w:r>
      <w:r>
        <w:rPr>
          <w:rFonts w:ascii="Times New Roman" w:cs="Times New Roman" w:eastAsia="Times New Roman" w:hAnsi="Times New Roman"/>
          <w:sz w:val="18"/>
          <w:szCs w:val="18"/>
          <w:color w:val="auto"/>
        </w:rPr>
        <w:t>. Notwithstanding the terms of the Comcast Corporation 2019 Omnibus Sharesave Plan or any sub-plans thereunder (together, the “</w:t>
      </w:r>
      <w:r>
        <w:rPr>
          <w:rFonts w:ascii="Times New Roman" w:cs="Times New Roman" w:eastAsia="Times New Roman" w:hAnsi="Times New Roman"/>
          <w:sz w:val="18"/>
          <w:szCs w:val="18"/>
          <w:b w:val="1"/>
          <w:bCs w:val="1"/>
          <w:color w:val="auto"/>
        </w:rPr>
        <w:t>Comcast SAYE</w:t>
      </w:r>
      <w:r>
        <w:rPr>
          <w:rFonts w:ascii="Times New Roman" w:cs="Times New Roman" w:eastAsia="Times New Roman" w:hAnsi="Times New Roman"/>
          <w:sz w:val="18"/>
          <w:szCs w:val="18"/>
          <w:color w:val="auto"/>
        </w:rPr>
        <w:t>”) and subject to Applicable Law, (i) each SpinCo Participant shall cease participation in the Comcast SAYE immediately following the close of business on the Distribution Date and (ii) notwithstanding anything to the contrary in Section 8.02, no adjustment to the purchase price of the options to acquire Comcast Class A Common Stock under the Comcast SAYE will be made in connection with or following the Distribution.</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De Minimis Fringe Benefits and Reimbursements.</w:t>
      </w:r>
      <w:r>
        <w:rPr>
          <w:rFonts w:ascii="Times New Roman" w:cs="Times New Roman" w:eastAsia="Times New Roman" w:hAnsi="Times New Roman"/>
          <w:sz w:val="18"/>
          <w:szCs w:val="18"/>
          <w:color w:val="auto"/>
        </w:rPr>
        <w:t xml:space="preserve"> Effective as of no later than the Benefits Commencement Date, SpinCo shall, or shall cause the applicable member of the SpinCo Group to, assume, and no member of the Comcast Group shall have any further obligation with respect to, any Liabilities in respect of fringe benefits or reimbursable expenses that are less than $25,000 (determined on a per item basis) incurred by or relating to any SpinCo Participant and are eligible for payment or reimbursement under any Comcast Plan or expense reimbursement policy or procedure, including, without limitation, short-term disability benefits payable in arrears, adoption assistance, tuition reimbursement, outplacement services or other similar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reimbursements payable to any SpinCo Participant in accordance with any Comcast Plan, in each case, (A) whether such expenses are incurred before, on or after the Benefits Commencement Date and (B) irrespective of which Person such Liabilities are asserted against or which Person such Liabilities attached to as a matter of Applicable Law or contract. For the avoidance of doubt, any such Liabilities shall be treated as SpinCo Assumed Employee Liabilities.</w:t>
      </w:r>
    </w:p>
    <w:p>
      <w:pPr>
        <w:spacing w:after="0" w:line="188" w:lineRule="exact"/>
        <w:rPr>
          <w:sz w:val="20"/>
          <w:szCs w:val="20"/>
          <w:color w:val="auto"/>
        </w:rPr>
      </w:pPr>
    </w:p>
    <w:p>
      <w:pPr>
        <w:ind w:right="2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Accrued Paid Time Off</w:t>
      </w:r>
      <w:r>
        <w:rPr>
          <w:rFonts w:ascii="Times New Roman" w:cs="Times New Roman" w:eastAsia="Times New Roman" w:hAnsi="Times New Roman"/>
          <w:sz w:val="18"/>
          <w:szCs w:val="18"/>
          <w:color w:val="auto"/>
        </w:rPr>
        <w:t>. The Comcast Group shall have no Liability in respect of any vacation, holiday, sick leave, paid time off, floating holidays, personal days and other paid time off with respect to SpinCo Participants that is accrued and unused as of the Distribution Date and any such Liability shall be treated as a SpinCo Assumed Employee Liability.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ASH</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OMPENSATION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ETENTION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ONUSES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Annual Cash Bonuses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5"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SpinCo Participant (including, for the avoidance of doubt, any Delayed Transfer SpinCo Employee) who was a participant in any Comcast Bonus Plans for calendar year 2025 will remain eligible to receive a cash bonus with respect to calendar year 2025 in accordance with the terms of the applicable Comcast Bonus Plan based on actual achievement of the applicable performance goals through the end of such performance year, as determined by the Comcast CHC Committee or the appropriate committee or delegate thereof in accordance with the terms of the applicable Comcast Bonus Plan (the “</w:t>
      </w:r>
      <w:r>
        <w:rPr>
          <w:rFonts w:ascii="Times New Roman" w:cs="Times New Roman" w:eastAsia="Times New Roman" w:hAnsi="Times New Roman"/>
          <w:sz w:val="18"/>
          <w:szCs w:val="18"/>
          <w:b w:val="1"/>
          <w:bCs w:val="1"/>
          <w:color w:val="auto"/>
        </w:rPr>
        <w:t>2025 Cash Bonuses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SpinCo compensation committee or the appropriate committee or delegate thereof shall provide Comcast with each SpinCo Participant’s individual bonus allocation in respect of 2025 Cash Bonuses (other than any SpinCo NLR Employee).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8" w:right="459" w:bottom="1440" w:gutter="0" w:footer="0" w:header="0"/>
        </w:sectPr>
      </w:pPr>
    </w:p>
    <w:bookmarkStart w:id="39" w:name="page40"/>
    <w:bookmarkEnd w:id="39"/>
    <w:p>
      <w:pPr>
        <w:ind w:left="-40" w:firstLine="436"/>
        <w:spacing w:after="0" w:line="254"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member of the Comcast Group shall pay to each SpinCo Participant such SpinCo Participant’s 2025 Cash Bonuses at such time as 2025 Cash Bonuses are generally paid to Comcast Participants and the aggregate amount of all 2025 Cash Bonuses payable to SpinCo Participants (plus the employer portion for any payroll, employment or similar taxes thereon) shall constitute a Comcast Retained Employee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requested by Comcast with respect to Non-U.S. SpinCo Participants, (i) a member of the SpinCo Group or a SpinCo EOR,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will distribute, through the payroll of the member of the SpinCo Group or SpinCo EOR, as applicable, 2025 Cash Bonus payments to the SpinCo Participants identified by Comcast and (ii) as soon as practicable following the date that such 2025 Cash Bonus is paid to the applicable SpinCo Participant, the applicable member of the Comcast Group will reimburse to the applicable member of the SpinCo Group or the applicable SpinCo EOR all amounts payable in respect of such 2025 Cash Bonus paid by the SpinCo Group, including all applicable withholdings.</w:t>
      </w:r>
    </w:p>
    <w:p>
      <w:pPr>
        <w:spacing w:after="0" w:line="191" w:lineRule="exact"/>
        <w:rPr>
          <w:rFonts w:ascii="Times New Roman" w:cs="Times New Roman" w:eastAsia="Times New Roman" w:hAnsi="Times New Roman"/>
          <w:sz w:val="18"/>
          <w:szCs w:val="18"/>
          <w:color w:val="auto"/>
        </w:rPr>
      </w:pPr>
    </w:p>
    <w:p>
      <w:pPr>
        <w:ind w:left="-40" w:right="140" w:firstLine="436"/>
        <w:spacing w:after="0" w:line="261" w:lineRule="auto"/>
        <w:tabs>
          <w:tab w:leader="none" w:pos="6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2025 Cash Bonuses shall be eligible for deferral by each SpinCo Participant under any Comcast Deferred Compensation Plan (or, if applicable, the SpinCo Select Mirror Plan) in which such SpinCo Participant is an active participant as of the Distribution Date in accordance with, and subject to the terms and conditions of, the applicable Comcast Deferred Compensation Plan and any applicable deferral election in effect thereunder.</w:t>
      </w:r>
    </w:p>
    <w:p>
      <w:pPr>
        <w:spacing w:after="0" w:line="179" w:lineRule="exact"/>
        <w:rPr>
          <w:rFonts w:ascii="Times New Roman" w:cs="Times New Roman" w:eastAsia="Times New Roman" w:hAnsi="Times New Roman"/>
          <w:sz w:val="18"/>
          <w:szCs w:val="18"/>
          <w:color w:val="auto"/>
        </w:rPr>
      </w:pPr>
    </w:p>
    <w:p>
      <w:pPr>
        <w:ind w:left="-40" w:right="260" w:firstLine="436"/>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cash bonuses for SpinCo Participants in respect of calendar year 2026 will be the sole responsibility of SpinCo and Comcast shall have no Liability with respect to such bonuses.</w:t>
      </w:r>
    </w:p>
    <w:p>
      <w:pPr>
        <w:spacing w:after="0" w:line="161" w:lineRule="exact"/>
        <w:rPr>
          <w:rFonts w:ascii="Times New Roman" w:cs="Times New Roman" w:eastAsia="Times New Roman" w:hAnsi="Times New Roman"/>
          <w:sz w:val="18"/>
          <w:szCs w:val="18"/>
          <w:color w:val="auto"/>
        </w:rPr>
      </w:pPr>
    </w:p>
    <w:p>
      <w:pPr>
        <w:ind w:left="-40" w:right="60" w:firstLine="436"/>
        <w:spacing w:after="0" w:line="261" w:lineRule="auto"/>
        <w:tabs>
          <w:tab w:leader="none" w:pos="6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Comcast 401(k) Plans, the Comcast ESPP or the Comcast SAYE, none of the 2025 Cash Bonuses or the Accrued Commissions payable to SpinCo Participants (other than Former SpinCo Employees and Delayed Transfer SpinCo Employees, as applicable) shall be eligible for deferral or contribution under the Comcast 401(k) Plans or the Comcast SAYE or contributed to any SpinCo Participant’s Account pursuant to a Payroll Deduction (each as defined in the Comcast ESPP) under the Comcast ESPP.</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Advertisement Sales Commission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0" w:right="40" w:firstLine="436"/>
        <w:spacing w:after="0" w:line="254" w:lineRule="auto"/>
        <w:tabs>
          <w:tab w:leader="none" w:pos="6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 other than as set forth in Section 7.02(b) and notwithstanding anything to the contrary in any sales incentive and commission plans maintained by any member of the Comcast Group (the “</w:t>
      </w:r>
      <w:r>
        <w:rPr>
          <w:rFonts w:ascii="Times New Roman" w:cs="Times New Roman" w:eastAsia="Times New Roman" w:hAnsi="Times New Roman"/>
          <w:sz w:val="18"/>
          <w:szCs w:val="18"/>
          <w:b w:val="1"/>
          <w:bCs w:val="1"/>
          <w:color w:val="auto"/>
        </w:rPr>
        <w:t>SIC Plans</w:t>
      </w:r>
      <w:r>
        <w:rPr>
          <w:rFonts w:ascii="Times New Roman" w:cs="Times New Roman" w:eastAsia="Times New Roman" w:hAnsi="Times New Roman"/>
          <w:sz w:val="18"/>
          <w:szCs w:val="18"/>
          <w:color w:val="auto"/>
        </w:rPr>
        <w:t>”), all unpaid commissions earned or accrued under the SIC Plans (plus the employer portion for any payroll, employment or similar taxes thereon) (the “</w:t>
      </w:r>
      <w:r>
        <w:rPr>
          <w:rFonts w:ascii="Times New Roman" w:cs="Times New Roman" w:eastAsia="Times New Roman" w:hAnsi="Times New Roman"/>
          <w:sz w:val="18"/>
          <w:szCs w:val="18"/>
          <w:b w:val="1"/>
          <w:bCs w:val="1"/>
          <w:color w:val="auto"/>
        </w:rPr>
        <w:t>Accrued Commissions</w:t>
      </w:r>
      <w:r>
        <w:rPr>
          <w:rFonts w:ascii="Times New Roman" w:cs="Times New Roman" w:eastAsia="Times New Roman" w:hAnsi="Times New Roman"/>
          <w:sz w:val="18"/>
          <w:szCs w:val="18"/>
          <w:color w:val="auto"/>
        </w:rPr>
        <w:t xml:space="preserve">”) shall constitute a Comcast Retained Employee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requested by Comcast with respect to Non-U.S. SpinCo Participants, (i) a member of the SpinCo Group or a SpinCo EOR, as applicable, will distribute, through the payroll of the member of the SpinCo Group or SpinCo EOR, as applicable, Accrued Commissions payments to the SpinCo Participants identified by Comcast and (ii) as soon as practicable following the date that such Accrued Commissions are paid to the applicable SpinCo Participant, the applicable member of the Comcast Group will reimburse to the applicable member of the SpinCo Group or the applicable SpinCo EOR all amounts payable in respect of such Accrued Commissions paid by the SpinCo Group, including all applicable withholdings.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480" w:top="270" w:right="479" w:bottom="1440" w:gutter="0" w:footer="0" w:header="0"/>
        </w:sectPr>
      </w:pPr>
    </w:p>
    <w:bookmarkStart w:id="40" w:name="page41"/>
    <w:bookmarkEnd w:id="40"/>
    <w:p>
      <w:pPr>
        <w:ind w:right="40" w:firstLine="436"/>
        <w:spacing w:after="0" w:line="266"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the Accrued Commissions shall be eligible for deferral by each SpinCo Participant under any Comcast Deferred Compensation Plan in which such SpinCo Participant is an active participant as of the Distribution Date in accordance with, and subject to the terms and conditions of, the applicable Comcast Deferred Compensation Plan and any applicable deferral election in effect thereunder.</w:t>
      </w:r>
    </w:p>
    <w:p>
      <w:pPr>
        <w:spacing w:after="0" w:line="17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Retention Bonuses.</w:t>
      </w:r>
      <w:r>
        <w:rPr>
          <w:rFonts w:ascii="Times New Roman" w:cs="Times New Roman" w:eastAsia="Times New Roman" w:hAnsi="Times New Roman"/>
          <w:sz w:val="18"/>
          <w:szCs w:val="18"/>
          <w:color w:val="auto"/>
        </w:rPr>
        <w:t xml:space="preserve"> Each cash award that is subject to time-based vesting conditions (such awards, the “</w:t>
      </w:r>
      <w:r>
        <w:rPr>
          <w:rFonts w:ascii="Times New Roman" w:cs="Times New Roman" w:eastAsia="Times New Roman" w:hAnsi="Times New Roman"/>
          <w:sz w:val="18"/>
          <w:szCs w:val="18"/>
          <w:b w:val="1"/>
          <w:bCs w:val="1"/>
          <w:color w:val="auto"/>
        </w:rPr>
        <w:t>Comcast Retention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Bonuses</w:t>
      </w:r>
      <w:r>
        <w:rPr>
          <w:rFonts w:ascii="Times New Roman" w:cs="Times New Roman" w:eastAsia="Times New Roman" w:hAnsi="Times New Roman"/>
          <w:sz w:val="18"/>
          <w:szCs w:val="18"/>
          <w:color w:val="auto"/>
        </w:rPr>
        <w:t>”) that is outstanding as of the Distribution Date held by any SpinCo Participant, together with the employer portion of any payroll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associated therewith, shall constitute a Comcast Retained Employee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Comcast Retention Bonuses payable to any SpinCo Participant on or after the Distribution Date shall be paid by the applicable member of the SpinCo Group at such time as Comcast Retention Bonuses are normally paid in accordance with their existing terms by the applicable member of the Comcast Group.</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REATMENT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UTSTANDING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QUITY</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WARDS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680" w:hanging="244"/>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Distribution, on the Distribution Date:</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0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8.01(a)(iii), each Comcast RSU (whether vested or unvested) that is (A) outstanding as of immediately prior to the Distribution and (B) held by a SpinCo Participant (other than a Former SpinCo Employee) shall be converted into an award of time-based restricted share units with respect to SpinCo Class A Common Stock (“</w:t>
      </w:r>
      <w:r>
        <w:rPr>
          <w:rFonts w:ascii="Times New Roman" w:cs="Times New Roman" w:eastAsia="Times New Roman" w:hAnsi="Times New Roman"/>
          <w:sz w:val="18"/>
          <w:szCs w:val="18"/>
          <w:b w:val="1"/>
          <w:bCs w:val="1"/>
          <w:color w:val="auto"/>
        </w:rPr>
        <w:t>SpinCo RSUs</w:t>
      </w:r>
      <w:r>
        <w:rPr>
          <w:rFonts w:ascii="Times New Roman" w:cs="Times New Roman" w:eastAsia="Times New Roman" w:hAnsi="Times New Roman"/>
          <w:sz w:val="18"/>
          <w:szCs w:val="18"/>
          <w:color w:val="auto"/>
        </w:rPr>
        <w:t xml:space="preserve">”), with the number of shares of SpinCo Class A Common Stock subject to such SpinCo RSU being determined by multiplying (1) the number of shares of Comcast Class A Common Stock subject to the corresponding Comcast RSU immediately prior to the Distribution by (2) the SpinCo Concentration Ratio, rounded down to the nearest whole share of SpinCo Class A Common Stock, and each such SpinCo RSU shall otherwise remain subject to the same terms and conditions (including vesting and payment schedules) as applied to the corresponding Comcast RSU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such SpinCo RSUs shall constitute SpinCo Assumed Employee Liabilities;</w:t>
      </w:r>
    </w:p>
    <w:p>
      <w:pPr>
        <w:spacing w:after="0" w:line="83" w:lineRule="exact"/>
        <w:rPr>
          <w:rFonts w:ascii="Times New Roman" w:cs="Times New Roman" w:eastAsia="Times New Roman" w:hAnsi="Times New Roman"/>
          <w:sz w:val="18"/>
          <w:szCs w:val="18"/>
          <w:color w:val="auto"/>
        </w:rPr>
      </w:pPr>
    </w:p>
    <w:p>
      <w:pPr>
        <w:ind w:left="440" w:right="60" w:firstLine="419"/>
        <w:spacing w:after="0" w:line="272" w:lineRule="auto"/>
        <w:tabs>
          <w:tab w:leader="none" w:pos="112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Comcast RSU (whether vested or unvested) that is (A) outstanding as of immediately prior to the Distribution and (B) held by a Comcast Participant or Former SpinCo Employee shall be converted into an award of adjusted Comcast RSUs (the “</w:t>
      </w:r>
      <w:r>
        <w:rPr>
          <w:rFonts w:ascii="Times New Roman" w:cs="Times New Roman" w:eastAsia="Times New Roman" w:hAnsi="Times New Roman"/>
          <w:sz w:val="17"/>
          <w:szCs w:val="17"/>
          <w:b w:val="1"/>
          <w:bCs w:val="1"/>
          <w:color w:val="auto"/>
        </w:rPr>
        <w:t>Adjusted Comcast RSUs</w:t>
      </w:r>
      <w:r>
        <w:rPr>
          <w:rFonts w:ascii="Times New Roman" w:cs="Times New Roman" w:eastAsia="Times New Roman" w:hAnsi="Times New Roman"/>
          <w:sz w:val="17"/>
          <w:szCs w:val="17"/>
          <w:color w:val="auto"/>
        </w:rPr>
        <w:t>”), with the number of shares of Comcast Class A Common Stock subject to such Adjusted Comcast RSU being determined by multiplying (1) the number of shares of Comcast Class A Common Stock subject to the corresponding Comcast RSU immediately prior to the Distribution by (2) the Comcast Concentration Ratio, rounded down to the nearest whole share of Comcast Class A Common Stock (the “</w:t>
      </w:r>
      <w:r>
        <w:rPr>
          <w:rFonts w:ascii="Times New Roman" w:cs="Times New Roman" w:eastAsia="Times New Roman" w:hAnsi="Times New Roman"/>
          <w:sz w:val="17"/>
          <w:szCs w:val="17"/>
          <w:b w:val="1"/>
          <w:bCs w:val="1"/>
          <w:color w:val="auto"/>
        </w:rPr>
        <w:t>Comcast RSU Adjustment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Formula</w:t>
      </w:r>
      <w:r>
        <w:rPr>
          <w:rFonts w:ascii="Times New Roman" w:cs="Times New Roman" w:eastAsia="Times New Roman" w:hAnsi="Times New Roman"/>
          <w:sz w:val="17"/>
          <w:szCs w:val="17"/>
          <w:color w:val="auto"/>
        </w:rPr>
        <w:t>”), and each such Adjusted Comcast RSU shall otherwise remain subject to the same terms and conditions (including vesting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schedules and, if applicable, deferral elections) as applied to the corresponding Comcast RSU as of immediately prior to the Distribution (taking into account any adjustment of performance goals for any Comcast RSU that is subject to performance-vesting conditions);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1" w:name="page42"/>
    <w:bookmarkEnd w:id="41"/>
    <w:p>
      <w:pPr>
        <w:ind w:left="1160" w:hanging="321"/>
        <w:spacing w:after="0"/>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Comcast RSU that is (A) outstanding as of immediately prior to the Distribution, (B) held by a SpinCo Participant and (C) either</w:t>
      </w:r>
    </w:p>
    <w:p>
      <w:pPr>
        <w:spacing w:after="0" w:line="2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be settled into shares of Comcast Class A Common Stock in the period between the Distribution Date and March 3, 2026 or</w:t>
      </w:r>
    </w:p>
    <w:p>
      <w:pPr>
        <w:spacing w:after="0" w:line="9" w:lineRule="exact"/>
        <w:rPr>
          <w:rFonts w:ascii="Times New Roman" w:cs="Times New Roman" w:eastAsia="Times New Roman" w:hAnsi="Times New Roman"/>
          <w:sz w:val="18"/>
          <w:szCs w:val="18"/>
          <w:color w:val="auto"/>
        </w:rPr>
      </w:pPr>
    </w:p>
    <w:p>
      <w:pPr>
        <w:ind w:left="420" w:hanging="4"/>
        <w:spacing w:after="0" w:line="253" w:lineRule="auto"/>
        <w:tabs>
          <w:tab w:leader="none" w:pos="6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 valid deferral election (the “</w:t>
      </w:r>
      <w:r>
        <w:rPr>
          <w:rFonts w:ascii="Times New Roman" w:cs="Times New Roman" w:eastAsia="Times New Roman" w:hAnsi="Times New Roman"/>
          <w:sz w:val="18"/>
          <w:szCs w:val="18"/>
          <w:b w:val="1"/>
          <w:bCs w:val="1"/>
          <w:color w:val="auto"/>
        </w:rPr>
        <w:t>Excluded RSUs</w:t>
      </w:r>
      <w:r>
        <w:rPr>
          <w:rFonts w:ascii="Times New Roman" w:cs="Times New Roman" w:eastAsia="Times New Roman" w:hAnsi="Times New Roman"/>
          <w:sz w:val="18"/>
          <w:szCs w:val="18"/>
          <w:color w:val="auto"/>
        </w:rPr>
        <w:t xml:space="preserve">”) shall be converted into an award of Adjusted Comcast RSUs in accordance with the Comcast RSU Adjustment Formula, and each such Adjusted Comcast RSU shall otherwise remain subject to the same terms and conditions (including vesting and payment schedules and, if applicable, deferral elections) as applied to the corresponding Comcast RSU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service provided to the SpinCo Group by a SpinCo Participant following the Distribution Date shall count for purposes of satisfying the service-based vesting conditions with respect to such Adjusted Comcast RSUs.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right="40" w:firstLine="436"/>
        <w:spacing w:after="0" w:line="253" w:lineRule="auto"/>
        <w:tabs>
          <w:tab w:leader="none" w:pos="6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Distribution, on the Distribution Date, each Comcast Option that is or was previously subject only to time-vesting conditions that is outstanding and unexercised as of immediately prior to the Distribution (whether vested or unvested and whether held by a SpinCo Participant or a Comcast Participant) shall become an “</w:t>
      </w:r>
      <w:r>
        <w:rPr>
          <w:rFonts w:ascii="Times New Roman" w:cs="Times New Roman" w:eastAsia="Times New Roman" w:hAnsi="Times New Roman"/>
          <w:sz w:val="18"/>
          <w:szCs w:val="18"/>
          <w:b w:val="1"/>
          <w:bCs w:val="1"/>
          <w:color w:val="auto"/>
        </w:rPr>
        <w:t>Adjusted Comcast Option</w:t>
      </w:r>
      <w:r>
        <w:rPr>
          <w:rFonts w:ascii="Times New Roman" w:cs="Times New Roman" w:eastAsia="Times New Roman" w:hAnsi="Times New Roman"/>
          <w:sz w:val="18"/>
          <w:szCs w:val="18"/>
          <w:color w:val="auto"/>
        </w:rPr>
        <w:t xml:space="preserve">.” The number of shares of Comcast Class A Common Stock subject to such Adjusted Comcast Option shall be determined by multiplying (i) the number of shares of Comcast Class A Common Stock subject to such Comcast Option as of immediately prior to the Distribution by (ii) the Comcast Concentration Ratio, rounded down to the nearest whole share. The exercise price per share applicable to such Adjusted Comcast Option shall be determined by dividing (1) the exercise price per share applicable to the corresponding Comcast Option as of immediately prior to the Distribution by (2) the Comcast Concentration Ratio, rounded up to the nearest whole cent. Each such Adjusted Comcast Option shall otherwise remain subject to the same terms and conditions (including vesting, exercise schedules, forfeiture and post-termination vesting and exercise periods) as applicable to the corresponding Comcast Option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service provided to the SpinCo Group by a SpinCo Participant following the Distribution Date shall count for purposes of satisfying the service-based vesting conditions with respect to such Adjusted Comcast Option.</w:t>
      </w:r>
    </w:p>
    <w:p>
      <w:pPr>
        <w:spacing w:after="0" w:line="191" w:lineRule="exact"/>
        <w:rPr>
          <w:rFonts w:ascii="Times New Roman" w:cs="Times New Roman" w:eastAsia="Times New Roman" w:hAnsi="Times New Roman"/>
          <w:sz w:val="18"/>
          <w:szCs w:val="18"/>
          <w:color w:val="auto"/>
        </w:rPr>
      </w:pPr>
    </w:p>
    <w:p>
      <w:pPr>
        <w:ind w:left="-20" w:right="140" w:firstLine="436"/>
        <w:spacing w:after="0" w:line="256" w:lineRule="auto"/>
        <w:tabs>
          <w:tab w:leader="none" w:pos="6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the SpinCo Group shall cooperate with Comcast in order to effectuate the provisions of Section 8.02(a), including by providing Comcast with timely information as to (i) the date on which any SpinCo Participant’s employment or service with the SpinCo Group terminates, (ii) the circumstances under which any SpinCo Participant’s employment or service with the SpinCo Group terminates (i.e., whether such termination was for “cause,” with “good reason,” or due to death or “disability” (as each such term is defined in the applicable award agreement)) and (iii) any action or inaction by a SpinCo Participant following such termination or employment or service pursuant to which Comcast would, pursuant to the terms of the applicable award agreement, be entitled to cause the forfeiture of a Comcast Option.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60" w:top="270" w:right="459" w:bottom="1440" w:gutter="0" w:footer="0" w:header="0"/>
        </w:sectPr>
      </w:pPr>
    </w:p>
    <w:bookmarkStart w:id="42" w:name="page43"/>
    <w:bookmarkEnd w:id="42"/>
    <w:p>
      <w:pPr>
        <w:jc w:val="both"/>
        <w:ind w:left="-20" w:firstLine="436"/>
        <w:spacing w:after="0" w:line="266" w:lineRule="auto"/>
        <w:tabs>
          <w:tab w:leader="none" w:pos="6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Section 8.02, the exercise price, the number of shares of Comcast Class A Common Stock and the terms and conditions of exercise applicable to any Adjusted Comcast Option, as the case may be, shall be determined in a manner consistent with the requirements of Section 409A.</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Phantom Stock Units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hanging="244"/>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Distribution, on the Distribution Date:</w:t>
      </w:r>
    </w:p>
    <w:p>
      <w:pPr>
        <w:spacing w:after="0" w:line="117" w:lineRule="exact"/>
        <w:rPr>
          <w:rFonts w:ascii="Times New Roman" w:cs="Times New Roman" w:eastAsia="Times New Roman" w:hAnsi="Times New Roman"/>
          <w:sz w:val="18"/>
          <w:szCs w:val="18"/>
          <w:color w:val="auto"/>
        </w:rPr>
      </w:pPr>
    </w:p>
    <w:p>
      <w:pPr>
        <w:ind w:left="420" w:right="120" w:firstLine="419"/>
        <w:spacing w:after="0" w:line="254" w:lineRule="auto"/>
        <w:tabs>
          <w:tab w:leader="none" w:pos="10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8.03(a)(iii), each Comcast Phantom Stock Unit that is (A) outstanding as of immediately prior to the Distribution and (B) held by a SpinCo Participant (other than a Former SpinCo Employee) shall be converted into a time-based phantom stock unit award with respect to SpinCo Class A Common Stock (“</w:t>
      </w:r>
      <w:r>
        <w:rPr>
          <w:rFonts w:ascii="Times New Roman" w:cs="Times New Roman" w:eastAsia="Times New Roman" w:hAnsi="Times New Roman"/>
          <w:sz w:val="18"/>
          <w:szCs w:val="18"/>
          <w:b w:val="1"/>
          <w:bCs w:val="1"/>
          <w:color w:val="auto"/>
        </w:rPr>
        <w:t>SpinCo Phantom Stock Units</w:t>
      </w:r>
      <w:r>
        <w:rPr>
          <w:rFonts w:ascii="Times New Roman" w:cs="Times New Roman" w:eastAsia="Times New Roman" w:hAnsi="Times New Roman"/>
          <w:sz w:val="18"/>
          <w:szCs w:val="18"/>
          <w:color w:val="auto"/>
        </w:rPr>
        <w:t xml:space="preserve">”), with the number of shares of SpinCo Class A Common Stock subject to such SpinCo Phantom Stock Units being determined by multiplying (1) the number of shares of Comcast Class A Common Stock subject to such Comcast Phantom Stock Unit immediately prior to the Distribution by (2) the SpinCo Concentration Ratio, rounded down to the nearest whole share of SpinCo Class A Common Stock, and each such SpinCo Phantom Stock Unit shall be payable in cash and shall otherwise remain subject to the same terms and conditions (including vesting and payment schedules) as applied to the corresponding Comcast Phantom Stock Unit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for the avoidance of doubt, that such SpinCo Phantom Stock Units shall constitute SpinCo Assumed Employee Liabilities;</w:t>
      </w:r>
    </w:p>
    <w:p>
      <w:pPr>
        <w:spacing w:after="0" w:line="80" w:lineRule="exact"/>
        <w:rPr>
          <w:rFonts w:ascii="Times New Roman" w:cs="Times New Roman" w:eastAsia="Times New Roman" w:hAnsi="Times New Roman"/>
          <w:sz w:val="18"/>
          <w:szCs w:val="18"/>
          <w:color w:val="auto"/>
        </w:rPr>
      </w:pPr>
    </w:p>
    <w:p>
      <w:pPr>
        <w:ind w:left="420" w:right="40" w:firstLine="419"/>
        <w:spacing w:after="0" w:line="254" w:lineRule="auto"/>
        <w:tabs>
          <w:tab w:leader="none" w:pos="110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Comcast Phantom Stock Unit that is (A) outstanding as of immediately prior to the Distribution and (B) held by a Comcast Participant or Former SpinCo Employee shall be converted into an award of adjusted Comcast Phantom Stock Units (the “</w:t>
      </w:r>
      <w:r>
        <w:rPr>
          <w:rFonts w:ascii="Times New Roman" w:cs="Times New Roman" w:eastAsia="Times New Roman" w:hAnsi="Times New Roman"/>
          <w:sz w:val="18"/>
          <w:szCs w:val="18"/>
          <w:b w:val="1"/>
          <w:bCs w:val="1"/>
          <w:color w:val="auto"/>
        </w:rPr>
        <w:t>Adjusted Comcast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Phantom Stock Units</w:t>
      </w:r>
      <w:r>
        <w:rPr>
          <w:rFonts w:ascii="Times New Roman" w:cs="Times New Roman" w:eastAsia="Times New Roman" w:hAnsi="Times New Roman"/>
          <w:sz w:val="18"/>
          <w:szCs w:val="18"/>
          <w:color w:val="auto"/>
        </w:rPr>
        <w:t>,” and together with the Adjusted Comcast RSUs and the Adjusted Comcast Options, the “</w:t>
      </w:r>
      <w:r>
        <w:rPr>
          <w:rFonts w:ascii="Times New Roman" w:cs="Times New Roman" w:eastAsia="Times New Roman" w:hAnsi="Times New Roman"/>
          <w:sz w:val="18"/>
          <w:szCs w:val="18"/>
          <w:b w:val="1"/>
          <w:bCs w:val="1"/>
          <w:color w:val="auto"/>
        </w:rPr>
        <w:t>Adjusted Comcast Awards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number of shares of Comcast Class A Common Stock subject to such Adjusted Comcast Phantom Stock Unit being determined by multiplying (1) the number of shares of Comcast Class A Common Stock subject to such Comcast Phantom Stock Unit immediately prior to the Distribution by (2) the Comcast Concentration Ratio, rounded down to the nearest whole share of Comcast Class A Common Stock (the “</w:t>
      </w:r>
      <w:r>
        <w:rPr>
          <w:rFonts w:ascii="Times New Roman" w:cs="Times New Roman" w:eastAsia="Times New Roman" w:hAnsi="Times New Roman"/>
          <w:sz w:val="18"/>
          <w:szCs w:val="18"/>
          <w:b w:val="1"/>
          <w:bCs w:val="1"/>
          <w:color w:val="auto"/>
        </w:rPr>
        <w:t>Comcast Phantom Stock Unit Adjustment Formula”</w:t>
      </w:r>
      <w:r>
        <w:rPr>
          <w:rFonts w:ascii="Times New Roman" w:cs="Times New Roman" w:eastAsia="Times New Roman" w:hAnsi="Times New Roman"/>
          <w:sz w:val="18"/>
          <w:szCs w:val="18"/>
          <w:color w:val="auto"/>
        </w:rPr>
        <w:t>), and each such Adjusted Comcast Phantom Stock Unit shall be payable in cash and shall otherwise remain subject to the same terms and conditions (including vesting and payment schedules and, if applicable, deferral elections) as applied to the corresponding Comcast Phantom Stock Unit as of immediately prior to the Distribution; and</w:t>
      </w:r>
    </w:p>
    <w:p>
      <w:pPr>
        <w:spacing w:after="0" w:line="80" w:lineRule="exact"/>
        <w:rPr>
          <w:rFonts w:ascii="Times New Roman" w:cs="Times New Roman" w:eastAsia="Times New Roman" w:hAnsi="Times New Roman"/>
          <w:sz w:val="18"/>
          <w:szCs w:val="18"/>
          <w:color w:val="auto"/>
        </w:rPr>
      </w:pPr>
    </w:p>
    <w:p>
      <w:pPr>
        <w:ind w:left="420" w:right="60" w:firstLine="419"/>
        <w:spacing w:after="0" w:line="254" w:lineRule="auto"/>
        <w:tabs>
          <w:tab w:leader="none" w:pos="11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Comcast Phantom Stock Unit that is (A) outstanding as of immediately prior to the Distribution, (B) held by a SpinCo Participant (other than a Former SpinCo Employee) and (C) scheduled to be settled in the period between the Distribution Date and March 3, 2026 shall be converted into an award of Adjusted Comcast Phantom Stock Units in accordance with the Comcast Phantom Stock Unit Adjustment Formula, and each such Adjusted Comcast Phantom Stock Unit shall otherwise remain subject to the same terms and conditions (including vesting and payment schedules and, if applicable, deferral elections) as applied to the corresponding Comcast Phantom Stock Units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service provided to the SpinCo Group by a SpinCo Participant following the Distribution Date shall count for purposes of satisfying the service-based vesting conditions with respect to such Adjusted Comcast Phantom Stock Units.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60" w:top="270" w:right="45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8.04. </w:t>
      </w:r>
      <w:r>
        <w:rPr>
          <w:rFonts w:ascii="Times New Roman" w:cs="Times New Roman" w:eastAsia="Times New Roman" w:hAnsi="Times New Roman"/>
          <w:sz w:val="18"/>
          <w:szCs w:val="18"/>
          <w:i w:val="1"/>
          <w:iCs w:val="1"/>
          <w:color w:val="auto"/>
        </w:rPr>
        <w:t>Miscellaneous Terms and Actions; Tax Reporting and Withholding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4"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or before the Distribution Date, SpinCo shall adopt an equity incentive compensation plan for the benefit of eligible SpinCo Participants (as may be amended from time to time and together with any successor plan, the “</w:t>
      </w:r>
      <w:r>
        <w:rPr>
          <w:rFonts w:ascii="Times New Roman" w:cs="Times New Roman" w:eastAsia="Times New Roman" w:hAnsi="Times New Roman"/>
          <w:sz w:val="18"/>
          <w:szCs w:val="18"/>
          <w:b w:val="1"/>
          <w:bCs w:val="1"/>
          <w:color w:val="auto"/>
        </w:rPr>
        <w:t>SpinCo Equity Plan</w:t>
      </w:r>
      <w:r>
        <w:rPr>
          <w:rFonts w:ascii="Times New Roman" w:cs="Times New Roman" w:eastAsia="Times New Roman" w:hAnsi="Times New Roman"/>
          <w:sz w:val="18"/>
          <w:szCs w:val="18"/>
          <w:color w:val="auto"/>
        </w:rPr>
        <w:t>”). Prior to the Distribution Date, each of the Parties shall take any actions necessary to give effect to the transactions contemplated by this Article 8, including, in the case of SpinCo, the reservation, issuance and listing of shares of SpinCo Class A Common Stock as is necessary to effectuate the transactions contemplated by this Article 8. From and after the Distribution Date, (i) SpinCo shall retain the SpinCo Equity Plan and all Liabilities thereunder shall constitute SpinCo Assumed Employee Liabilities and (ii) Comcast shall retain the Comcast Equity Plans and all Liabilities thereunder shall constitute Comcast Retained Employee Liabilities. From and after the Distribution Date, (A) all Adjusted Comcast Awards, regardless of by whom held, shall be granted under and subject to the terms of the Comcast Equity Plans and shall be settled by Comcast and (B) all SpinCo Awards, regardless of by whom held, shall be granted under and subject to the terms of the SpinCo Equity Plan and shall be settled by SpinCo.</w:t>
      </w:r>
    </w:p>
    <w:p>
      <w:pPr>
        <w:spacing w:after="0" w:line="188"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for purposes of the Comcast Awards converted into SpinCo Awards or Adjusted Comcast Awards pursuant to this Article 8, (i) a SpinCo Employee’s employment with or service to any member of the SpinCo Group and/or Comcast Group, as applicable, shall be treated as employment with and service to the SpinCo Group and/or the Comcast Group, as applicable, (ii) any reference to “cause,” “good reason,” “disability,” “willful” or other similar terms applicable to such Adjusted Comcast Awards shall be deemed to refer to the definitions of “cause,” “good reason,” “disability,” “willful” or other similar terms set forth in the Comcast Equity Plans or award agreements applicable to the holder of such Adjusted Comcast Award and (iii) any reference to “cause,” “good reason,” “disability,” “willful” or other similar terms applicable to such SpinCo Awards shall be deemed to refer to the definitions of “cause,” “good reason,” “disability,” “willful” or other similar terms set forth in the SpinCo Equity Plan or award agreement applicable to the holder of such SpinCo Award.</w:t>
      </w:r>
    </w:p>
    <w:p>
      <w:pPr>
        <w:spacing w:after="0" w:line="191"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(i) any reference to a “change in control,” “change of control” or similar term applicable to any Adjusted Comcast Award contained in any applicable award agreement, employment or services agreement or the Comcast Equity Plans shall be deemed to refer to a “change in control,” “change of control” or similar term as defined in such award agreement, employment or services agreement or the Comcast Equity Plans (a “</w:t>
      </w:r>
      <w:r>
        <w:rPr>
          <w:rFonts w:ascii="Times New Roman" w:cs="Times New Roman" w:eastAsia="Times New Roman" w:hAnsi="Times New Roman"/>
          <w:sz w:val="18"/>
          <w:szCs w:val="18"/>
          <w:b w:val="1"/>
          <w:bCs w:val="1"/>
          <w:color w:val="auto"/>
        </w:rPr>
        <w:t>Comcast Change in Control</w:t>
      </w:r>
      <w:r>
        <w:rPr>
          <w:rFonts w:ascii="Times New Roman" w:cs="Times New Roman" w:eastAsia="Times New Roman" w:hAnsi="Times New Roman"/>
          <w:sz w:val="18"/>
          <w:szCs w:val="18"/>
          <w:color w:val="auto"/>
        </w:rPr>
        <w:t>”) and (ii) any reference to a “change in control,” “change of control” or similar term applicable to any SpinCo Award contained in any applicable award agreement, employment or services agreement or the SpinCo Equity Plan shall be deemed to refer to a “change in control,” “change of control” or similar term as defined in the SpinCo Equity Plan (a “</w:t>
      </w:r>
      <w:r>
        <w:rPr>
          <w:rFonts w:ascii="Times New Roman" w:cs="Times New Roman" w:eastAsia="Times New Roman" w:hAnsi="Times New Roman"/>
          <w:sz w:val="18"/>
          <w:szCs w:val="18"/>
          <w:b w:val="1"/>
          <w:bCs w:val="1"/>
          <w:color w:val="auto"/>
        </w:rPr>
        <w:t>SpinCo Change in Control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68" w:right="439" w:bottom="1440" w:gutter="0" w:footer="0" w:header="0"/>
        </w:sectPr>
      </w:pPr>
    </w:p>
    <w:bookmarkStart w:id="44" w:name="page45"/>
    <w:bookmarkEnd w:id="44"/>
    <w:p>
      <w:pPr>
        <w:ind w:left="4" w:right="180" w:firstLine="436"/>
        <w:spacing w:after="0" w:line="257" w:lineRule="auto"/>
        <w:tabs>
          <w:tab w:leader="none" w:pos="6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except as expressly provided in this Article 8 or Section 11.05, neither the Contribution, the Distribution nor any assignment, transfer or continuation of the employment or service of employees or directors as contemplated by Article 3 shall be (i) deemed a termination of employment or service of any SpinCo Participant or Comcast Participant for purposes of any Comcast Award or SpinCo Award or</w:t>
      </w:r>
    </w:p>
    <w:p>
      <w:pPr>
        <w:spacing w:after="0" w:line="1"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treated as a Comcast Change in Control or SpinCo Change in Control for purposes of the Comcast Equity Plans or the SpinCo Equity Plan, respectively, any applicable award agreements for a Comcast Award, Adjusted Comcast Award or SpinCo Award outstanding thereunder or any other applicable employment- or service-related agreement. Without limiting the generality of the foregoing, to the extent Comcast determines it is necessary or desirable, each award agreement for a Comcast RSU or Adjusted Comcast Option, as the case may be, shall be amended to expressly clarify the intent described in clauses (i) and (ii) of this Section 8.04(d);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 shall not modify any other terms or conditions of the applicable award agreement unless otherwise required by the Comcast Equity Plans or the award agreements granted thereunder.</w:t>
      </w:r>
    </w:p>
    <w:p>
      <w:pPr>
        <w:spacing w:after="0" w:line="189"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Applicable Law, (i) the applicable member of the SpinCo Group shall be responsible for all applicable income, payroll, employment and other similar tax withholding, remittance and reporting obligations in respect of SpinCo Participants relating to any SpinCo Awards held by any SpinCo Participant (other than a Former SpinCo Employee) and, to the extent such obligations have already been satisfied by the applicable member of the Comcast Group, shall reimburse such member of the Comcast Group for the cost of such obligations, and (ii) subject to Section 8.04(f), the applicable member of the Comcast Group shall be responsible for all applicable income, payroll, employment and other similar tax withholding, remittance and reporting obligations in respect of Comcast Participants and SpinCo Participants (including Former SpinCo Employees) relating to any Adjusted Comcast Awards (including those resulting from Excluded RSUs).</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6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if and to the extent that a member of the SpinCo Group is determined to be the common law employer with respect to any Adjusted Comcast Award (including any Excluded RSU), such member of the SpinCo Group hereby designates the applicable member of the Comcast Group as such SpinCo Group member’s agent for purposes of all applicable withholding, remittance and reporting obligations with respect to such Adjusted Comcast Award.</w:t>
      </w:r>
    </w:p>
    <w:p>
      <w:pPr>
        <w:spacing w:after="0" w:line="179" w:lineRule="exact"/>
        <w:rPr>
          <w:rFonts w:ascii="Times New Roman" w:cs="Times New Roman" w:eastAsia="Times New Roman" w:hAnsi="Times New Roman"/>
          <w:sz w:val="18"/>
          <w:szCs w:val="18"/>
          <w:color w:val="auto"/>
        </w:rPr>
      </w:pPr>
    </w:p>
    <w:p>
      <w:pPr>
        <w:ind w:left="4" w:right="380" w:firstLine="436"/>
        <w:spacing w:after="0" w:line="289" w:lineRule="auto"/>
        <w:tabs>
          <w:tab w:leader="none" w:pos="699"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member of the SpinCo Group shall pay to each SpinCo Participant all amounts payable in respect of the settlement of cash dividend equivalents on any SpinCo Awards and the applicable member of the Comcast Group shall pay to each Comcast Participant and SpinCo Participant all amounts payable in respect of the settlement of cash dividend equivalents on any Adjusted Comcast Awards and Excluded RSUs.</w:t>
      </w:r>
    </w:p>
    <w:p>
      <w:pPr>
        <w:spacing w:after="0" w:line="157"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(i) prepare and file with the Securities and Exchange Commission a registration statement on an appropriate form with respect to</w:t>
      </w:r>
    </w:p>
    <w:p>
      <w:pPr>
        <w:spacing w:after="0" w:line="27"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shares of SpinCo Class A Common Stock subject to the Comcast Awards converted into SpinCo Awards pursuant to this Article 8 and (B) the shares of SpinCo Class A Common Stock subject to deferral elections under, and any other deferred compensation obligations under, any SpinCo Deferred Compensation Plan and (ii) use its reasonable best efforts to have such registration statement declared effective on or before the occurrence of the adjustments and conversions set forth in this Article 8 and to maintain the effectiveness of such registration statement covering such SpinCo Awards (and to maintain the current status of the prospectus contained therein) for so long as any such SpinCo Awards remain outstanding.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5" w:name="page46"/>
    <w:bookmarkEnd w:id="45"/>
    <w:p>
      <w:pPr>
        <w:ind w:firstLine="436"/>
        <w:spacing w:after="0" w:line="254"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Distribution Date, each Party shall take all such steps as may be required to cause any dispositions of Comcast Class A Common Stock (including Adjusted Comcast Awards or any other derivative securities with respect to Comcast Class A Common Stock) or acquisitions of SpinCo Class A Common Stock (including SpinCo Awards or any other derivative securities with respect to SpinCo Class A Common Stock) resulting from the Distribution or the transactions contemplated by this Agreement or the Separation Agreement by each individual who is subject to the reporting requirements of Section 16(a) of the Exchange Act with respect to Comcast or who are or will become subject to such reporting requirements with respect to SpinCo to be exempt under Rule 16b-3 promulgated under the Exchange Act. With respect to those individuals, if any, who, subsequent to the Distribution Date, are or become subject to the reporting requirements under Section 16(a) of the Exchange Act, as applicable, SpinCo shall administer any Comcast Award converted into a SpinCo Award pursuant to this Article 8 in a manner that complies with Rule 16b-3 promulgated under the Exchange Act to the extent such converted Comcast Award complied with such rule prior to the Distribution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ERSONNEL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ECORDS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AYROLL AND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ITHHOLDING</w:t>
      </w:r>
    </w:p>
    <w:p>
      <w:pPr>
        <w:spacing w:after="0" w:line="20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Personnel Records</w:t>
      </w:r>
      <w:r>
        <w:rPr>
          <w:rFonts w:ascii="Times New Roman" w:cs="Times New Roman" w:eastAsia="Times New Roman" w:hAnsi="Times New Roman"/>
          <w:sz w:val="18"/>
          <w:szCs w:val="18"/>
          <w:color w:val="auto"/>
        </w:rPr>
        <w:t>. To the extent permitted by Applicable Law, each of the SpinCo Group and the Comcast Group shall be permitted by the other to access and retain copies of such records, data and other personnel-related information in any form (“</w:t>
      </w:r>
      <w:r>
        <w:rPr>
          <w:rFonts w:ascii="Times New Roman" w:cs="Times New Roman" w:eastAsia="Times New Roman" w:hAnsi="Times New Roman"/>
          <w:sz w:val="18"/>
          <w:szCs w:val="18"/>
          <w:b w:val="1"/>
          <w:bCs w:val="1"/>
          <w:color w:val="auto"/>
        </w:rPr>
        <w:t>Personnel Records</w:t>
      </w:r>
      <w:r>
        <w:rPr>
          <w:rFonts w:ascii="Times New Roman" w:cs="Times New Roman" w:eastAsia="Times New Roman" w:hAnsi="Times New Roman"/>
          <w:sz w:val="18"/>
          <w:szCs w:val="18"/>
          <w:color w:val="auto"/>
        </w:rPr>
        <w:t>”) as may be necessary or appropriate to carry out their respective obligations under Applicable Law, this Agreement, the Separation Agreement or any of the other Ancillary Agreements and for the purposes of administering their respective employee benefit plans and policies. All Personnel Records shall be accessed, retained, held, used, copied and transmitted in accordance with all Applicable Laws, policies and agreements between the Parties.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Payroll; Tax Reporting and Withholding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Effective as of no later than the Benefits Commencement Date, (i) except as otherwise provided in Section 8.04(f) and subject to</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8.04(e), the members of the SpinCo Group shall be solely responsible for providing payroll services (including for any payroll period already in progress) to the SpinCo Employees and for any Liabilities with respect to garnishments of the salary and wages thereof (other than with respect to the 2025 Cash Bonuses) and (ii) the members of the Comcast Group shall be solely responsible for providing payroll services (including for any payroll period already in progress) (A) in respect of all 2025 Cash Bonuses (including in respect of SpinCo Participants) and (B) to the Comcast Employees and for any Liabilities with respect to garnishments of the salary and wages thereof.</w:t>
      </w:r>
    </w:p>
    <w:p>
      <w:pPr>
        <w:spacing w:after="0" w:line="187" w:lineRule="exact"/>
        <w:rPr>
          <w:sz w:val="20"/>
          <w:szCs w:val="20"/>
          <w:color w:val="auto"/>
        </w:rPr>
      </w:pPr>
    </w:p>
    <w:p>
      <w:pPr>
        <w:ind w:right="220" w:firstLine="436"/>
        <w:spacing w:after="0" w:line="266"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SpinCo Employees, the Parties shall adopt the “standard procedure” for preparing and filing IRS Forms W-2 (Wage and Tax Statements) and for purposes of filing IRS Forms W-4 (Employee’s Withholding Allowance Certificate) and W-5 (Earned Income Credit Advance Payment Certificate), as described in Revenue Procedure 2004-53.</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6" w:name="page47"/>
    <w:bookmarkEnd w:id="46"/>
    <w:p>
      <w:pPr>
        <w:ind w:left="4" w:right="20" w:firstLine="436"/>
        <w:spacing w:after="0" w:line="254"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members of the Comcast Group shall be solely responsible for retroactive payroll corrections in respect of any SpinCo Employees (including without limitation, due to overtime projections, promotions and other pay changes) that relate to services performed for any period prior to the Benefits Commencement Date (the “</w:t>
      </w:r>
      <w:r>
        <w:rPr>
          <w:rFonts w:ascii="Times New Roman" w:cs="Times New Roman" w:eastAsia="Times New Roman" w:hAnsi="Times New Roman"/>
          <w:sz w:val="18"/>
          <w:szCs w:val="18"/>
          <w:b w:val="1"/>
          <w:bCs w:val="1"/>
          <w:color w:val="auto"/>
        </w:rPr>
        <w:t>Legacy Payroll Corrections</w:t>
      </w:r>
      <w:r>
        <w:rPr>
          <w:rFonts w:ascii="Times New Roman" w:cs="Times New Roman" w:eastAsia="Times New Roman" w:hAnsi="Times New Roman"/>
          <w:sz w:val="18"/>
          <w:szCs w:val="18"/>
          <w:color w:val="auto"/>
        </w:rPr>
        <w:t>”), and the applicable members of the SpinCo Group shall be solely responsible for retroactive payroll corrections in respect of any SpinCo Employees that relate to services performed for any period from and after the Benefits Commencement Date. With respect to any Legacy Payroll Corrections, (i) if such Legacy Payroll Correction is identified by the Comcast Group prior to March 31, 2026, then the applicable member of the Comcast Group shall administer and pay such Legacy Payroll Correction and (ii) if such Legacy Payroll Correction is identified by the Comcast Group following March 31, 2026, then an applicable member of the SpinCo Group shall administer and pay such Legacy Payroll Correction in the amount determined by the Comcast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member of the Comcast Group shall reimburse the SpinCo Group for the cost thereof).</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9.02(a), with respect to any wage garnishment, wage attachment, support order, tax levy or similar court or agency order in effect with Comcast or a member of the Comcast Group as of the Benefits Commencement Date for any SpinCo Employee (collectively, the “</w:t>
      </w:r>
      <w:r>
        <w:rPr>
          <w:rFonts w:ascii="Times New Roman" w:cs="Times New Roman" w:eastAsia="Times New Roman" w:hAnsi="Times New Roman"/>
          <w:sz w:val="18"/>
          <w:szCs w:val="18"/>
          <w:b w:val="1"/>
          <w:bCs w:val="1"/>
          <w:color w:val="auto"/>
        </w:rPr>
        <w:t>SpinCo Employee Garnishment Orders</w:t>
      </w:r>
      <w:r>
        <w:rPr>
          <w:rFonts w:ascii="Times New Roman" w:cs="Times New Roman" w:eastAsia="Times New Roman" w:hAnsi="Times New Roman"/>
          <w:sz w:val="18"/>
          <w:szCs w:val="18"/>
          <w:color w:val="auto"/>
        </w:rPr>
        <w:t>”), SpinCo or a member of the SpinCo Group shall, following the Benefits Commencement Date, honor such payroll deduction authorizations and continue to make payroll deductions and payments to the authorized payee, as specified by the applicable SpinCo Employee Garnishment Order which was on file with the Comcast Group as of immediately prior to the Benefits Commencement Date. Comcast or the applicable member of the Comcast Group shall, as soon as practicable after the Benefits Commencement Date, provide SpinCo or the applicable member of the SpinCo Group with such information in the Comcast Group’s possession (and not already in the possession of the SpinCo Group) as may be reasonably requested by the SpinCo Group and necessary for the SpinCo Group to make the payroll deductions and payments to the authorized payee as required by this Section 9.02(d). No later than the Benefits Commencement Date, the applicable member of the Comcast Group shall cooperate with the applicable member of the SpinCo Group in requesting that the applicable Governmental Authority issue a new SpinCo Employee Garnishment Order naming the applicable member of the SpinCo Group as the employer responsible for complying with such SpinCo Employee Garnishment Orders.</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ON</w:t>
      </w:r>
      <w:r>
        <w:rPr>
          <w:rFonts w:ascii="Times New Roman" w:cs="Times New Roman" w:eastAsia="Times New Roman" w:hAnsi="Times New Roman"/>
          <w:sz w:val="18"/>
          <w:szCs w:val="18"/>
          <w:color w:val="auto"/>
        </w:rPr>
        <w:t>-U.S. E</w:t>
      </w:r>
      <w:r>
        <w:rPr>
          <w:rFonts w:ascii="Times New Roman" w:cs="Times New Roman" w:eastAsia="Times New Roman" w:hAnsi="Times New Roman"/>
          <w:sz w:val="14"/>
          <w:szCs w:val="14"/>
          <w:color w:val="auto"/>
        </w:rPr>
        <w:t>MPLOYEES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p>
    <w:p>
      <w:pPr>
        <w:spacing w:after="0" w:line="205" w:lineRule="exact"/>
        <w:rPr>
          <w:sz w:val="20"/>
          <w:szCs w:val="20"/>
          <w:color w:val="auto"/>
        </w:rPr>
      </w:pPr>
    </w:p>
    <w:p>
      <w:pPr>
        <w:ind w:left="4" w:right="2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Special Provisions for Employees and Employee Plans Outside of the United States</w:t>
      </w:r>
      <w:r>
        <w:rPr>
          <w:rFonts w:ascii="Times New Roman" w:cs="Times New Roman" w:eastAsia="Times New Roman" w:hAnsi="Times New Roman"/>
          <w:sz w:val="18"/>
          <w:szCs w:val="18"/>
          <w:color w:val="auto"/>
        </w:rPr>
        <w:t>. From and after the date hereof, to the extent not addressed in this Agreement, the Parties shall reasonably cooperate in good faith to effect the provisions of this Agreement with respect to</w:t>
      </w:r>
    </w:p>
    <w:p>
      <w:pPr>
        <w:ind w:left="4" w:hanging="4"/>
        <w:spacing w:after="0" w:line="253"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Comcast Participants and Non-U.S. SpinCo Participants and (b) employee-, compensation- and benefits-related matters outside of the United States with respect to Non-U.S. Comcast Participants and Non-U.S. SpinCo Participants, including under Non-U.S. Comcast Plans and Non-U.S. SpinCo Plans, which in all cases shall be consistent with the general approach and philosophy regarding the allocation of assets and Liabilities (as expressly set forth in the recitals to this Agreement).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ELAYED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RANSFER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PIN</w:t>
      </w: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MPLOYEES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PIN</w:t>
      </w: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NLR E</w:t>
      </w:r>
      <w:r>
        <w:rPr>
          <w:rFonts w:ascii="Times New Roman" w:cs="Times New Roman" w:eastAsia="Times New Roman" w:hAnsi="Times New Roman"/>
          <w:sz w:val="14"/>
          <w:szCs w:val="14"/>
          <w:color w:val="auto"/>
        </w:rPr>
        <w:t>MPLOYEES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General Principles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100" w:firstLine="436"/>
        <w:spacing w:after="0" w:line="274" w:lineRule="auto"/>
        <w:tabs>
          <w:tab w:leader="none" w:pos="56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except (i) as expressly provided in this Agreement or (ii) as otherwise mutually determined by the Parties to be necessary or appropriate, the Delayed Transfer SpinCo Employees shall be treated consistent with how SpinCo Employees (other than Delayed Transfer SpinCo Employees) are treated under this Agreement, and the provisions relating to such other SpinCo Employees set forth in this Agreement shall apply to the Delayed Transfer SpinCo Employees,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in each case to the extent permitted by the applicable Employee Plan and/or Applicable Law, </w:t>
      </w:r>
      <w:r>
        <w:rPr>
          <w:rFonts w:ascii="Times New Roman" w:cs="Times New Roman" w:eastAsia="Times New Roman" w:hAnsi="Times New Roman"/>
          <w:sz w:val="17"/>
          <w:szCs w:val="17"/>
          <w:i w:val="1"/>
          <w:iCs w:val="1"/>
          <w:color w:val="auto"/>
        </w:rPr>
        <w:t>it being understood</w:t>
      </w:r>
      <w:r>
        <w:rPr>
          <w:rFonts w:ascii="Times New Roman" w:cs="Times New Roman" w:eastAsia="Times New Roman" w:hAnsi="Times New Roman"/>
          <w:sz w:val="17"/>
          <w:szCs w:val="17"/>
          <w:color w:val="auto"/>
        </w:rPr>
        <w:t xml:space="preserve"> that with respect to any Delayed Transfer SpinCo Employee, references to “Benefits Commencement Date” and “Distribution Date” in this Agreement, as applicable, shall in each case be deemed to refer to the Delayed Transfer Date.</w:t>
      </w:r>
    </w:p>
    <w:p>
      <w:pPr>
        <w:spacing w:after="0" w:line="172" w:lineRule="exact"/>
        <w:rPr>
          <w:rFonts w:ascii="Times New Roman" w:cs="Times New Roman" w:eastAsia="Times New Roman" w:hAnsi="Times New Roman"/>
          <w:sz w:val="17"/>
          <w:szCs w:val="17"/>
          <w:color w:val="auto"/>
        </w:rPr>
      </w:pPr>
    </w:p>
    <w:p>
      <w:pPr>
        <w:ind w:left="-120" w:right="160" w:firstLine="436"/>
        <w:spacing w:after="0" w:line="261" w:lineRule="auto"/>
        <w:tabs>
          <w:tab w:leader="none" w:pos="5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except as expressly provided in this Agreement, each Delayed Transfer SpinCo Employee shall be deemed to be a SpinCo Employee for all purposes of this Agreement, effective as of the Delayed Transfer Date applicable to such Delayed Transfer SpinCo Employee, including for purposes of determining the allocation of Liabilities set forth in Article 2 and plan participation pursuant to Article 4.</w:t>
      </w:r>
    </w:p>
    <w:p>
      <w:pPr>
        <w:spacing w:after="0" w:line="179" w:lineRule="exact"/>
        <w:rPr>
          <w:rFonts w:ascii="Times New Roman" w:cs="Times New Roman" w:eastAsia="Times New Roman" w:hAnsi="Times New Roman"/>
          <w:sz w:val="18"/>
          <w:szCs w:val="18"/>
          <w:color w:val="auto"/>
        </w:rPr>
      </w:pPr>
    </w:p>
    <w:p>
      <w:pPr>
        <w:ind w:left="-120" w:right="180" w:firstLine="436"/>
        <w:spacing w:after="0" w:line="312" w:lineRule="auto"/>
        <w:tabs>
          <w:tab w:leader="none" w:pos="56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except as expressly provided in this Agreement, each Delayed Transfer SpinCo Employee shall continue to be eligible to participate in Comcast Plans until the applicable Delayed Transfer Date, subject to the terms of such Comcast Plans.</w:t>
      </w:r>
    </w:p>
    <w:p>
      <w:pPr>
        <w:spacing w:after="0" w:line="139" w:lineRule="exact"/>
        <w:rPr>
          <w:rFonts w:ascii="Times New Roman" w:cs="Times New Roman" w:eastAsia="Times New Roman" w:hAnsi="Times New Roman"/>
          <w:sz w:val="17"/>
          <w:szCs w:val="17"/>
          <w:color w:val="auto"/>
        </w:rPr>
      </w:pPr>
    </w:p>
    <w:p>
      <w:pPr>
        <w:ind w:left="-120" w:right="20" w:firstLine="436"/>
        <w:spacing w:after="0" w:line="255" w:lineRule="auto"/>
        <w:tabs>
          <w:tab w:leader="none" w:pos="5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except (i) as expressly provided in this Agreement or (ii) as otherwise mutually determined by the Parties to be necessary or appropriate, the SpinCo NLR Employees shall be treated consistent with how Former SpinCo Employees are treated under this Agreement, and the provisions relating to such other Former SpinCo Employees set forth in this Agreement shall apply to the SpinCo NLR Employees (and any beneficiary, dependent or alternate payee of such individuals),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in each case to the extent permitted by the applicable Employee Plan and/or Applicable Law. Without limiting the generality of the foregoing, the SpinCo NLR Employees shall not be eligible to participate in any SpinCo Plans, but instead shall continue to participate in the applicable Comcast Plans, in accordance with and subject to, the terms and conditions of such Comcast Plans.</w:t>
      </w:r>
    </w:p>
    <w:p>
      <w:pPr>
        <w:spacing w:after="0" w:line="188" w:lineRule="exact"/>
        <w:rPr>
          <w:rFonts w:ascii="Times New Roman" w:cs="Times New Roman" w:eastAsia="Times New Roman" w:hAnsi="Times New Roman"/>
          <w:sz w:val="18"/>
          <w:szCs w:val="18"/>
          <w:color w:val="auto"/>
        </w:rPr>
      </w:pPr>
    </w:p>
    <w:p>
      <w:pPr>
        <w:ind w:left="-120" w:firstLine="436"/>
        <w:spacing w:after="0" w:line="255" w:lineRule="auto"/>
        <w:tabs>
          <w:tab w:leader="none" w:pos="5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to the extent the terms of this Agreement do not expressly prescribe the treatment of any specific compensation or benefits matter (including regarding the treatment of participation in any Employee Plans or the allocation of any Liabilities hereunder) applicable to any Delayed Transfer SpinCo Employee or SpinCo NLR Employee, as applicable, the Parties will reasonably cooperate in good faith to cause such matter to be treated in a manner consistent with the corresponding treatment provided under this Agreement of such matter as applicable to any SpinCo Employee (or, if no such corresponding treatment is provided under the terms of this Agreement, then such matter shall otherwise be treated in accordance with the general approach and philosophy regarding the allocation of assets and Liabilities under the terms of this Agreement, as expressly set forth in the recitals to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80"/>
          </w:cols>
          <w:pgMar w:left="560" w:top="270" w:right="55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11.02. </w:t>
      </w: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Notwithstanding anything to the contrary in Section 5.01:</w:t>
      </w:r>
    </w:p>
    <w:p>
      <w:pPr>
        <w:spacing w:after="0" w:line="227" w:lineRule="exact"/>
        <w:rPr>
          <w:sz w:val="20"/>
          <w:szCs w:val="20"/>
          <w:color w:val="auto"/>
        </w:rPr>
      </w:pPr>
    </w:p>
    <w:p>
      <w:pPr>
        <w:ind w:firstLine="436"/>
        <w:spacing w:after="0" w:line="252"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as soon as reasonably practicable following the applicable Delayed Transfer Date with respect to any Delayed Transfer SpinCo Employee, such Delayed Transfer SpinCo Employee will be eligible to elect a distribution of his or her account balance under the applicable Comcast 401(k) Plan, including a voluntary “rollover distribution” of such Delayed Transfer SpinCo Employee’s eligible account balance under such Comcast 401(k) Plan (including participant loans) to either the SpinCo 401(k) Plan or an Individual Retirement Account (or, for the avoidance of doubt, such Delayed Transfer SpinCo Employee may otherwise continue to maintain his or her account under the applicable Comcast 401(k) Plan in accordance with the terms of the applicable Comcast 401(k) Plan), as determined by each such Delayed Transfer SpinCo Employee;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portion of such Delayed Transfer SpinCo Employee’s account balance under the applicable Comcast 401(k) Plan to be “rolled over” to the SpinCo 401(k) Plan shall be done in the form of cash except, for the avoidance of doubt, with respect to promissory notes evidencing participant loans. In the event that a Delayed Transfer SpinCo Employee elects to roll over his or her account balance from the Comcast 401(k) Plans to the SpinCo 401(k) Plan, (A) SpinCo shall cause the SpinCo 401(k) Plan to accept such rollover (including participant loans) to the extent permitted by Applicable Law and (B) to the extent such Delayed Transfer SpinCo Employee has an outstanding loan balance under the Comcast 401(k) Plans as of the applicable Delayed Transfer Date, the applicable member of the Comcast Group and the applicable member of the SpinCo Group shall cooperate in good faith to take any and all commercially reasonable efforts needed to permit such Delayed Transfer SpinCo Employee to continue to make scheduled loan payments to the Comcast 401(k) Plans after such date, pending the distribution and rollover of the promissory notes evidencing such participant loans from the Comcast 401(k) Plans to the SpinCo 401(k) Plan, as provided in this Section 11.02(a), so as to prevent, to the extent reasonably possible, a deemed distribution or loan offset with respect to such outstanding participant loans. In connection with the actions contemplated by this Section 11.02(a), the Parties shall cooperate in good faith to determine the treatment of any portion of a Delayed Transfer SpinCo Employee’s account balance under the Comcast 401(k) Plans that is unvested as of immediately prior to the applicable Delayed Transfer Date.</w:t>
      </w:r>
    </w:p>
    <w:p>
      <w:pPr>
        <w:spacing w:after="0" w:line="191"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Delayed Transfer SpinCo Employees who become eligible to participate in the SpinCo 401(k) Plan, effective as of the applicable Delayed Transfer Date, such employees shall be required to submit new plan elections with the applicable plan administrator in accordance with the terms of the SpinCo 401(k) Plan in connection with their initial participation thereunder.</w:t>
      </w:r>
    </w:p>
    <w:p>
      <w:pPr>
        <w:spacing w:after="0" w:line="174" w:lineRule="exact"/>
        <w:rPr>
          <w:sz w:val="20"/>
          <w:szCs w:val="20"/>
          <w:color w:val="auto"/>
        </w:rPr>
      </w:pPr>
    </w:p>
    <w:p>
      <w:pPr>
        <w:jc w:val="both"/>
        <w:ind w:right="7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Deferred Compensation Plans</w:t>
      </w:r>
      <w:r>
        <w:rPr>
          <w:rFonts w:ascii="Times New Roman" w:cs="Times New Roman" w:eastAsia="Times New Roman" w:hAnsi="Times New Roman"/>
          <w:sz w:val="18"/>
          <w:szCs w:val="18"/>
          <w:color w:val="auto"/>
        </w:rPr>
        <w:t>. Notwithstanding anything to the contrary in Section 5.08, as of the Delayed Transfer Date applicable to any Delayed Transfer SpinCo Employee, the participation of such Delayed Transfer SpinCo Employee in each Comcast Deferred Compensation Plan will be treated in accordance with the terms of such Comcast Deferred Compensation Plan.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68" w:right="479" w:bottom="1440" w:gutter="0" w:footer="0" w:header="0"/>
        </w:sectPr>
      </w:pPr>
    </w:p>
    <w:bookmarkStart w:id="49" w:name="page50"/>
    <w:bookmarkEnd w:id="49"/>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11.04. </w:t>
      </w:r>
      <w:r>
        <w:rPr>
          <w:rFonts w:ascii="Times New Roman" w:cs="Times New Roman" w:eastAsia="Times New Roman" w:hAnsi="Times New Roman"/>
          <w:sz w:val="18"/>
          <w:szCs w:val="18"/>
          <w:i w:val="1"/>
          <w:iCs w:val="1"/>
          <w:color w:val="auto"/>
        </w:rPr>
        <w:t>Health and Welfare Benefit Plans.</w:t>
      </w:r>
      <w:r>
        <w:rPr>
          <w:rFonts w:ascii="Times New Roman" w:cs="Times New Roman" w:eastAsia="Times New Roman" w:hAnsi="Times New Roman"/>
          <w:sz w:val="18"/>
          <w:szCs w:val="18"/>
          <w:color w:val="auto"/>
        </w:rPr>
        <w:t xml:space="preserve"> Without limiting the generality of Section 4.01, effective as of the applicable Delayed Transfer Date, SpinCo shall cause Delayed Transfer SpinCo Employees who participate in (or who are otherwise entitled to present or future benefits under) a Comcast H&amp;W Plan as of immediately prior to the applicable Delayed Transfer Date to be enrolled in and covered by a corresponding SpinCo H&amp;W Plan.</w:t>
      </w:r>
    </w:p>
    <w:p>
      <w:pPr>
        <w:spacing w:after="0" w:line="180" w:lineRule="exact"/>
        <w:rPr>
          <w:sz w:val="20"/>
          <w:szCs w:val="20"/>
          <w:color w:val="auto"/>
        </w:rPr>
      </w:pPr>
    </w:p>
    <w:p>
      <w:pPr>
        <w:ind w:right="2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Treatment of Equity Awards Held by Delayed Transfer SpinCo Employees.</w:t>
      </w:r>
      <w:r>
        <w:rPr>
          <w:rFonts w:ascii="Times New Roman" w:cs="Times New Roman" w:eastAsia="Times New Roman" w:hAnsi="Times New Roman"/>
          <w:sz w:val="18"/>
          <w:szCs w:val="18"/>
          <w:color w:val="auto"/>
        </w:rPr>
        <w:t xml:space="preserve"> Notwithstanding anything to the contrary in Section 8.01, any Comcast Awards held by any Delayed Transfer SpinCo Employees shall be adjusted into Adjusted Comcast Awards as of the Distribution Date in the manner set forth in Section 8.01(a)(i) and Section 8.02(a), as applicable. Upon the applicable Delayed Transfer Date, each Adjusted Comcast Award held by the applicable Delayed Transfer SpinCo Employee will be treated in accordance with the terms of the applicable award agreements evidencing his or her Adjusted Comcast Awards or any employment, separation or retirement agreements or arrangements by and between such Delayed Transfer SpinCo Employee and the applicable member of the Comcast Group. As of the applicable Delayed Transfer Date, SpinCo may, in its discretion, grant such Delayed Transfer SpinCo Employee SpinCo Awards in such amount as SpinCo shall determine in its sole discretion, which shall be subject to vesting and payment or settlement terms and conditions determined by SpinCo in its sole discretion.</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ESTRICTIVE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Non-Solicitation of Employees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36"/>
        <w:spacing w:after="0" w:line="261"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applicable Restricted Period, SpinCo shall not, and shall cause each member of the SpinCo Group not to, solicit or induce, or attempt to solicit or induce, any Covered Comcast Service Provider to terminate his or her employment or service relationship with any member of the Comcast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SpinCo Group shall not be prohibited from placing public advertisements or conducting any other form of general solicitation that is not specifically targeted toward a Covered Comcast Service Provider.</w:t>
      </w:r>
    </w:p>
    <w:p>
      <w:pPr>
        <w:spacing w:after="0" w:line="179"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applicable Restricted Period, Comcast shall not, and shall cause each member of the Comcast Group not to, solicit or induce, or attempt to solicit or induce, any Covered SpinCo Service Provider to terminate his or her employment or service relationship with any member of the SpinCo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Comcast Group shall not be prohibited from placing public advertisements or conducting any other form of general solicitation that is not specifically targeted toward a Covered SpinCo Service Provider.</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ENERAL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DMINISTRATIVE</w:t>
      </w:r>
    </w:p>
    <w:p>
      <w:pPr>
        <w:spacing w:after="0" w:line="20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i w:val="1"/>
          <w:iCs w:val="1"/>
          <w:color w:val="auto"/>
        </w:rPr>
        <w:t>Sharing of Participant Information</w:t>
      </w:r>
      <w:r>
        <w:rPr>
          <w:rFonts w:ascii="Times New Roman" w:cs="Times New Roman" w:eastAsia="Times New Roman" w:hAnsi="Times New Roman"/>
          <w:sz w:val="18"/>
          <w:szCs w:val="18"/>
          <w:color w:val="auto"/>
        </w:rPr>
        <w:t>. Without limiting the generality of any of the provisions of any other Ancillary Agreements, to the maximum extent permitted under Applicable Law, each of Comcast and SpinCo shall, and shall cause each member of the Comcast Group and the SpinCo Group, respectively, to reasonably cooperate with the other Party hereto to (i) share with each other and their respective agents and vendors all participant information reasonably necessary for the efficient and accurate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0"/>
          </w:cols>
          <w:pgMar w:left="440" w:top="268" w:right="559" w:bottom="1440" w:gutter="0" w:footer="0" w:header="0"/>
        </w:sectPr>
      </w:pPr>
    </w:p>
    <w:bookmarkStart w:id="50" w:name="page51"/>
    <w:bookmarkEnd w:id="5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of each of the Comcast Plans and the SpinCo Plans, (ii) provide prompt written notification regarding the termination of employment or service of any SpinCo Participant or Comcast Participant to the extent relevant to the administration of a Comcast Plan or SpinCo Plan, (iii) facilitate the transactions and activities contemplated by this Agreement and (iv) resolve any and all employment-related claims regarding SpinCo Participants and Comcast Participants.</w:t>
      </w:r>
    </w:p>
    <w:p>
      <w:pPr>
        <w:spacing w:after="0" w:line="178"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xml:space="preserve"> Each of Comcast and SpinCo shall, and shall cause the members of the Comcast Group and the SpinCo Group, respectively, to reasonably cooperate with the other Party with respect to any employee compensation or benefits matters that either Party reasonably determines require the cooperation of the other Party in order to accomplish the objectives of this Agreement (including relating to any audits by any Governmental Authorities);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be deemed to require any member of the SpinCo Group to administer any Comcast Plan or to require any member of the Comcast Group to administer any SpinCo Plan, in each case at any time on or following the Distribution Date.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i w:val="1"/>
          <w:iCs w:val="1"/>
          <w:color w:val="auto"/>
        </w:rPr>
        <w:t>Vendor Contracts</w:t>
      </w:r>
      <w:r>
        <w:rPr>
          <w:rFonts w:ascii="Times New Roman" w:cs="Times New Roman" w:eastAsia="Times New Roman" w:hAnsi="Times New Roman"/>
          <w:sz w:val="18"/>
          <w:szCs w:val="18"/>
          <w:color w:val="auto"/>
        </w:rPr>
        <w:t>. Prior to the Distribution Date, the Parties will cooperate in good faith and use reasonable best efforts to</w:t>
      </w:r>
    </w:p>
    <w:p>
      <w:pPr>
        <w:spacing w:after="0" w:line="29" w:lineRule="exact"/>
        <w:rPr>
          <w:sz w:val="20"/>
          <w:szCs w:val="20"/>
          <w:color w:val="auto"/>
        </w:rPr>
      </w:pPr>
    </w:p>
    <w:p>
      <w:pPr>
        <w:ind w:left="4" w:hanging="4"/>
        <w:spacing w:after="0" w:line="251" w:lineRule="auto"/>
        <w:tabs>
          <w:tab w:leader="none" w:pos="2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with the current third-party providers to separate and assign to the SpinCo Group or SpinCo Plan or the Comcast Group or Comcast Plan, as applicable, the applicable rights and obligations under each group insurance policy, health maintenance organization, administrative services contract, third-party administrator agreement, letter of understanding or arrangement that pertains to one or more Comcast Plans or SpinCo Plans, respectively (each, a “</w:t>
      </w:r>
      <w:r>
        <w:rPr>
          <w:rFonts w:ascii="Times New Roman" w:cs="Times New Roman" w:eastAsia="Times New Roman" w:hAnsi="Times New Roman"/>
          <w:sz w:val="18"/>
          <w:szCs w:val="18"/>
          <w:b w:val="1"/>
          <w:bCs w:val="1"/>
          <w:color w:val="auto"/>
        </w:rPr>
        <w:t>Vendor Contract</w:t>
      </w:r>
      <w:r>
        <w:rPr>
          <w:rFonts w:ascii="Times New Roman" w:cs="Times New Roman" w:eastAsia="Times New Roman" w:hAnsi="Times New Roman"/>
          <w:sz w:val="18"/>
          <w:szCs w:val="18"/>
          <w:color w:val="auto"/>
        </w:rPr>
        <w:t>”), to the extent that such rights or obligations pertain to SpinCo Participants or Comcast Participants, respectively, or, in the alternative, to negotiate with the current third-party providers to provide substantially similar services to a SpinCo Plan or Comcast Plan, respectively, on substantially similar terms under separate contracts with a member of the SpinCo Group or the SpinCo Plans or Comcast Group or the Comcast Plans, respectively, as applicable, and (ii) to the extent permitted by the applicable third-party provider, obtain and maintain pricing discounts or other preferential terms under the applicable Vendor Contracts.</w:t>
      </w:r>
    </w:p>
    <w:p>
      <w:pPr>
        <w:spacing w:after="0" w:line="192" w:lineRule="exact"/>
        <w:rPr>
          <w:sz w:val="20"/>
          <w:szCs w:val="20"/>
          <w:color w:val="auto"/>
        </w:rPr>
      </w:pPr>
    </w:p>
    <w:p>
      <w:pPr>
        <w:ind w:left="4" w:right="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13.04. </w:t>
      </w:r>
      <w:r>
        <w:rPr>
          <w:rFonts w:ascii="Times New Roman" w:cs="Times New Roman" w:eastAsia="Times New Roman" w:hAnsi="Times New Roman"/>
          <w:sz w:val="17"/>
          <w:szCs w:val="17"/>
          <w:i w:val="1"/>
          <w:iCs w:val="1"/>
          <w:color w:val="auto"/>
        </w:rPr>
        <w:t>Data Privacy</w:t>
      </w:r>
      <w:r>
        <w:rPr>
          <w:rFonts w:ascii="Times New Roman" w:cs="Times New Roman" w:eastAsia="Times New Roman" w:hAnsi="Times New Roman"/>
          <w:sz w:val="17"/>
          <w:szCs w:val="17"/>
          <w:color w:val="auto"/>
        </w:rPr>
        <w:t>. Notwithstanding anything to the contrary herein, the Parties agree that any Applicable Privacy Requirements of the Comcast Group and the SpinCo Group will govern the disclosure and other processing of Personal Information of the Comcast Participants and SpinCo Participants, respectively, by the Parties under this Agreement. Each of Comcast and SpinCo shall ensure that it has in place reasonable technical and organizational security measures designed to protect the Personal Information of the Comcast Participants and SpinCo Participants, respectively.</w:t>
      </w:r>
    </w:p>
    <w:p>
      <w:pPr>
        <w:spacing w:after="0" w:line="164"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i w:val="1"/>
          <w:iCs w:val="1"/>
          <w:color w:val="auto"/>
        </w:rPr>
        <w:t>Notices of Certain Events</w:t>
      </w:r>
      <w:r>
        <w:rPr>
          <w:rFonts w:ascii="Times New Roman" w:cs="Times New Roman" w:eastAsia="Times New Roman" w:hAnsi="Times New Roman"/>
          <w:sz w:val="18"/>
          <w:szCs w:val="18"/>
          <w:color w:val="auto"/>
        </w:rPr>
        <w:t xml:space="preserve">. Each of SpinCo and Comcast shall promptly notify and provide copies to the other of (i) written notice from any Person alleging that the approval or consent of such Person is or may be required in connection with the transactions contemplated by this Agreement, (ii) any written notice or other communication from any Governmental Authority in connection with the transactions contemplated by this Agreement or, insofar as they relate to this Agreement, the Separation Agreement and (iii) any actions, suits, claims, investigations or proceedings commenced or, to its knowledge, threatened against, relating to or involving or otherwise affecting the SpinCo Group or the Comcast Group, as the case may be, that relate to the consummation of the transactions contemplated by this Agreement or, insofar as they relate to this Agreement, the Separation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Section 13.05 shall not affect the remedies available hereunder to the Party receiving such notice.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1" w:name="page52"/>
    <w:bookmarkEnd w:id="5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13.06. </w:t>
      </w:r>
      <w:r>
        <w:rPr>
          <w:rFonts w:ascii="Times New Roman" w:cs="Times New Roman" w:eastAsia="Times New Roman" w:hAnsi="Times New Roman"/>
          <w:sz w:val="18"/>
          <w:szCs w:val="18"/>
          <w:i w:val="1"/>
          <w:iCs w:val="1"/>
          <w:color w:val="auto"/>
        </w:rPr>
        <w:t>No Third-Party Beneficiaries</w:t>
      </w:r>
      <w:r>
        <w:rPr>
          <w:rFonts w:ascii="Times New Roman" w:cs="Times New Roman" w:eastAsia="Times New Roman" w:hAnsi="Times New Roman"/>
          <w:sz w:val="18"/>
          <w:szCs w:val="18"/>
          <w:color w:val="auto"/>
        </w:rPr>
        <w:t>. Notwithstanding anything to the contrary herein, nothing in this Agreement or otherwise shall</w:t>
      </w:r>
    </w:p>
    <w:p>
      <w:pPr>
        <w:spacing w:after="0" w:line="29" w:lineRule="exact"/>
        <w:rPr>
          <w:sz w:val="20"/>
          <w:szCs w:val="20"/>
          <w:color w:val="auto"/>
        </w:rPr>
      </w:pPr>
    </w:p>
    <w:p>
      <w:pPr>
        <w:ind w:left="4" w:hanging="4"/>
        <w:spacing w:after="0" w:line="251" w:lineRule="auto"/>
        <w:tabs>
          <w:tab w:leader="none" w:pos="2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obligation on the part of any member of the SpinCo Group or any member of the Comcast Group to retain the employment or services of any current, former or future employee, director or other service provider, (ii) be construed to create any right, or accelerate entitlement, to any compensation or benefit whatsoever on the part of any current, former or future employee, director or other service provider of any member of the Comcast Group or the SpinCo Group (or any beneficiary or dependent thereof) under this Agreement, the Separation Agreement, any Comcast Plan or SpinCo Plan or otherwise, (iii) preclude SpinCo or any SpinCo Group member (or, in each case, any successor thereto), at any time after the Distribution Date, from amending, merging, modifying, terminating, eliminating, reducing or otherwise altering in any respect any SpinCo Plan, any benefit under any SpinCo Plan or any trust, insurance policy or funding vehicle related to any SpinCo Plan (in each case in accordance with the terms of the applicable arrangement), (iv) preclude Comcast or any Comcast Group member (or, in each case, any successor thereto), at any time after the Distribution Date, from amending, merging, modifying, terminating, eliminating, reducing or otherwise altering in any respect any Comcast Plan, any benefit under any Comcast Plan or any trust, insurance policy or funding vehicle related to any Comcast Plan (in each case in accordance with the terms of the applicable arrangement) or (v) confer any other rights or remedies (including any third-party beneficiary rights) on any current, former or future employee, director or other service provider of any member of the Comcast Group or the SpinCo Group or any beneficiary or dependent thereof or any other Person, including any Comcast Participants or SpinCo Participants.</w:t>
      </w:r>
    </w:p>
    <w:p>
      <w:pPr>
        <w:spacing w:after="0" w:line="190"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i w:val="1"/>
          <w:iCs w:val="1"/>
          <w:color w:val="auto"/>
        </w:rPr>
        <w:t>Fiduciary Matters</w:t>
      </w:r>
      <w:r>
        <w:rPr>
          <w:rFonts w:ascii="Times New Roman" w:cs="Times New Roman" w:eastAsia="Times New Roman" w:hAnsi="Times New Roman"/>
          <w:sz w:val="18"/>
          <w:szCs w:val="18"/>
          <w:color w:val="auto"/>
        </w:rPr>
        <w:t>. The Parties each acknowledge that (i) actions required to be taken pursuant to this Agreement may be subject to fiduciary duties or standards of conduct under ERISA or other Applicable Law, (ii) the provisions of this Agreement that relate to such actions are intended to comply with such fiduciary duties or standards and (iii) no Party shall be deemed to be in violation of this Agreement if it fails to comply with any provisions hereof based upon its good faith determination (as supported by advice from counsel experienced in such matters) that to do so would violate such a fiduciary duty or standard of conduct.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8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i w:val="1"/>
          <w:iCs w:val="1"/>
          <w:color w:val="auto"/>
        </w:rPr>
        <w:t>Consent of Third Parties</w:t>
      </w:r>
      <w:r>
        <w:rPr>
          <w:rFonts w:ascii="Times New Roman" w:cs="Times New Roman" w:eastAsia="Times New Roman" w:hAnsi="Times New Roman"/>
          <w:sz w:val="18"/>
          <w:szCs w:val="18"/>
          <w:color w:val="auto"/>
        </w:rPr>
        <w:t>. If any provision of this Agreement is dependent on the consent of any third party (such as a vendor or Governmental Authority), the Parties shall cooperate in good faith and use commercially reasonable efforts to obtain such consent and, if such consent is not obtained, to implement the applicable provisions of this Agreement to the full extent practicable. If any provision of this Agreement cannot be implemented due to the failure of such third party to consent, the Parties shall negotiate in good faith to implement the provision in a mutually satisfactory manner.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268" w:right="439" w:bottom="1440" w:gutter="0" w:footer="0" w:header="0"/>
        </w:sectPr>
      </w:pPr>
    </w:p>
    <w:bookmarkStart w:id="52" w:name="page53"/>
    <w:bookmarkEnd w:id="52"/>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13.09. </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The Parties shall cooperate in good faith so that the transactions contemplated by this Agreement and the Separation Agreement will not result in adverse tax consequences under Section 409A to any Comcast Participant or SpinCo Participant in respect of their benefits under any Employee Plan.</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p>
      <w:pPr>
        <w:spacing w:after="0" w:line="20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provisions of Section 4.01, Section 4.04, Section 4.05, Section 4.06, Section 4.07, Section 4.08, Section 4.09, Section 4.14 and Article 6 of the Separation Agreement (other than Section 6.06 as it relates to third-party beneficiaries of the Separation Agreement and Section 6.08 as it relates to the governance of employee matters) are hereby incorporated by reference into and deemed part of this Agreement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fully set forth in this Agreement.</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440" w:top="268" w:right="539" w:bottom="1440" w:gutter="0" w:footer="0" w:header="0"/>
        </w:sectPr>
      </w:pPr>
    </w:p>
    <w:bookmarkStart w:id="53" w:name="page54"/>
    <w:bookmarkEnd w:id="5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by their duly authorized representatives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[Signature Page to Employee Matters Agreement]</w:t>
      </w:r>
    </w:p>
    <w:p>
      <w:pPr>
        <w:sectPr>
          <w:pgSz w:w="11900" w:h="16838" w:orient="portrait"/>
          <w:cols w:equalWidth="0" w:num="1">
            <w:col w:w="10580"/>
          </w:cols>
          <w:pgMar w:left="440" w:top="270" w:right="8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Subsidiaries of Versant Media Group, Inc.</w:t>
      </w:r>
    </w:p>
    <w:p>
      <w:pPr>
        <w:sectPr>
          <w:pgSz w:w="11900" w:h="16838" w:orient="portrait"/>
          <w:cols w:equalWidth="0" w:num="1">
            <w:col w:w="11020"/>
          </w:cols>
          <w:pgMar w:left="440" w:top="117" w:right="439" w:bottom="144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p>
      <w:pPr>
        <w:spacing w:after="0" w:line="21"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Albatros Datenservice GmbH</w:t>
      </w:r>
    </w:p>
    <w:p>
      <w:pPr>
        <w:spacing w:after="0"/>
        <w:rPr>
          <w:sz w:val="20"/>
          <w:szCs w:val="20"/>
          <w:color w:val="auto"/>
        </w:rPr>
      </w:pPr>
      <w:r>
        <w:rPr>
          <w:rFonts w:ascii="Times New Roman" w:cs="Times New Roman" w:eastAsia="Times New Roman" w:hAnsi="Times New Roman"/>
          <w:sz w:val="18"/>
          <w:szCs w:val="18"/>
          <w:color w:val="auto"/>
        </w:rPr>
        <w:t>Albatros Solutions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Blastr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BRS Golf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News (Asia)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News (Europe)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Cinepapaya México S.A. de C.V.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Advertising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Productions of Louisiana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World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Golf Solutions 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Entertainment Television,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Networks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Exclamation Music,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EZLinks Golf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EZLinks Golf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at Home,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Loyalty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Marketing,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Media,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Fandango Merchandising,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Golfcolorado.com,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GolfNow Enterprises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Golfnow,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Incuborn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LSS Football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MediaNaviCo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Mighty Ticket,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MovieTickets.com Promotions,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MovieTickets.com,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Cable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Music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Super Desk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MTC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Syfy Channel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USA Cable Entertainment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USA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Center for Safety Initiatives,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NewCo Cable,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O2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O2 Music,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Cable,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Interactive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Germany</w:t>
      </w: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 &amp; Wales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020" w:space="720"/>
            <w:col w:w="5280"/>
          </w:cols>
          <w:pgMar w:left="440" w:top="117" w:right="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Papaya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(VCSF)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Lab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Lab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Spark EC Property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 Cards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Channel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TeamUnify,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TGC,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TST Events,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TST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TZGZ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Television Networks,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Cable Entertainment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USA Cable Entertainment Publishing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Network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Network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(Singapore) Holdings I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(Singapore) Holdings II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(UK)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Fandango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Media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Media,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Sports Mobile Apps,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-213360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Oregon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 &amp; Wales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020" w:space="720"/>
            <w:col w:w="4279"/>
          </w:cols>
          <w:pgMar w:left="440" w:top="270"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Information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18, 2025)</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951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142303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Versant Media Group, Inc.</w:t>
      </w:r>
    </w:p>
    <w:p>
      <w:pPr>
        <w:spacing w:after="0" w:line="1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Class B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right="160" w:firstLine="440"/>
        <w:spacing w:after="0" w:line="271" w:lineRule="auto"/>
        <w:rPr>
          <w:sz w:val="20"/>
          <w:szCs w:val="20"/>
          <w:color w:val="auto"/>
        </w:rPr>
      </w:pPr>
      <w:r>
        <w:rPr>
          <w:rFonts w:ascii="Times New Roman" w:cs="Times New Roman" w:eastAsia="Times New Roman" w:hAnsi="Times New Roman"/>
          <w:sz w:val="16"/>
          <w:szCs w:val="16"/>
          <w:color w:val="auto"/>
        </w:rPr>
        <w:t>Comcast Corporation (“Comcast”) is furnishing this information statement in connection with the separation of certain cable television networks and complementary digital platforms from its remaining businesses, and the creation of an independent, publicly traded company named Versant Media Group, Inc. (“Versant”). Historically, this business has not been operated as a distinct business unit or division of Comcast. As a result, Comcast is undertaking a series of corporate reorganization transactions (the “Transactions”) in anticipation of the Distribution, which require strategic and structural realignment within Comcast’s operations. Following the Transactions, Versant, directly or indirectly through its subsidiaries, will hold the assets, liabilities and legal entities comprising the Spin Business (as defined herein). Versant is currently a wholly owned subsidiary of Comcast.</w:t>
      </w:r>
    </w:p>
    <w:p>
      <w:pPr>
        <w:spacing w:after="0" w:line="76"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6"/>
          <w:szCs w:val="16"/>
          <w:color w:val="auto"/>
        </w:rPr>
        <w:t>All of the shares of Versant Class A common stock, par value $0.01 per share (the “Versant Class A common stock”), and Versant Class B common stock, par value $0.01 per share (the “Versant Class B common stock” and, together with the Versant Class A common stock, the “Versant common stock”), will be distributed, respectively, to the holders of Comcast Class A common stock, par value $0.01 per share (the “Comcast Class A common stock”), and holders of Comcast Class B common stock, par value $0.01 per share (the “Comcast Class B common stock” and, together with the Comcast Class A common stock, the “Comcast common stock”), of record as of the close of business on         , 2025, the record date (the “Distribution” and, together with the Transactions, the “Separation”). </w:t>
      </w:r>
    </w:p>
    <w:p>
      <w:pPr>
        <w:spacing w:after="0" w:line="78" w:lineRule="exact"/>
        <w:rPr>
          <w:sz w:val="20"/>
          <w:szCs w:val="20"/>
          <w:color w:val="auto"/>
        </w:rPr>
      </w:pPr>
    </w:p>
    <w:p>
      <w:pPr>
        <w:ind w:left="120" w:right="220" w:firstLine="440"/>
        <w:spacing w:after="0" w:line="298" w:lineRule="auto"/>
        <w:rPr>
          <w:sz w:val="20"/>
          <w:szCs w:val="20"/>
          <w:color w:val="auto"/>
        </w:rPr>
      </w:pPr>
      <w:r>
        <w:rPr>
          <w:rFonts w:ascii="Times New Roman" w:cs="Times New Roman" w:eastAsia="Times New Roman" w:hAnsi="Times New Roman"/>
          <w:sz w:val="16"/>
          <w:szCs w:val="16"/>
          <w:color w:val="auto"/>
        </w:rPr>
        <w:t>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w:t>
      </w:r>
    </w:p>
    <w:p>
      <w:pPr>
        <w:spacing w:after="0" w:line="56"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6"/>
          <w:szCs w:val="16"/>
          <w:color w:val="auto"/>
        </w:rPr>
        <w:t>The Distribution is expected to be completed after the close of trading on The Nasdaq Stock Market LLC (“Nasdaq”) on        , 2026. Upon the effectiveness of the Distribution, Versant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 of Versant common stock.</w:t>
      </w:r>
    </w:p>
    <w:p>
      <w:pPr>
        <w:spacing w:after="0" w:line="75"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No vote or other action is required by you to receive shares of Versant common stock in the Distribution. You will not be required to pay anything for the new shares of Versant common stock or to surrender any of your shares of Comcast common stock. We are not asking you for a proxy and you should not send us a proxy.</w:t>
      </w:r>
    </w:p>
    <w:p>
      <w:pPr>
        <w:spacing w:after="0" w:line="56"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6"/>
          <w:szCs w:val="16"/>
          <w:color w:val="auto"/>
        </w:rPr>
        <w:t>There currently is no trading market for Versant Class A common stock. Versant has been approved to have its shares of Class A common stock listed on Nasdaq under the ticker symbol “VSNT”, subject to official notice of issuance. We anticipate that a limited market, commonly known as a “when-issued” trading market, for Versant Class A common stock will commence on         , 2025 and will continue up to and including the Distribution Date (as defined herein). We expect the “regular-way” trading of Versant Class A common stock will begin on the first trading day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beginning on page 23.</w:t>
      </w:r>
    </w:p>
    <w:p>
      <w:pPr>
        <w:spacing w:after="0" w:line="131" w:lineRule="exact"/>
        <w:rPr>
          <w:sz w:val="20"/>
          <w:szCs w:val="20"/>
          <w:color w:val="auto"/>
        </w:rPr>
      </w:pPr>
    </w:p>
    <w:p>
      <w:pPr>
        <w:ind w:left="120" w:right="80" w:firstLine="440"/>
        <w:spacing w:after="0" w:line="298" w:lineRule="auto"/>
        <w:rPr>
          <w:sz w:val="20"/>
          <w:szCs w:val="20"/>
          <w:color w:val="auto"/>
        </w:rPr>
      </w:pPr>
      <w:r>
        <w:rPr>
          <w:rFonts w:ascii="Times New Roman" w:cs="Times New Roman" w:eastAsia="Times New Roman" w:hAnsi="Times New Roman"/>
          <w:sz w:val="16"/>
          <w:szCs w:val="16"/>
          <w:color w:val="auto"/>
        </w:rPr>
        <w:t>Neither the U.S. Securities and Exchange Commission (“SEC”) nor any state securities commission has approved or disapproved these securities or determined if this information statement is truthful or complete. Any representation to the contrary is a criminal offense.</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information statement does not constitute an offer to sell or the solicitation of an offer to buy any securities.</w:t>
      </w:r>
    </w:p>
    <w:p>
      <w:pPr>
        <w:spacing w:after="0" w:line="1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 xml:space="preserve">The date of this information statement is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  , 2025.</w:t>
      </w:r>
    </w:p>
    <w:p>
      <w:pPr>
        <w:spacing w:after="0" w:line="129"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A Notice of Internet Availability of Information Statement Materials containing instructions describing how to access the information statement was first made available to Comcast shareholders on or about         , 2025.</w:t>
      </w:r>
    </w:p>
    <w:p>
      <w:pPr>
        <w:sectPr>
          <w:pgSz w:w="11900" w:h="16838" w:orient="portrait"/>
          <w:cols w:equalWidth="0" w:num="1">
            <w:col w:w="11140"/>
          </w:cols>
          <w:pgMar w:left="320" w:top="117"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Presentation of Financial and Other Information</w:t>
            </w:r>
          </w:p>
        </w:tc>
        <w:tc>
          <w:tcPr>
            <w:tcW w:w="7180" w:type="dxa"/>
            <w:vAlign w:val="bottom"/>
            <w:gridSpan w:val="6"/>
            <w:vMerge w:val="restart"/>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3460" w:type="dxa"/>
            <w:vAlign w:val="bottom"/>
            <w:tcBorders>
              <w:bottom w:val="single" w:sz="8" w:color="0000EE"/>
            </w:tcBorders>
            <w:gridSpan w:val="12"/>
            <w:vMerge w:val="continue"/>
          </w:tcPr>
          <w:p>
            <w:pPr>
              <w:spacing w:after="0"/>
              <w:rPr>
                <w:sz w:val="14"/>
                <w:szCs w:val="14"/>
                <w:color w:val="auto"/>
              </w:rPr>
            </w:pPr>
          </w:p>
        </w:tc>
        <w:tc>
          <w:tcPr>
            <w:tcW w:w="7180" w:type="dxa"/>
            <w:vAlign w:val="bottom"/>
            <w:gridSpan w:val="6"/>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99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Separation</w:t>
            </w:r>
          </w:p>
        </w:tc>
        <w:tc>
          <w:tcPr>
            <w:tcW w:w="95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Combined Financial Statements</w:t>
            </w:r>
          </w:p>
        </w:tc>
        <w:tc>
          <w:tcPr>
            <w:tcW w:w="67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1000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96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68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Ownership of Common Stock by Certain Beneficial Owners and Management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56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Material Indebtedness</w:t>
            </w:r>
          </w:p>
        </w:tc>
        <w:tc>
          <w:tcPr>
            <w:tcW w:w="50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9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86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Index to Combined Financial Statements</w:t>
            </w:r>
          </w:p>
        </w:tc>
        <w:tc>
          <w:tcPr>
            <w:tcW w:w="770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use the following terms to refer to the items indicated:</w:t>
      </w:r>
    </w:p>
    <w:p>
      <w:pPr>
        <w:spacing w:after="0" w:line="131" w:lineRule="exact"/>
        <w:rPr>
          <w:sz w:val="20"/>
          <w:szCs w:val="20"/>
          <w:color w:val="auto"/>
        </w:rPr>
      </w:pPr>
    </w:p>
    <w:p>
      <w:pPr>
        <w:ind w:left="1080" w:hanging="424"/>
        <w:spacing w:after="0" w:line="25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“Versant,” unless the context otherwise requires, refer to Versant Media Group, Inc., the entity that, after giving effect to the Transactions, will hold, directly or indirectly through its subsidiaries, the assets and liabilities comprising the Spin Business, as defined below, and the shares of common stock of which Comcast will distribute in connection with the Separation. Where appropriate given the context, the foregoing terms also include the subsidiaries of this entity; these terms may be used to describe the Spin Business prior to completion of the Separation.</w:t>
      </w:r>
    </w:p>
    <w:p>
      <w:pPr>
        <w:spacing w:after="0" w:line="8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 Business” refers to the business, operations, products, services and activities of certain of Comcast’s cable television networks, including My Source News Opinion World (“MS NOW”) (formerly MSNBC), CNBC, USA Network, Golf Channel, E!, SYFY and Oxygen, and complementary digital platforms, including GolfNow, Fandango, Rotten Tomatoes and SportsEngine. See “Business” for more information.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common stock means, together, Comcast Class A common stock and Comcast Class B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common stock means, together, Versant Class A common stock and Versant Class B common stock.</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context otherwise requires, the term “Comcast” refers to Comcast, the entity that owns Versant prior to the Separation and that after the Separation will remain a separately traded public company consisting of its remaining operations.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refers to the distribution of all of the shares of Versant common stock owned by Comcast to the holders of Comcast common stock as of the record date.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“Transactions” refers to the series of corporate reorganization transactions which will result in the assets, liabilities and legal entities comprising the Spin Business being owned directly or indirectly by Versant.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the context otherwise requires, the term “Separation” refers to the separation of the Spin Business from Comcast and the creation of an independent, publicly traded company named Versant, through the consummation of the Transactions and the Distribution.</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Date” means the date on which the Distribution occurs.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21" w:lineRule="exact"/>
        <w:rPr>
          <w:sz w:val="20"/>
          <w:szCs w:val="20"/>
          <w:color w:val="auto"/>
        </w:rPr>
      </w:pPr>
    </w:p>
    <w:p>
      <w:pPr>
        <w:ind w:left="120" w:right="100" w:firstLine="440"/>
        <w:spacing w:after="0" w:line="247" w:lineRule="auto"/>
        <w:rPr>
          <w:sz w:val="20"/>
          <w:szCs w:val="20"/>
          <w:color w:val="auto"/>
        </w:rPr>
      </w:pPr>
      <w:r>
        <w:rPr>
          <w:rFonts w:ascii="Times New Roman" w:cs="Times New Roman" w:eastAsia="Times New Roman" w:hAnsi="Times New Roman"/>
          <w:sz w:val="17"/>
          <w:szCs w:val="17"/>
          <w:color w:val="auto"/>
        </w:rPr>
        <w:t xml:space="preserve">We own and license various trademark registrations, trademark applications and unregistered trademarks. All other trade names, trademarks and service marks of other companies appearing in this information statement are the property of their respective holders. Solely for convenience, the trademarks and trade names in this information statement may be referred to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statement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contained therein has been obtained from sources believed to be reliable. Each publication, study and report speaks as of its original publication date (and not as of the date of this information statement).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Statements,” and “Management’s Discussion and Analysis of Financial Condition and Results of Operations” in this information statement. These and other factors could cause results to differ materially from those expressed in the estimates and beliefs made by third parties and by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of Versant has not been included in this information statement as, from its formation on May 1, 2025 to the date of this information statement,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results provided throughout this information statement that are in accordance with generally accepted accounting principles in the United States (“GAAP”), we use Adjusted EBITDA, which is a non-GAAP financial measure, in this information statement. Adjusted EBITDA should not be considered in isolation, or as a substitute for our results as reported under GAAP. See “Management’s Discussion and Analysis of Financial Condition and Results of Operation—Non-GAAP Financial Measures” for a discussion on how we define and calculate Adjusted EBITDA, why we believe this measure is important and a reconciliation of the most directly comparable GAAP measure. Adjusted EBITDA should be read in conjunction with our unaudited condensed combined financial statements for the nine months ended September 30, 2025 and our audited combined financial statements for the year ended December 31, 2024 (collectively, the “combined financial statements”) and accompanying notes included elsewhere in this information statement, “Summary—Summary Combined Financial and Other Data,” “Management’s Discussion and Analysis of Financial Condition and Results of Operations” and “Unaudited Pro Forma Combined Financial Statements.”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Rounding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60"/>
          </w:cols>
          <w:pgMar w:left="320" w:top="455"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made statements under the captions “Summary,” “Risk Factors,” “Management’s Discussion and Analysis of Financial Condition and Results of Operations,” “Business” and in other sections of this information statement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numerous risks discussed under the caption entitled “Risk Factors.”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Except as required by law, neither Comcast is nor we are under any duty to update any of these forward-looking statements after the date of this information statement to conform our prior statements to actual results or revised expectations.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0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information statement. This summary does not contain all of the information that you should consider. You should read this entire information statement carefully, especially the risks of owning our common stock discussed under “Risk Factors” and our combined financial statements, our unaudited pro forma combined financial statements and the respective notes to those statements appearing elsewhere in this information statement. Except as otherwise indicated or unless the context otherwise requires, the information included in this information statement assumes the completion of all the transactions referred to in this information statement in connection with the Separation.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 NOW (formerly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strong portfolio of brands delivers compelling news, sports and entertainment content that we distribute through our networks and digital platforms:</w:t>
      </w:r>
    </w:p>
    <w:p>
      <w:pPr>
        <w:spacing w:after="0" w:line="67" w:lineRule="exact"/>
        <w:rPr>
          <w:sz w:val="20"/>
          <w:szCs w:val="20"/>
          <w:color w:val="auto"/>
        </w:rPr>
      </w:pPr>
    </w:p>
    <w:p>
      <w:pPr>
        <w:ind w:left="1240" w:right="160" w:hanging="415"/>
        <w:spacing w:after="0" w:line="254"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(formerly MSNBC) is a premier destination for politics, news and opinion through informed, distinct perspectives and analysis. MS NOW operates across multiple media platforms: multichannel video programming distributors (“MVPDs”), digital, social platforms, podcasts and live events. With highly loyal and engaged audiences representing over 14 million viewers weekly in 2024 according to Nielsen, MS NOW is home to many of the country’s most influential political news programs that shape daily public discourse. In August 2025, we announced the rebranding of MSNBC as MS NOW. This gives us the opportunity to create a distinct brand that underscores our mission to serve as the destination for domestic and international breaking news and best-in-class opinion journalism. The rebranding became effective in November 2025. We have discontinued use of the MSNBC brand and now use MS NOW for the network and all related platforms and products.</w:t>
      </w:r>
    </w:p>
    <w:p>
      <w:pPr>
        <w:spacing w:after="0" w:line="9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36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40"/>
        <w:spacing w:after="0" w:line="266" w:lineRule="auto"/>
        <w:rPr>
          <w:sz w:val="20"/>
          <w:szCs w:val="20"/>
          <w:color w:val="auto"/>
        </w:rPr>
      </w:pPr>
      <w:r>
        <w:rPr>
          <w:rFonts w:ascii="Times New Roman" w:cs="Times New Roman" w:eastAsia="Times New Roman" w:hAnsi="Times New Roman"/>
          <w:sz w:val="18"/>
          <w:szCs w:val="18"/>
          <w:color w:val="auto"/>
        </w:rPr>
        <w:t>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1" w:lineRule="exact"/>
        <w:rPr>
          <w:sz w:val="20"/>
          <w:szCs w:val="20"/>
          <w:color w:val="auto"/>
        </w:rPr>
      </w:pPr>
    </w:p>
    <w:p>
      <w:pPr>
        <w:ind w:left="1240" w:right="80" w:hanging="415"/>
        <w:spacing w:after="0" w:line="261"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The Open Championship and the Ryder Cup, the Premier League, college basketball and the Olympics. USA Network has been a top-five cable entertainment network each year for the past 30 years.</w:t>
      </w:r>
    </w:p>
    <w:p>
      <w:pPr>
        <w:spacing w:after="0" w:line="85" w:lineRule="exact"/>
        <w:rPr>
          <w:rFonts w:ascii="Times New Roman" w:cs="Times New Roman" w:eastAsia="Times New Roman" w:hAnsi="Times New Roman"/>
          <w:sz w:val="18"/>
          <w:szCs w:val="18"/>
          <w:color w:val="auto"/>
        </w:rPr>
      </w:pPr>
    </w:p>
    <w:p>
      <w:pPr>
        <w:ind w:left="1240" w:right="500" w:hanging="415"/>
        <w:spacing w:after="0" w:line="266"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 Golf Channel celebrated its 30th anniversary in 2025, making it the longest-running single-sport television network.</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9" w:lineRule="auto"/>
        <w:tabs>
          <w:tab w:leader="none" w:pos="124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63" w:lineRule="exact"/>
        <w:rPr>
          <w:rFonts w:ascii="Times New Roman" w:cs="Times New Roman" w:eastAsia="Times New Roman" w:hAnsi="Times New Roman"/>
          <w:sz w:val="17"/>
          <w:szCs w:val="17"/>
          <w:color w:val="auto"/>
        </w:rPr>
      </w:pPr>
    </w:p>
    <w:p>
      <w:pPr>
        <w:ind w:left="1240" w:right="40" w:hanging="415"/>
        <w:spacing w:after="0" w:line="261"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 With a history of multiplatform digital and social content expertise, E! News Digital delivers audience, scale and premium content to fans across owned and third-party digital and social platforms.</w:t>
      </w:r>
    </w:p>
    <w:p>
      <w:pPr>
        <w:spacing w:after="0" w:line="85" w:lineRule="exact"/>
        <w:rPr>
          <w:rFonts w:ascii="Times New Roman" w:cs="Times New Roman" w:eastAsia="Times New Roman" w:hAnsi="Times New Roman"/>
          <w:sz w:val="18"/>
          <w:szCs w:val="18"/>
          <w:color w:val="auto"/>
        </w:rPr>
      </w:pPr>
    </w:p>
    <w:p>
      <w:pPr>
        <w:jc w:val="both"/>
        <w:ind w:left="1240" w:right="360" w:hanging="415"/>
        <w:spacing w:after="0" w:line="266"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 SYFY provides content on a multiplatform basis through SYFY’s network and related digital services.</w:t>
      </w:r>
    </w:p>
    <w:p>
      <w:pPr>
        <w:spacing w:after="0" w:line="81" w:lineRule="exact"/>
        <w:rPr>
          <w:rFonts w:ascii="Times New Roman" w:cs="Times New Roman" w:eastAsia="Times New Roman" w:hAnsi="Times New Roman"/>
          <w:sz w:val="18"/>
          <w:szCs w:val="18"/>
          <w:color w:val="auto"/>
        </w:rPr>
      </w:pPr>
    </w:p>
    <w:p>
      <w:pPr>
        <w:ind w:left="1240" w:right="300" w:hanging="415"/>
        <w:spacing w:after="0" w:line="261"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 Oxygen True Crime was the second most-viewed true crime network in 2024.</w:t>
      </w:r>
    </w:p>
    <w:p>
      <w:pPr>
        <w:spacing w:after="0" w:line="85" w:lineRule="exact"/>
        <w:rPr>
          <w:rFonts w:ascii="Times New Roman" w:cs="Times New Roman" w:eastAsia="Times New Roman" w:hAnsi="Times New Roman"/>
          <w:sz w:val="18"/>
          <w:szCs w:val="18"/>
          <w:color w:val="auto"/>
        </w:rPr>
      </w:pPr>
    </w:p>
    <w:p>
      <w:pPr>
        <w:ind w:left="1240" w:hanging="415"/>
        <w:spacing w:after="0" w:line="230"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approximately 31,000 U.S. screens, trailers and original video and home entertainment.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Fandango Media includes Rotten Tomatoes, one of the world’s most trusted sources of movie and television reviews.</w:t>
      </w:r>
    </w:p>
    <w:p>
      <w:pPr>
        <w:spacing w:after="0" w:line="169" w:lineRule="exact"/>
        <w:rPr>
          <w:rFonts w:ascii="Times New Roman" w:cs="Times New Roman" w:eastAsia="Times New Roman" w:hAnsi="Times New Roman"/>
          <w:sz w:val="18"/>
          <w:szCs w:val="18"/>
          <w:color w:val="auto"/>
        </w:rPr>
      </w:pPr>
    </w:p>
    <w:p>
      <w:pPr>
        <w:ind w:left="500" w:right="220" w:hanging="203"/>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i w:val="1"/>
          <w:iCs w:val="1"/>
          <w:color w:val="auto"/>
        </w:rPr>
        <w:t xml:space="preserve"> Source: Comscore Media Metrix Multi-Platform, July 2024 – August 2024, Desktop &amp; Mobile excluding Social Incremental, Monthly Unique Visitors, Desktop 2+ and Total Mobile 18+, [C] Fandango Sites.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generate revenue through sales of advertising on our networks and digital platforms. The price charged for each advertising unit on our networks is generally based on audience ratings, the value of our audiences to</w:t>
      </w:r>
    </w:p>
    <w:p>
      <w:pPr>
        <w:ind w:left="300" w:right="80"/>
        <w:spacing w:after="0" w:line="255" w:lineRule="auto"/>
        <w:rPr>
          <w:sz w:val="20"/>
          <w:szCs w:val="20"/>
          <w:color w:val="auto"/>
        </w:rPr>
      </w:pPr>
      <w:r>
        <w:rPr>
          <w:rFonts w:ascii="Times New Roman" w:cs="Times New Roman" w:eastAsia="Times New Roman" w:hAnsi="Times New Roman"/>
          <w:sz w:val="18"/>
          <w:szCs w:val="18"/>
          <w:color w:val="auto"/>
        </w:rPr>
        <w:t>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Our sports programming and related content is typically licensed under multiyear contractual agreements with the relevant sports leagues, and is produced by a combination of in-house and third-party teams. Following</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spacing w:after="0" w:line="281" w:lineRule="auto"/>
        <w:rPr>
          <w:sz w:val="20"/>
          <w:szCs w:val="20"/>
          <w:color w:val="auto"/>
        </w:rPr>
      </w:pPr>
      <w:r>
        <w:rPr>
          <w:rFonts w:ascii="Times New Roman" w:cs="Times New Roman" w:eastAsia="Times New Roman" w:hAnsi="Times New Roman"/>
          <w:sz w:val="17"/>
          <w:szCs w:val="17"/>
          <w:color w:val="auto"/>
        </w:rPr>
        <w:t>the Separation, for sports programming displayed on our networks and platforms that remains covered by an agreement between NBCUniversal (including its subsidiaries) and the relevant sports league, NBCUniversal will enter into time purchase agreements with us on standard market terms pursuant to which NBCUniversal is permitted to exhibit such content on our networks and platforms. See “Business—How We Acquire Content—Sports Programming” and “The Separation—Agreements with Comcast—Certain Commercial Arrangements” for more information.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87"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 NOW (formerly MSNBC) enjoyed the second highest audience engagement, measured by the average weekly watch time per viewer, among cable networks in 2024. Golf Channel aired more live golf for golf fans than all other U.S. television networks combined in 2024.</w:t>
      </w:r>
    </w:p>
    <w:p>
      <w:pPr>
        <w:spacing w:after="0" w:line="180"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(since rebranded to MS NOW) was the number one news brand on YouTube in 2024, while CNBC has had the number one business</w:t>
      </w:r>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320" w:top="455" w:right="7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website, based on total minutes of consumption, for four consecutive years as of 2024. Also in 2024, E! News Digital was the most followed pop culture news brand on social platforms.</w:t>
      </w:r>
    </w:p>
    <w:p>
      <w:pPr>
        <w:spacing w:after="0" w:line="162"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MS NOW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89"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substantial millennial and Gen Z audiences.</w:t>
      </w:r>
    </w:p>
    <w:p>
      <w:pPr>
        <w:spacing w:after="0" w:line="180"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 NOW and E!. We believe our digital platform business represents a significant growth opportunity, both from underlying market growth and continued share gains.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5" w:right="6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investing across our business, whether through organic or inorganic growth strategies. Following the Separation, we expect to have the capacity to return capital to shareholders.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300" w:right="680" w:firstLine="426"/>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 NOW (formerly MSNBC)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80"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advertising-supported-video-on-demand (“AVOD”), subscription-video-on-demand (“SVOD”) and free-advertising-supported-streaming-television (“FAST”), as well as other distribution methods, including over-the-air (“OTA”) and live events. Building our presence on these platforms will further strengthen our business model.</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16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Our digital platforms, led by GolfNow, Fandango, Rotten Tomatoes and SportsEngine, have successfully delivered new value-added, monetizable services for core audiences. We expect to strategically grow and expand our digital platform business,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We also see opportunities to continue to expand our product offerings leveraging other brands, as we have with CNBC’s branded streaming services, investing club, podcasts, conferences and live events.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(the “Distribution” and, together with the Transactions,</w:t>
      </w:r>
    </w:p>
    <w:p>
      <w:pPr>
        <w:spacing w:after="0" w:line="3" w:lineRule="exact"/>
        <w:rPr>
          <w:sz w:val="20"/>
          <w:szCs w:val="20"/>
          <w:color w:val="auto"/>
        </w:rPr>
      </w:pPr>
    </w:p>
    <w:p>
      <w:pPr>
        <w:ind w:left="300" w:right="280"/>
        <w:spacing w:after="0" w:line="253" w:lineRule="auto"/>
        <w:rPr>
          <w:sz w:val="20"/>
          <w:szCs w:val="20"/>
          <w:color w:val="auto"/>
        </w:rPr>
      </w:pPr>
      <w:r>
        <w:rPr>
          <w:rFonts w:ascii="Times New Roman" w:cs="Times New Roman" w:eastAsia="Times New Roman" w:hAnsi="Times New Roman"/>
          <w:sz w:val="18"/>
          <w:szCs w:val="18"/>
          <w:color w:val="auto"/>
        </w:rPr>
        <w:t>the “Separation”). 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Versant and Comcast will also enter into a Transition Services Agreement, which will set forth the terms under which Comcast will provide to Versant certain services or functions on a transitional basis that the companies historically have shared. For additional information, see “The Separation—Agreements with Comcast.”</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The Comcast Board of Directors (the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77" w:lineRule="exact"/>
        <w:rPr>
          <w:sz w:val="20"/>
          <w:szCs w:val="20"/>
          <w:color w:val="auto"/>
        </w:rPr>
      </w:pPr>
    </w:p>
    <w:p>
      <w:pPr>
        <w:ind w:left="1240" w:right="80" w:hanging="415"/>
        <w:spacing w:after="0" w:line="257"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Versant 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7" w:lineRule="exact"/>
        <w:rPr>
          <w:rFonts w:ascii="Times New Roman" w:cs="Times New Roman" w:eastAsia="Times New Roman" w:hAnsi="Times New Roman"/>
          <w:sz w:val="18"/>
          <w:szCs w:val="18"/>
          <w:color w:val="auto"/>
        </w:rPr>
      </w:pPr>
    </w:p>
    <w:p>
      <w:pPr>
        <w:ind w:left="1240" w:right="20" w:hanging="415"/>
        <w:spacing w:after="0" w:line="254"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drive shareholder returns. The Spin Business generated 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87" w:lineRule="exact"/>
        <w:rPr>
          <w:rFonts w:ascii="Times New Roman" w:cs="Times New Roman" w:eastAsia="Times New Roman" w:hAnsi="Times New Roman"/>
          <w:sz w:val="18"/>
          <w:szCs w:val="18"/>
          <w:color w:val="auto"/>
        </w:rPr>
      </w:pPr>
    </w:p>
    <w:p>
      <w:pPr>
        <w:ind w:left="1240" w:hanging="415"/>
        <w:spacing w:after="0" w:line="259"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sector expertise and a dedicated board of directors (the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240" w:right="200" w:hanging="415"/>
        <w:spacing w:after="0" w:line="256"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also will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87"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430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62"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The Distribution is subject to the satisfaction or waiver of certain conditions. For more information, see “Risk Factors—Spin-Related Risk Factors” and “The Separation—Conditions to the Distribution” included elsewhere in this information statement.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Versant was incorporated in Pennsylvania on May 1, 2025.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 In connection with the completion of the Transactions, the assets related to the Spin Business will be contributed to and the liabilities related to the Spin Business will be assumed by Versant in accordance with the Separation and Distribution Agreement and other agreements entered into in connection with the Separation. Our principal executive offices are located at 904 Sylvan Avenue, Englewood Cliffs, New Jersey 07632 and our telephone number is (201) 735-2622. Our Internet site will be www.versantmedia.com. Our website and the information contained therein or connected thereto is not incorporated into this information statement or the registration statement of which it forms a part.</w:t>
      </w:r>
    </w:p>
    <w:p>
      <w:pPr>
        <w:spacing w:after="0" w:line="31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320" w:top="455" w:right="7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QUESTIONS AND ANSWERS ABOUT THE SEPARATION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Please see “The Separation” for a more detailed description of the matters summarized below.</w:t>
      </w:r>
    </w:p>
    <w:p>
      <w:pPr>
        <w:spacing w:after="0" w:line="133" w:lineRule="exact"/>
        <w:rPr>
          <w:sz w:val="20"/>
          <w:szCs w:val="20"/>
          <w:color w:val="auto"/>
        </w:rPr>
      </w:pPr>
    </w:p>
    <w:p>
      <w:pPr>
        <w:ind w:left="720" w:hanging="422"/>
        <w:spacing w:after="0"/>
        <w:tabs>
          <w:tab w:leader="none" w:pos="72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am I receiving this document?</w:t>
      </w:r>
    </w:p>
    <w:p>
      <w:pPr>
        <w:spacing w:after="0" w:line="133" w:lineRule="exact"/>
        <w:rPr>
          <w:sz w:val="20"/>
          <w:szCs w:val="20"/>
          <w:color w:val="auto"/>
        </w:rPr>
      </w:pPr>
    </w:p>
    <w:p>
      <w:pPr>
        <w:jc w:val="both"/>
        <w:ind w:left="720" w:right="20" w:hanging="422"/>
        <w:spacing w:after="0" w:line="261"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document because you are a holder of shares of Comcast common stock on the record date for the Distribution and, as such, will be entitled to receive shares of Versant common stock upon completion of the transactions described in this information statement. We are sending you this document to inform you about the Separation and to provide you with information about Versant and its business and operations upon completion of the Separation.</w:t>
      </w:r>
    </w:p>
    <w:p>
      <w:pPr>
        <w:spacing w:after="0" w:line="326" w:lineRule="exact"/>
        <w:rPr>
          <w:sz w:val="20"/>
          <w:szCs w:val="20"/>
          <w:color w:val="auto"/>
        </w:rPr>
      </w:pPr>
    </w:p>
    <w:p>
      <w:pPr>
        <w:ind w:left="720" w:hanging="422"/>
        <w:spacing w:after="0"/>
        <w:tabs>
          <w:tab w:leader="none" w:pos="72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do I have to do to participate in the Separation?</w:t>
      </w:r>
    </w:p>
    <w:p>
      <w:pPr>
        <w:spacing w:after="0" w:line="133" w:lineRule="exact"/>
        <w:rPr>
          <w:sz w:val="20"/>
          <w:szCs w:val="20"/>
          <w:color w:val="auto"/>
        </w:rPr>
      </w:pPr>
    </w:p>
    <w:p>
      <w:pPr>
        <w:ind w:left="720" w:hanging="422"/>
        <w:spacing w:after="0" w:line="258"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You will not be required to pay any cash or deliver any other consideration in order to receive the shares of Versant common stock that you will be entitled to receive upon completion of the Separation. In addition, no shareholder approval will be required for the Separation and therefore you are not being asked to provide a proxy with respect to any of your shares of Comcast common stock in connection with the Separation and you should not send us a proxy. The Distribution will not affect the number of outstanding shares of Comcast common stock or any rights of Comcast shareholders.</w:t>
      </w:r>
    </w:p>
    <w:p>
      <w:pPr>
        <w:spacing w:after="0" w:line="330" w:lineRule="exact"/>
        <w:rPr>
          <w:sz w:val="20"/>
          <w:szCs w:val="20"/>
          <w:color w:val="auto"/>
        </w:rPr>
      </w:pPr>
    </w:p>
    <w:p>
      <w:pPr>
        <w:ind w:left="720" w:hanging="422"/>
        <w:spacing w:after="0"/>
        <w:tabs>
          <w:tab w:leader="none" w:pos="72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Comcast separating the Spin Business from its other businesses?</w:t>
      </w:r>
    </w:p>
    <w:p>
      <w:pPr>
        <w:spacing w:after="0" w:line="133" w:lineRule="exact"/>
        <w:rPr>
          <w:sz w:val="20"/>
          <w:szCs w:val="20"/>
          <w:color w:val="auto"/>
        </w:rPr>
      </w:pPr>
    </w:p>
    <w:p>
      <w:pPr>
        <w:jc w:val="both"/>
        <w:ind w:left="720" w:right="220" w:hanging="422"/>
        <w:spacing w:after="0" w:line="266"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believes separating the Spin Business from Comcast’s other businesses will provide both companies with a number of potential opportunities and benefits, such as improvements in strategic focus, resource allocation and capital deployment, management and employee incentives and increased investor choice and value creation. For more information, see “The Separation.”</w:t>
      </w:r>
    </w:p>
    <w:p>
      <w:pPr>
        <w:spacing w:after="0" w:line="322" w:lineRule="exact"/>
        <w:rPr>
          <w:sz w:val="20"/>
          <w:szCs w:val="20"/>
          <w:color w:val="auto"/>
        </w:rPr>
      </w:pPr>
    </w:p>
    <w:p>
      <w:pPr>
        <w:ind w:left="720" w:hanging="422"/>
        <w:spacing w:after="0"/>
        <w:tabs>
          <w:tab w:leader="none" w:pos="72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Versant?</w:t>
      </w:r>
    </w:p>
    <w:p>
      <w:pPr>
        <w:spacing w:after="0" w:line="133" w:lineRule="exact"/>
        <w:rPr>
          <w:sz w:val="20"/>
          <w:szCs w:val="20"/>
          <w:color w:val="auto"/>
        </w:rPr>
      </w:pPr>
    </w:p>
    <w:p>
      <w:pPr>
        <w:ind w:left="720" w:right="500" w:hanging="422"/>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a newly formed Pennsylvania corporation that will hold the Spin Business, directly or indirectly through its subsidiaries, and Versant Class A common stock will be publicly traded following the Separation.</w:t>
      </w:r>
    </w:p>
    <w:p>
      <w:pPr>
        <w:spacing w:after="0" w:line="308" w:lineRule="exact"/>
        <w:rPr>
          <w:sz w:val="20"/>
          <w:szCs w:val="20"/>
          <w:color w:val="auto"/>
        </w:rPr>
      </w:pPr>
    </w:p>
    <w:p>
      <w:pPr>
        <w:ind w:left="720" w:hanging="422"/>
        <w:spacing w:after="0"/>
        <w:tabs>
          <w:tab w:leader="none" w:pos="72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accomplish the Separation of Versant?</w:t>
      </w:r>
    </w:p>
    <w:p>
      <w:pPr>
        <w:spacing w:after="0" w:line="133" w:lineRule="exact"/>
        <w:rPr>
          <w:sz w:val="20"/>
          <w:szCs w:val="20"/>
          <w:color w:val="auto"/>
        </w:rPr>
      </w:pPr>
    </w:p>
    <w:p>
      <w:pPr>
        <w:ind w:left="720" w:right="100" w:hanging="422"/>
        <w:spacing w:after="0" w:line="281" w:lineRule="auto"/>
        <w:tabs>
          <w:tab w:leader="none" w:pos="7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involves the consummation of (1) the Transactions, which will result in the transfer of the assets and liabilities related to the Spin Business to Versant or its subsidiaries, and (2) the Distribution, which will result in the distribution of all the shares of Versant common stock owned by Comcast to the holders of Comcast common stock as of the record date. Following the Transactions and the Distribution, Versant will be a publicly traded company independent from Comcast, and Comcast will not retain any ownership interest in Versant.</w:t>
      </w:r>
    </w:p>
    <w:p>
      <w:pPr>
        <w:spacing w:after="0" w:line="311" w:lineRule="exact"/>
        <w:rPr>
          <w:sz w:val="20"/>
          <w:szCs w:val="20"/>
          <w:color w:val="auto"/>
        </w:rPr>
      </w:pPr>
    </w:p>
    <w:p>
      <w:pPr>
        <w:ind w:left="720" w:hanging="422"/>
        <w:spacing w:after="0"/>
        <w:tabs>
          <w:tab w:leader="none" w:pos="720"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I receive in the Distribution?</w:t>
      </w:r>
    </w:p>
    <w:p>
      <w:pPr>
        <w:spacing w:after="0" w:line="133" w:lineRule="exact"/>
        <w:rPr>
          <w:sz w:val="20"/>
          <w:szCs w:val="20"/>
          <w:color w:val="auto"/>
        </w:rPr>
      </w:pPr>
    </w:p>
    <w:p>
      <w:pPr>
        <w:ind w:left="720" w:right="140" w:hanging="422"/>
        <w:spacing w:after="0" w:line="266"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Comcast common stock as of the record date will be entitled to receive share(s) of Versant Class A common stock or Versant Class B common stock for every share(s) of Comcast Class A common stock or Comcast Class B common stock, respectively, held by them on the record date.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275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720" w:hanging="422"/>
        <w:spacing w:after="0"/>
        <w:tabs>
          <w:tab w:leader="none" w:pos="720" w:val="left"/>
        </w:tabs>
        <w:numPr>
          <w:ilvl w:val="0"/>
          <w:numId w:val="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does my ownership in Comcast change as a result of the Separation?</w:t>
      </w:r>
    </w:p>
    <w:p>
      <w:pPr>
        <w:spacing w:after="0" w:line="133" w:lineRule="exact"/>
        <w:rPr>
          <w:sz w:val="20"/>
          <w:szCs w:val="20"/>
          <w:color w:val="auto"/>
        </w:rPr>
      </w:pPr>
    </w:p>
    <w:p>
      <w:pPr>
        <w:ind w:left="720" w:hanging="422"/>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proportionate interest in Comcast will not change as a result of the Separation.</w:t>
      </w:r>
    </w:p>
    <w:p>
      <w:pPr>
        <w:spacing w:after="0" w:line="372" w:lineRule="exact"/>
        <w:rPr>
          <w:sz w:val="20"/>
          <w:szCs w:val="20"/>
          <w:color w:val="auto"/>
        </w:rPr>
      </w:pPr>
    </w:p>
    <w:p>
      <w:pPr>
        <w:ind w:left="720" w:hanging="422"/>
        <w:spacing w:after="0"/>
        <w:tabs>
          <w:tab w:leader="none" w:pos="720"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the record date for the Distribution?</w:t>
      </w:r>
    </w:p>
    <w:p>
      <w:pPr>
        <w:spacing w:after="0" w:line="133" w:lineRule="exact"/>
        <w:rPr>
          <w:sz w:val="20"/>
          <w:szCs w:val="20"/>
          <w:color w:val="auto"/>
        </w:rPr>
      </w:pPr>
    </w:p>
    <w:p>
      <w:pPr>
        <w:ind w:left="720" w:right="200" w:hanging="4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A:</w:t>
        <w:tab/>
        <w:t>The record date for the Distribution is        , 2025, and ownership will be determined as of the close of business on that date. When we refer to the record date in this information statement, we are referring to that time and date.</w:t>
      </w:r>
    </w:p>
    <w:p>
      <w:pPr>
        <w:spacing w:after="0" w:line="308" w:lineRule="exact"/>
        <w:rPr>
          <w:sz w:val="20"/>
          <w:szCs w:val="20"/>
          <w:color w:val="auto"/>
        </w:rPr>
      </w:pPr>
    </w:p>
    <w:p>
      <w:pPr>
        <w:ind w:left="720" w:hanging="422"/>
        <w:spacing w:after="0"/>
        <w:tabs>
          <w:tab w:leader="none" w:pos="720"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will the Distribution occur?</w:t>
      </w:r>
    </w:p>
    <w:p>
      <w:pPr>
        <w:spacing w:after="0" w:line="133" w:lineRule="exact"/>
        <w:rPr>
          <w:sz w:val="20"/>
          <w:szCs w:val="20"/>
          <w:color w:val="auto"/>
        </w:rPr>
      </w:pPr>
    </w:p>
    <w:p>
      <w:pPr>
        <w:ind w:left="720" w:hanging="422"/>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expected to occur on            , 2026.</w:t>
      </w:r>
    </w:p>
    <w:p>
      <w:pPr>
        <w:spacing w:after="0" w:line="372" w:lineRule="exact"/>
        <w:rPr>
          <w:sz w:val="20"/>
          <w:szCs w:val="20"/>
          <w:color w:val="auto"/>
        </w:rPr>
      </w:pPr>
    </w:p>
    <w:p>
      <w:pPr>
        <w:ind w:left="720" w:right="540" w:hanging="422"/>
        <w:spacing w:after="0" w:line="284" w:lineRule="auto"/>
        <w:tabs>
          <w:tab w:leader="none" w:pos="720"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a holder of shares of Comcast common stock as of the record date for the Distribution, how will shares of Versant common stock be distributed to me?</w:t>
      </w:r>
    </w:p>
    <w:p>
      <w:pPr>
        <w:spacing w:after="0" w:line="66" w:lineRule="exact"/>
        <w:rPr>
          <w:sz w:val="20"/>
          <w:szCs w:val="20"/>
          <w:color w:val="auto"/>
        </w:rPr>
      </w:pPr>
    </w:p>
    <w:p>
      <w:pPr>
        <w:ind w:left="720" w:right="120" w:hanging="422"/>
        <w:spacing w:after="0" w:line="261"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shareholder that owns shares of Comcast Class A common stock directly in book-entry form through an account at Equiniti, you will receive your shares of Versant Class A common stock by way of direct registration in book-entry form. On or shortly after the Distribution Date, the distribution agent will mail to you an account statement that indicates the number of shares of Versant Class A common stock that have been registered in book-entry form in your name.</w:t>
      </w:r>
    </w:p>
    <w:p>
      <w:pPr>
        <w:spacing w:after="0" w:line="71" w:lineRule="exact"/>
        <w:rPr>
          <w:rFonts w:ascii="Times New Roman" w:cs="Times New Roman" w:eastAsia="Times New Roman" w:hAnsi="Times New Roman"/>
          <w:sz w:val="18"/>
          <w:szCs w:val="18"/>
          <w:color w:val="auto"/>
        </w:rPr>
      </w:pPr>
    </w:p>
    <w:p>
      <w:pPr>
        <w:ind w:left="7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shareholder and hold shares of Comcast Class A common stock through a bank or brokerage firm, your ownership would be recorded on the bank or brokerage firm’s books, and your bank or brokerage firm will credit your account for the shares of Versant Class A common stock that you are entitled to receive in the Distribution.</w:t>
      </w:r>
    </w:p>
    <w:p>
      <w:pPr>
        <w:spacing w:after="0" w:line="67" w:lineRule="exact"/>
        <w:rPr>
          <w:rFonts w:ascii="Times New Roman" w:cs="Times New Roman" w:eastAsia="Times New Roman" w:hAnsi="Times New Roman"/>
          <w:sz w:val="18"/>
          <w:szCs w:val="18"/>
          <w:color w:val="auto"/>
        </w:rPr>
      </w:pPr>
    </w:p>
    <w:p>
      <w:pPr>
        <w:ind w:left="7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Comcast Class B common stock, you will be issued a share certificate representing the shares of Versant Class B common stock that you are entitled to receive. For additional information, see “The Separation—When and How You Will Receive the Distribution of Versant Shares.”</w:t>
      </w:r>
    </w:p>
    <w:p>
      <w:pPr>
        <w:spacing w:after="0" w:line="322" w:lineRule="exact"/>
        <w:rPr>
          <w:sz w:val="20"/>
          <w:szCs w:val="20"/>
          <w:color w:val="auto"/>
        </w:rPr>
      </w:pPr>
    </w:p>
    <w:p>
      <w:pPr>
        <w:ind w:left="720" w:hanging="422"/>
        <w:spacing w:after="0"/>
        <w:tabs>
          <w:tab w:leader="none" w:pos="720" w:val="left"/>
        </w:tabs>
        <w:numPr>
          <w:ilvl w:val="0"/>
          <w:numId w:val="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no Comcast shareholder vote required to approve the Separation and its material terms?</w:t>
      </w:r>
    </w:p>
    <w:p>
      <w:pPr>
        <w:spacing w:after="0" w:line="133" w:lineRule="exact"/>
        <w:rPr>
          <w:sz w:val="20"/>
          <w:szCs w:val="20"/>
          <w:color w:val="auto"/>
        </w:rPr>
      </w:pPr>
    </w:p>
    <w:p>
      <w:pPr>
        <w:ind w:left="720" w:right="260" w:hanging="422"/>
        <w:spacing w:after="0" w:line="312" w:lineRule="auto"/>
        <w:tabs>
          <w:tab w:leader="none" w:pos="7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is incorporated in Pennsylvania. Pennsylvania law does not require a shareholder vote to approve the Separation because the Separation does not constitute a sale, lease, exchange or other disposition of all, or substantially all, of the property and assets of Comcast.</w:t>
      </w:r>
    </w:p>
    <w:p>
      <w:pPr>
        <w:spacing w:after="0" w:line="286" w:lineRule="exact"/>
        <w:rPr>
          <w:sz w:val="20"/>
          <w:szCs w:val="20"/>
          <w:color w:val="auto"/>
        </w:rPr>
      </w:pPr>
    </w:p>
    <w:p>
      <w:pPr>
        <w:ind w:left="720" w:hanging="422"/>
        <w:spacing w:after="0"/>
        <w:tabs>
          <w:tab w:leader="none" w:pos="720" w:val="left"/>
        </w:tabs>
        <w:numPr>
          <w:ilvl w:val="0"/>
          <w:numId w:val="8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fractional shares be treated in the Distribution?</w:t>
      </w:r>
    </w:p>
    <w:p>
      <w:pPr>
        <w:spacing w:after="0" w:line="133" w:lineRule="exact"/>
        <w:rPr>
          <w:sz w:val="20"/>
          <w:szCs w:val="20"/>
          <w:color w:val="auto"/>
        </w:rPr>
      </w:pPr>
    </w:p>
    <w:p>
      <w:pPr>
        <w:ind w:left="720" w:hanging="422"/>
        <w:spacing w:after="0" w:line="256"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receive fractional shares of Versant common stock in the Distribution.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 and at what price to sell the whole shares of Versant Class A common stock.</w:t>
      </w:r>
    </w:p>
    <w:p>
      <w:pPr>
        <w:spacing w:after="0" w:line="334" w:lineRule="exact"/>
        <w:rPr>
          <w:sz w:val="20"/>
          <w:szCs w:val="20"/>
          <w:color w:val="auto"/>
        </w:rPr>
      </w:pPr>
    </w:p>
    <w:p>
      <w:pPr>
        <w:ind w:left="720" w:hanging="422"/>
        <w:spacing w:after="0"/>
        <w:tabs>
          <w:tab w:leader="none" w:pos="720" w:val="left"/>
        </w:tabs>
        <w:numPr>
          <w:ilvl w:val="0"/>
          <w:numId w:val="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are the U.S. federal income tax consequences to me of the Distribution?</w:t>
      </w:r>
    </w:p>
    <w:p>
      <w:pPr>
        <w:spacing w:after="0" w:line="133" w:lineRule="exact"/>
        <w:rPr>
          <w:sz w:val="20"/>
          <w:szCs w:val="20"/>
          <w:color w:val="auto"/>
        </w:rPr>
      </w:pPr>
    </w:p>
    <w:p>
      <w:pPr>
        <w:ind w:left="720" w:right="200" w:hanging="422"/>
        <w:spacing w:after="0" w:line="266"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to the Distribution is Comcast’s receipt of an opinion of Davis Polk &amp; Wardwell LLP, to the effect that for U.S. federal income tax purposes, the Distribution, together with certain related transactions, will qualify as a “reorganization” within the meaning of Section 368(a)(1)(D) of the Internal Revenue Code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20"/>
        <w:spacing w:after="0" w:line="255" w:lineRule="auto"/>
        <w:rPr>
          <w:sz w:val="20"/>
          <w:szCs w:val="20"/>
          <w:color w:val="auto"/>
        </w:rPr>
      </w:pPr>
      <w:r>
        <w:rPr>
          <w:rFonts w:ascii="Times New Roman" w:cs="Times New Roman" w:eastAsia="Times New Roman" w:hAnsi="Times New Roman"/>
          <w:sz w:val="18"/>
          <w:szCs w:val="18"/>
          <w:color w:val="auto"/>
        </w:rPr>
        <w:t>of 1986, as amended (the “Code”) and a distribution to which Section 355 of the Code applies, and the distribution by Comcast of the proceeds from the Special Cash Payment (as defined below) as provided in the Separation and Distribution Agreement (the “Comcast Cash Distribution”) will qualify as money distributed to Comcast creditors or shareholders in connection with the reorganization for purposes of Section 361(b) of the Code. On the basis that the Distribution so qualifies, for U.S. federal income tax purposes, you will not recognize any gain or loss, and no amount will be included in your income in connection with the Distribution, except with respect to any cash received in lieu of fractional shares of Versant common stock. You should review the section entitled “The Separation—Material U.S. Federal Income Tax Consequences of the Distribution” for a discussion of the material U.S. federal income tax consequences of the Distribution.</w:t>
      </w:r>
    </w:p>
    <w:p>
      <w:pPr>
        <w:spacing w:after="0" w:line="335" w:lineRule="exact"/>
        <w:rPr>
          <w:sz w:val="20"/>
          <w:szCs w:val="20"/>
          <w:color w:val="auto"/>
        </w:rPr>
      </w:pPr>
    </w:p>
    <w:p>
      <w:pPr>
        <w:ind w:left="720" w:hanging="422"/>
        <w:spacing w:after="0"/>
        <w:tabs>
          <w:tab w:leader="none" w:pos="720"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I determine the tax basis I will have in my Comcast shares after the Distribution and Versant shares I receive in the Distribution?</w:t>
      </w:r>
    </w:p>
    <w:p>
      <w:pPr>
        <w:spacing w:after="0" w:line="133" w:lineRule="exact"/>
        <w:rPr>
          <w:sz w:val="20"/>
          <w:szCs w:val="20"/>
          <w:color w:val="auto"/>
        </w:rPr>
      </w:pPr>
    </w:p>
    <w:p>
      <w:pPr>
        <w:ind w:left="720" w:right="200" w:hanging="422"/>
        <w:spacing w:after="0" w:line="256"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for U.S. federal income tax purposes, your aggregate basis in your shares of Comcast common stock and the shares of Versant common stock you receive in the Distribution (including any fractional shares for which cash is received) will equal the aggregate basis of Comcast common stock held by you immediately before the Distribution. This aggregate basis will be allocated between your shares of Comcast common stock and the shares of Versant common stock you receive in the Distribution (including any fractional shares for which cash is received) in proportion to the relative fair market value of each immediately following the Distribution. See “The Separation— Material U.S. Federal Income Tax Consequences of the Distribution.”</w:t>
      </w:r>
    </w:p>
    <w:p>
      <w:pPr>
        <w:spacing w:after="0" w:line="334" w:lineRule="exact"/>
        <w:rPr>
          <w:sz w:val="20"/>
          <w:szCs w:val="20"/>
          <w:color w:val="auto"/>
        </w:rPr>
      </w:pPr>
    </w:p>
    <w:p>
      <w:pPr>
        <w:ind w:left="720" w:hanging="422"/>
        <w:spacing w:after="0"/>
        <w:tabs>
          <w:tab w:leader="none" w:pos="720"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Class A common stock and Versant Class A common stock trade after the Separation?</w:t>
      </w:r>
    </w:p>
    <w:p>
      <w:pPr>
        <w:spacing w:after="0" w:line="133" w:lineRule="exact"/>
        <w:rPr>
          <w:sz w:val="20"/>
          <w:szCs w:val="20"/>
          <w:color w:val="auto"/>
        </w:rPr>
      </w:pPr>
    </w:p>
    <w:p>
      <w:pPr>
        <w:ind w:left="720" w:right="40" w:hanging="422"/>
        <w:spacing w:after="0" w:line="261"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currently no public market for Versant Class A common stock. Versant has been approved to have its shares of Versant Class A common stock listed on Nasdaq under the ticker symbol “VSNT”, subject to official notice of issuance. Comcast Class A common stock will continue to trade on Nasdaq under the ticker symbol “CMCSA.” The Versant Class B common stock will not be listed on any stock exchange.</w:t>
      </w:r>
    </w:p>
    <w:p>
      <w:pPr>
        <w:spacing w:after="0" w:line="326" w:lineRule="exact"/>
        <w:rPr>
          <w:sz w:val="20"/>
          <w:szCs w:val="20"/>
          <w:color w:val="auto"/>
        </w:rPr>
      </w:pPr>
    </w:p>
    <w:p>
      <w:pPr>
        <w:ind w:left="720" w:hanging="422"/>
        <w:spacing w:after="0" w:line="284" w:lineRule="auto"/>
        <w:tabs>
          <w:tab w:leader="none" w:pos="720" w:val="left"/>
        </w:tabs>
        <w:numPr>
          <w:ilvl w:val="0"/>
          <w:numId w:val="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I sell my shares of Comcast Class A common stock before or on the Distribution Date, will I still be entitled to receive Versant shares in the Distribution with respect to the sold shares?</w:t>
      </w:r>
    </w:p>
    <w:p>
      <w:pPr>
        <w:spacing w:after="0" w:line="66" w:lineRule="exact"/>
        <w:rPr>
          <w:sz w:val="20"/>
          <w:szCs w:val="20"/>
          <w:color w:val="auto"/>
        </w:rPr>
      </w:pPr>
    </w:p>
    <w:p>
      <w:pPr>
        <w:ind w:left="720" w:right="20" w:hanging="422"/>
        <w:spacing w:after="0" w:line="277" w:lineRule="auto"/>
        <w:tabs>
          <w:tab w:leader="none" w:pos="7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w:t>
      </w:r>
    </w:p>
    <w:p>
      <w:pPr>
        <w:spacing w:after="0" w:line="59" w:lineRule="exact"/>
        <w:rPr>
          <w:rFonts w:ascii="Times New Roman" w:cs="Times New Roman" w:eastAsia="Times New Roman" w:hAnsi="Times New Roman"/>
          <w:sz w:val="17"/>
          <w:szCs w:val="17"/>
          <w:color w:val="auto"/>
        </w:rPr>
      </w:pPr>
    </w:p>
    <w:p>
      <w:pPr>
        <w:ind w:left="720" w:right="1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 You are encouraged to consult with your financial advisor regarding the specific implications of selling your Comcast Class A common stock prior to or on the Distribution Date.</w:t>
      </w:r>
    </w:p>
    <w:p>
      <w:pPr>
        <w:spacing w:after="0" w:line="334" w:lineRule="exact"/>
        <w:rPr>
          <w:sz w:val="20"/>
          <w:szCs w:val="20"/>
          <w:color w:val="auto"/>
        </w:rPr>
      </w:pPr>
    </w:p>
    <w:p>
      <w:pPr>
        <w:ind w:left="720" w:hanging="422"/>
        <w:spacing w:after="0"/>
        <w:tabs>
          <w:tab w:leader="none" w:pos="72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I receive a stock certificate for Versant shares distributed as a result of the Distribution?</w:t>
      </w:r>
    </w:p>
    <w:p>
      <w:pPr>
        <w:spacing w:after="0" w:line="133" w:lineRule="exact"/>
        <w:rPr>
          <w:sz w:val="20"/>
          <w:szCs w:val="20"/>
          <w:color w:val="auto"/>
        </w:rPr>
      </w:pPr>
    </w:p>
    <w:p>
      <w:pPr>
        <w:ind w:left="720" w:right="260" w:hanging="422"/>
        <w:spacing w:after="0" w:line="282" w:lineRule="auto"/>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who are entitled to participate in the Distribution will receive a book-entry account statement reflecting their ownership of Versant Class A common stock. We</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478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220"/>
        <w:spacing w:after="0" w:line="258" w:lineRule="auto"/>
        <w:rPr>
          <w:sz w:val="20"/>
          <w:szCs w:val="20"/>
          <w:color w:val="auto"/>
        </w:rPr>
      </w:pPr>
      <w:r>
        <w:rPr>
          <w:rFonts w:ascii="Times New Roman" w:cs="Times New Roman" w:eastAsia="Times New Roman" w:hAnsi="Times New Roman"/>
          <w:sz w:val="18"/>
          <w:szCs w:val="18"/>
          <w:color w:val="auto"/>
        </w:rPr>
        <w:t>will make book-entry credits on the books of Versant for the respective shares of Versant Class A common stock that you are entitled to receive. Registered holders of Comcast Class B common stock who are entitled to participate in the Distribution will be issued share certificates representing their ownership of Versant Class B common stock. For additional information, registered shareholders in the U.S., Canada or Puerto Rico should contact Comcast’s transfer agent, Equiniti Trust Company, LLC. See “The Separation—When and How You Will Receive the Distribution of Versant Shares.”</w:t>
      </w:r>
    </w:p>
    <w:p>
      <w:pPr>
        <w:spacing w:after="0" w:line="330" w:lineRule="exact"/>
        <w:rPr>
          <w:sz w:val="20"/>
          <w:szCs w:val="20"/>
          <w:color w:val="auto"/>
        </w:rPr>
      </w:pPr>
    </w:p>
    <w:p>
      <w:pPr>
        <w:ind w:left="720" w:hanging="422"/>
        <w:spacing w:after="0"/>
        <w:tabs>
          <w:tab w:leader="none" w:pos="720"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Can Comcast decide to cancel the Distribution of Versant common stock even if all the conditions have been met?</w:t>
      </w:r>
    </w:p>
    <w:p>
      <w:pPr>
        <w:spacing w:after="0" w:line="133" w:lineRule="exact"/>
        <w:rPr>
          <w:sz w:val="20"/>
          <w:szCs w:val="20"/>
          <w:color w:val="auto"/>
        </w:rPr>
      </w:pPr>
    </w:p>
    <w:p>
      <w:pPr>
        <w:ind w:left="720" w:right="700" w:hanging="422"/>
        <w:spacing w:after="0" w:line="282"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Comcast has the right to terminate, or modify the terms of, the Separation at any time prior to the Distribution, even if all of the conditions to the Distribution are satisfied.</w:t>
      </w:r>
    </w:p>
    <w:p>
      <w:pPr>
        <w:spacing w:after="0" w:line="308" w:lineRule="exact"/>
        <w:rPr>
          <w:sz w:val="20"/>
          <w:szCs w:val="20"/>
          <w:color w:val="auto"/>
        </w:rPr>
      </w:pPr>
    </w:p>
    <w:p>
      <w:pPr>
        <w:ind w:left="720" w:hanging="422"/>
        <w:spacing w:after="0"/>
        <w:tabs>
          <w:tab w:leader="none" w:pos="720" w:val="left"/>
        </w:tabs>
        <w:numPr>
          <w:ilvl w:val="0"/>
          <w:numId w:val="10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 I have dissenters’ rights?</w:t>
      </w:r>
    </w:p>
    <w:p>
      <w:pPr>
        <w:spacing w:after="0" w:line="133" w:lineRule="exact"/>
        <w:rPr>
          <w:sz w:val="20"/>
          <w:szCs w:val="20"/>
          <w:color w:val="auto"/>
        </w:rPr>
      </w:pPr>
    </w:p>
    <w:p>
      <w:pPr>
        <w:ind w:left="720" w:hanging="422"/>
        <w:spacing w:after="0"/>
        <w:tabs>
          <w:tab w:leader="none" w:pos="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Comcast shareholders do not have any dissenters’ rights in connection with the Separation.</w:t>
      </w:r>
    </w:p>
    <w:p>
      <w:pPr>
        <w:spacing w:after="0" w:line="372" w:lineRule="exact"/>
        <w:rPr>
          <w:sz w:val="20"/>
          <w:szCs w:val="20"/>
          <w:color w:val="auto"/>
        </w:rPr>
      </w:pPr>
    </w:p>
    <w:p>
      <w:pPr>
        <w:ind w:left="720" w:hanging="422"/>
        <w:spacing w:after="0"/>
        <w:tabs>
          <w:tab w:leader="none" w:pos="720" w:val="left"/>
        </w:tabs>
        <w:numPr>
          <w:ilvl w:val="0"/>
          <w:numId w:val="1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Versant incur any debt in connection with the Separation?</w:t>
      </w:r>
    </w:p>
    <w:p>
      <w:pPr>
        <w:spacing w:after="0" w:line="133" w:lineRule="exact"/>
        <w:rPr>
          <w:sz w:val="20"/>
          <w:szCs w:val="20"/>
          <w:color w:val="auto"/>
        </w:rPr>
      </w:pPr>
    </w:p>
    <w:p>
      <w:pPr>
        <w:ind w:left="720" w:right="40" w:hanging="422"/>
        <w:spacing w:after="0" w:line="253"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connection with the Separation, on October 3, 2025, we entered into a credit agreement (the “TLA/Revolver Credit Agreement”) with respect to (i) a $1.0 billion senior secured term A loan facility due January 2031 (the “Term A Loan Facility”) and (ii) a $750 million revolving credit facility due January 2031 (the “Revolving Credit Facility”) (which is expected to be undrawn at the time of the Separation). Additionally, on October 29, 2025, we entered into an indenture (the “Indenture”) pursuant to which we issued $1.0 billion aggregate principal amount of 7.250% senior secured notes due 2031 (the “Notes”). We also intend to enter into a credit agreement (the “TLB Credit Agreement”) with respect to a five-year $1.0 billion term B loan facility (the “Term B Loan Facility”) and, together with the Term A Loan Facility, the “Term Loan Facilities” in connection with the Separation. We intend to use a portion of the proceeds of such indebtedness to make a cash payment of approximately $2.25 billion to Comcast as consideration for assets that will be contributed to us in connection with the Separation (the “Special Cash Payment”), with the remainder being used for general corporate purposes. See “Description of Material Indebtedness.”</w:t>
      </w:r>
    </w:p>
    <w:p>
      <w:pPr>
        <w:spacing w:after="0" w:line="86" w:lineRule="exact"/>
        <w:rPr>
          <w:rFonts w:ascii="Times New Roman" w:cs="Times New Roman" w:eastAsia="Times New Roman" w:hAnsi="Times New Roman"/>
          <w:sz w:val="18"/>
          <w:szCs w:val="18"/>
          <w:color w:val="auto"/>
        </w:rPr>
      </w:pPr>
    </w:p>
    <w:p>
      <w:pPr>
        <w:ind w:left="7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our separation from Comcast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Factors” and “Description of Material Indebtedness.”</w:t>
      </w:r>
    </w:p>
    <w:p>
      <w:pPr>
        <w:spacing w:after="0" w:line="330" w:lineRule="exact"/>
        <w:rPr>
          <w:sz w:val="20"/>
          <w:szCs w:val="20"/>
          <w:color w:val="auto"/>
        </w:rPr>
      </w:pPr>
    </w:p>
    <w:p>
      <w:pPr>
        <w:ind w:left="720" w:hanging="422"/>
        <w:spacing w:after="0"/>
        <w:tabs>
          <w:tab w:leader="none" w:pos="720" w:val="left"/>
        </w:tabs>
        <w:numPr>
          <w:ilvl w:val="0"/>
          <w:numId w:val="1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Does Versant intend to pay cash dividends?</w:t>
      </w:r>
    </w:p>
    <w:p>
      <w:pPr>
        <w:spacing w:after="0" w:line="133" w:lineRule="exact"/>
        <w:rPr>
          <w:sz w:val="20"/>
          <w:szCs w:val="20"/>
          <w:color w:val="auto"/>
        </w:rPr>
      </w:pPr>
    </w:p>
    <w:p>
      <w:pPr>
        <w:ind w:left="720" w:right="180" w:hanging="422"/>
        <w:spacing w:after="0" w:line="261"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See “Dividend Policy.”</w:t>
      </w:r>
    </w:p>
    <w:p>
      <w:pPr>
        <w:spacing w:after="0" w:line="326" w:lineRule="exact"/>
        <w:rPr>
          <w:sz w:val="20"/>
          <w:szCs w:val="20"/>
          <w:color w:val="auto"/>
        </w:rPr>
      </w:pPr>
    </w:p>
    <w:p>
      <w:pPr>
        <w:ind w:left="720" w:hanging="422"/>
        <w:spacing w:after="0"/>
        <w:tabs>
          <w:tab w:leader="none" w:pos="720" w:val="left"/>
        </w:tabs>
        <w:numPr>
          <w:ilvl w:val="0"/>
          <w:numId w:val="1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the Separation affect the trading price of my Comcast Class A common stock?</w:t>
      </w:r>
    </w:p>
    <w:p>
      <w:pPr>
        <w:spacing w:after="0" w:line="133" w:lineRule="exact"/>
        <w:rPr>
          <w:sz w:val="20"/>
          <w:szCs w:val="20"/>
          <w:color w:val="auto"/>
        </w:rPr>
      </w:pPr>
    </w:p>
    <w:p>
      <w:pPr>
        <w:ind w:left="720" w:right="100" w:hanging="422"/>
        <w:spacing w:after="0" w:line="266" w:lineRule="auto"/>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trading price of shares of Comcast Class A common stock immediately following the Distribution to be lower than the trading price immediately prior to the Distribution because the trading price will no longer reflect the value of the Spin Business. There can be no assurance that, following the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10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6998970" cy="65106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40"/>
        <w:spacing w:after="0" w:line="282" w:lineRule="auto"/>
        <w:rPr>
          <w:sz w:val="20"/>
          <w:szCs w:val="20"/>
          <w:color w:val="auto"/>
        </w:rPr>
      </w:pPr>
      <w:r>
        <w:rPr>
          <w:rFonts w:ascii="Times New Roman" w:cs="Times New Roman" w:eastAsia="Times New Roman" w:hAnsi="Times New Roman"/>
          <w:sz w:val="18"/>
          <w:szCs w:val="18"/>
          <w:color w:val="auto"/>
        </w:rPr>
        <w:t>Distribution, the combined trading prices of Comcast Class A common stock and our Class A common stock will equal or exceed what the trading price of Comcast Class A common stock would have been in the absence of the Distribution.</w:t>
      </w:r>
    </w:p>
    <w:p>
      <w:pPr>
        <w:spacing w:after="0" w:line="308" w:lineRule="exact"/>
        <w:rPr>
          <w:sz w:val="20"/>
          <w:szCs w:val="20"/>
          <w:color w:val="auto"/>
        </w:rPr>
      </w:pPr>
    </w:p>
    <w:p>
      <w:pPr>
        <w:ind w:left="720" w:hanging="422"/>
        <w:spacing w:after="0"/>
        <w:tabs>
          <w:tab w:leader="none" w:pos="720" w:val="left"/>
        </w:tabs>
        <w:numPr>
          <w:ilvl w:val="0"/>
          <w:numId w:val="1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happen to outstanding Comcast equity compensation awards?</w:t>
      </w:r>
    </w:p>
    <w:p>
      <w:pPr>
        <w:spacing w:after="0" w:line="133" w:lineRule="exact"/>
        <w:rPr>
          <w:sz w:val="20"/>
          <w:szCs w:val="20"/>
          <w:color w:val="auto"/>
        </w:rPr>
      </w:pPr>
    </w:p>
    <w:p>
      <w:pPr>
        <w:ind w:left="720" w:right="80" w:hanging="422"/>
        <w:spacing w:after="0" w:line="266"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outstanding time-based restricted stock units (“RSUs”) in respect of Comcast Class A common stock (“Comcast RSUs”) and options to purchase Comcast Class A common stock (the “Comcast Options” and together with the Comcast RSUs, the “Comcast Equity Awards”) will be equitably adjusted in accordance with the terms of the Comcast equity incentive plans.</w:t>
      </w:r>
    </w:p>
    <w:p>
      <w:pPr>
        <w:spacing w:after="0" w:line="67" w:lineRule="exact"/>
        <w:rPr>
          <w:rFonts w:ascii="Times New Roman" w:cs="Times New Roman" w:eastAsia="Times New Roman" w:hAnsi="Times New Roman"/>
          <w:sz w:val="18"/>
          <w:szCs w:val="18"/>
          <w:color w:val="auto"/>
        </w:rPr>
      </w:pPr>
    </w:p>
    <w:p>
      <w:pPr>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322" w:lineRule="exact"/>
        <w:rPr>
          <w:sz w:val="20"/>
          <w:szCs w:val="20"/>
          <w:color w:val="auto"/>
        </w:rPr>
      </w:pPr>
    </w:p>
    <w:p>
      <w:pPr>
        <w:ind w:left="720" w:hanging="422"/>
        <w:spacing w:after="0"/>
        <w:tabs>
          <w:tab w:leader="none" w:pos="720" w:val="left"/>
        </w:tabs>
        <w:numPr>
          <w:ilvl w:val="0"/>
          <w:numId w:val="1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the relationship between Comcast and Versant be following the Separation?</w:t>
      </w:r>
    </w:p>
    <w:p>
      <w:pPr>
        <w:spacing w:after="0" w:line="133" w:lineRule="exact"/>
        <w:rPr>
          <w:sz w:val="20"/>
          <w:szCs w:val="20"/>
          <w:color w:val="auto"/>
        </w:rPr>
      </w:pPr>
    </w:p>
    <w:p>
      <w:pPr>
        <w:ind w:left="720" w:right="100" w:hanging="422"/>
        <w:spacing w:after="0" w:line="256" w:lineRule="auto"/>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Comcast will not own any shares of Versant common stock, and each of Comcast and Versant will be independent, publicly traded companies with their own management teams and boards of directors. However, in connection with the Separation, we will enter into a number of agreements with Comcast and certain of its subsidiaries that, among other things, govern the Separation and allocate responsibilities for obligations arising before and after the Separation, including, among others, obligations relating to transition services, employee matters, tax matters, intellectual property matters and certain commercial arrangements. See “The Separation—Agreements with Comcast.”</w:t>
      </w:r>
    </w:p>
    <w:p>
      <w:pPr>
        <w:spacing w:after="0" w:line="334" w:lineRule="exact"/>
        <w:rPr>
          <w:sz w:val="20"/>
          <w:szCs w:val="20"/>
          <w:color w:val="auto"/>
        </w:rPr>
      </w:pPr>
    </w:p>
    <w:p>
      <w:pPr>
        <w:ind w:left="720" w:hanging="422"/>
        <w:spacing w:after="0"/>
        <w:tabs>
          <w:tab w:leader="none" w:pos="720" w:val="left"/>
        </w:tabs>
        <w:numPr>
          <w:ilvl w:val="0"/>
          <w:numId w:val="1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transfer agent for Versant Class A common stock?</w:t>
      </w:r>
    </w:p>
    <w:p>
      <w:pPr>
        <w:spacing w:after="0" w:line="133" w:lineRule="exact"/>
        <w:rPr>
          <w:sz w:val="20"/>
          <w:szCs w:val="20"/>
          <w:color w:val="auto"/>
        </w:rPr>
      </w:pPr>
    </w:p>
    <w:p>
      <w:pPr>
        <w:ind w:left="720" w:right="120" w:hanging="422"/>
        <w:spacing w:after="0" w:line="282" w:lineRule="auto"/>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will be the transfer agent for the Versant Class A common stock. You can contact at or by signing on to your account at         .</w:t>
      </w:r>
    </w:p>
    <w:p>
      <w:pPr>
        <w:spacing w:after="0" w:line="308" w:lineRule="exact"/>
        <w:rPr>
          <w:sz w:val="20"/>
          <w:szCs w:val="20"/>
          <w:color w:val="auto"/>
        </w:rPr>
      </w:pPr>
    </w:p>
    <w:p>
      <w:pPr>
        <w:ind w:left="720" w:hanging="422"/>
        <w:spacing w:after="0"/>
        <w:tabs>
          <w:tab w:leader="none" w:pos="720" w:val="left"/>
        </w:tabs>
        <w:numPr>
          <w:ilvl w:val="0"/>
          <w:numId w:val="1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distribution agent for the Distribution of Versant Class A common stock?</w:t>
      </w:r>
    </w:p>
    <w:p>
      <w:pPr>
        <w:spacing w:after="0" w:line="133" w:lineRule="exact"/>
        <w:rPr>
          <w:sz w:val="20"/>
          <w:szCs w:val="20"/>
          <w:color w:val="auto"/>
        </w:rPr>
      </w:pPr>
    </w:p>
    <w:p>
      <w:pPr>
        <w:ind w:left="720" w:hanging="422"/>
        <w:spacing w:after="0"/>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w:t>
      </w:r>
    </w:p>
    <w:p>
      <w:pPr>
        <w:spacing w:after="0" w:line="372" w:lineRule="exact"/>
        <w:rPr>
          <w:sz w:val="20"/>
          <w:szCs w:val="20"/>
          <w:color w:val="auto"/>
        </w:rPr>
      </w:pPr>
    </w:p>
    <w:p>
      <w:pPr>
        <w:ind w:left="720" w:hanging="422"/>
        <w:spacing w:after="0"/>
        <w:tabs>
          <w:tab w:leader="none" w:pos="720" w:val="left"/>
        </w:tabs>
        <w:numPr>
          <w:ilvl w:val="0"/>
          <w:numId w:val="1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can I contact for more information?</w:t>
      </w:r>
    </w:p>
    <w:p>
      <w:pPr>
        <w:spacing w:after="0" w:line="133" w:lineRule="exact"/>
        <w:rPr>
          <w:sz w:val="20"/>
          <w:szCs w:val="20"/>
          <w:color w:val="auto"/>
        </w:rPr>
      </w:pPr>
    </w:p>
    <w:p>
      <w:pPr>
        <w:ind w:left="720" w:hanging="422"/>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you should contact the distribution agent:</w:t>
      </w:r>
    </w:p>
    <w:p>
      <w:pPr>
        <w:spacing w:after="0" w:line="117" w:lineRule="exact"/>
        <w:rPr>
          <w:rFonts w:ascii="Times New Roman" w:cs="Times New Roman" w:eastAsia="Times New Roman" w:hAnsi="Times New Roman"/>
          <w:sz w:val="18"/>
          <w:szCs w:val="18"/>
          <w:color w:val="auto"/>
        </w:rPr>
      </w:pPr>
    </w:p>
    <w:p>
      <w:pPr>
        <w:ind w:left="720" w:right="5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D/B/A EQ Shareowner Services P.O. Box 64854</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Paul, MN 55164-0854</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Before the Separation, if you have questions relating to the transactions described herein, you should contact Comcast at:</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Thomas J. Reid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Philadelphia, PA 19013-2838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(866) 281-2100</w:t>
      </w:r>
    </w:p>
    <w:p>
      <w:pPr>
        <w:spacing w:after="0" w:line="3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320" w:top="455" w:right="7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95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6998970" cy="1195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After the Separation, if you have questions relating to the transactions described herein, you should contact Versant at:</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Legal Department</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904 Sylvan Avenue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Englewood Cliffs, NJ 07632</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(201) 735-2622</w:t>
      </w: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455"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47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THE SEPARATION</w:t>
      </w:r>
    </w:p>
    <w:p>
      <w:pPr>
        <w:spacing w:after="0" w:line="229"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of the Separation, including the Transactions, the Distribution and certain other related transactions.</w:t>
      </w:r>
    </w:p>
    <w:p>
      <w:pPr>
        <w:spacing w:after="0" w:line="6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Distributing Company</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Comcast Corporation (“Comcast”), a Pennsylvania corporation. After the Distribution,</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Comcast will not own any shares of Versant common stock.</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Versant Media Group, Inc. (“Versant”), a Pennsylvania corporation, is a wholly owned</w:t>
            </w: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subsidiary of Comcast that, after giving effect to the Transactions, will hold, directly or</w:t>
            </w: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indirectly through its subsidiaries, the assets and liabilities comprising the Spin Business.</w:t>
            </w:r>
          </w:p>
        </w:tc>
      </w:tr>
      <w:tr>
        <w:trPr>
          <w:trHeight w:val="234"/>
        </w:trPr>
        <w:tc>
          <w:tcPr>
            <w:tcW w:w="3140" w:type="dxa"/>
            <w:vAlign w:val="bottom"/>
          </w:tcPr>
          <w:p>
            <w:pPr>
              <w:spacing w:after="0"/>
              <w:rPr>
                <w:sz w:val="20"/>
                <w:szCs w:val="20"/>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rPr>
              <w:t>After the Distribution, Versant will be an independent, publicly traded company.</w:t>
            </w: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 Structure</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Versant is a holding company. At the time of the Distribution, it will own the shares of a</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number of subsidiaries operating the Spin Business.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 xml:space="preserve">The record date for the Distribution is on the close of business on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w w:val="96"/>
              </w:rPr>
              <w:t>, 2025.</w:t>
            </w:r>
          </w:p>
        </w:tc>
      </w:tr>
      <w:tr>
        <w:trPr>
          <w:trHeight w:val="35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Date</w:t>
            </w:r>
          </w:p>
        </w:tc>
        <w:tc>
          <w:tcPr>
            <w:tcW w:w="298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rPr>
              <w:t xml:space="preserve">The Distribution Date is 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 2026.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Securities</w:t>
            </w: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Comcast will distribute 100% of the shares of Versant common stock outstanding</w:t>
            </w:r>
          </w:p>
        </w:tc>
        <w:tc>
          <w:tcPr>
            <w:tcW w:w="6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w w:val="99"/>
              </w:rPr>
              <w:t>immediately prior to the Distribution.</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4"/>
                <w:szCs w:val="24"/>
                <w:color w:val="auto"/>
              </w:rPr>
            </w:pPr>
          </w:p>
        </w:tc>
        <w:tc>
          <w:tcPr>
            <w:tcW w:w="298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w w:val="93"/>
              </w:rPr>
              <w:t>Based on the approximately 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Comcast Class A common stock</w:t>
            </w:r>
          </w:p>
        </w:tc>
        <w:tc>
          <w:tcPr>
            <w:tcW w:w="6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and 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54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5"/>
              </w:rPr>
              <w:t>   shares of Comcast Class B common stock outstanding on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2025,</w:t>
            </w:r>
          </w:p>
        </w:tc>
      </w:tr>
      <w:tr>
        <w:trPr>
          <w:trHeight w:val="216"/>
        </w:trPr>
        <w:tc>
          <w:tcPr>
            <w:tcW w:w="3140" w:type="dxa"/>
            <w:vAlign w:val="bottom"/>
          </w:tcPr>
          <w:p>
            <w:pPr>
              <w:spacing w:after="0"/>
              <w:rPr>
                <w:sz w:val="18"/>
                <w:szCs w:val="18"/>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w w:val="95"/>
              </w:rPr>
              <w:t>and applying the distribution ratio of </w:t>
            </w:r>
          </w:p>
        </w:tc>
        <w:tc>
          <w:tcPr>
            <w:tcW w:w="38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         share(s) of Versant common stock for</w:t>
            </w: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6"/>
              </w:rPr>
              <w:t>every 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43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w w:val="99"/>
              </w:rPr>
              <w:t>share(s) of Comcast common stock, Comcast will distribute</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88"/>
              </w:rPr>
              <w:t>approximately 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shares of Versant Class A common stock and</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2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88"/>
              </w:rPr>
              <w:t>approximately 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8"/>
              </w:rPr>
              <w:t>shares of Versant Class B common stock to Comcast shareholders.</w:t>
            </w: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Ratio</w:t>
            </w: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Each of Comcast’s shareholders as of the record date will be entitled to receive 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3140" w:type="dxa"/>
            <w:vAlign w:val="bottom"/>
          </w:tcPr>
          <w:p>
            <w:pPr>
              <w:spacing w:after="0"/>
              <w:rPr>
                <w:sz w:val="18"/>
                <w:szCs w:val="18"/>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rPr>
              <w:t>share(s) of Versant Class A common stock or Versant Class B common stock for</w:t>
            </w: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6"/>
              </w:rPr>
              <w:t>every 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5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share(s) of Comcast Class A common stock or Comcast Class B common</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stock, respectively, held by such shareholder on the record date.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Fractional Shares</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Comcast will not distribute any fractional shares of Versant common stock to Comcast</w:t>
            </w:r>
          </w:p>
        </w:tc>
      </w:tr>
      <w:tr>
        <w:trPr>
          <w:trHeight w:val="216"/>
        </w:trPr>
        <w:tc>
          <w:tcPr>
            <w:tcW w:w="3140" w:type="dxa"/>
            <w:vAlign w:val="bottom"/>
          </w:tcPr>
          <w:p>
            <w:pPr>
              <w:spacing w:after="0"/>
              <w:rPr>
                <w:sz w:val="18"/>
                <w:szCs w:val="18"/>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shareholders. Instead, as soon as practicable on or after the Distribution Date, the</w:t>
            </w:r>
          </w:p>
        </w:tc>
        <w:tc>
          <w:tcPr>
            <w:tcW w:w="6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distribution agent will aggregate fractional shares of Versant Class A common stock into</w:t>
            </w:r>
          </w:p>
        </w:tc>
      </w:tr>
    </w:tbl>
    <w:p>
      <w:pPr>
        <w:ind w:left="4340"/>
        <w:spacing w:after="0" w:line="252" w:lineRule="auto"/>
        <w:rPr>
          <w:sz w:val="20"/>
          <w:szCs w:val="20"/>
          <w:color w:val="auto"/>
        </w:rPr>
      </w:pPr>
      <w:r>
        <w:rPr>
          <w:rFonts w:ascii="Times New Roman" w:cs="Times New Roman" w:eastAsia="Times New Roman" w:hAnsi="Times New Roman"/>
          <w:sz w:val="18"/>
          <w:szCs w:val="18"/>
          <w:color w:val="auto"/>
        </w:rPr>
        <w:t>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determine when, how, through which broker-dealers and at what prices to sell the aggregated fractional</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320" w:top="455" w:right="6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8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shares. Recipients of cash in lieu of fractional shares of Versant common stock will not be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entitled to any minimum sale price for the fractional shares or to any interest on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amounts of payments made in lieu of fractional shares. The receipt of cash in lieu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fractional shares generally will be taxable to the recipient shareholders for U.S. federal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income tax purposes as described in “The Separation—Material U.S. Federal Income Tax</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Distribution Method</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will be issued only by direct registration in book-entry</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form. Registration in book-entry form is a method of recording stock ownership when no</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physical paper share certificates are issued to shareholders, as is the case with respect to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that will be distributed as part of the Distribution. Holders</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of Versant Class B common stock will be issued share certificates.</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Conditions to the Distribution</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Distribution is subject to the satisfaction or waiver by Comcast of the following</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conditions, as well as other conditions described in this information statement in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Separation—Conditions to 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Our registration statement on Form 10, of which this information statement is a part,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will have become effective, no stop order suspending the effectiveness of our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registration statement on Form 10 will be in effect, and no proceedings for such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purpose will be pending before or threatened by the SEC, and this information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statement, or a notice of Internet availability thereof, will have been made available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to the holders of Comcast common stock as of the record date for 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Our Class A common stock to be delivered in the Distribution will have been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approved for listing on Nasdaq subject to official notice of issuance;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Comcast will have received the opinion of Davis Polk &amp; Wardwell LLP to the effect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that, for U.S. federal income tax purposes, the Distribution, together with certain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related transactions, will qualify as a “reorganization” within the meaning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Code applies, and the Comcast Cash Distribution will qualify as money distributed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to Comcast creditors or shareholders in connection with the reorganization for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purposes of Section 361(b) of the Code;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Any material governmental approvals and consents and any material permits,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registrations and consents from third parties, in each case, necessary to effect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Transactions or the Distribution will have been obtained; and</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No event or development will have occurred or exist that, in the judgment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Comcast Board, in its sole discretion, makes it inadvisable to effect the Distribution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or other transactions contemplated by the Separation and Distribution Agreement 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by any of the ancillary agreements contemplated by the Separation and Distribution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Agreement.</w:t>
            </w:r>
          </w:p>
        </w:tc>
      </w:tr>
      <w:tr>
        <w:trPr>
          <w:trHeight w:val="172"/>
        </w:trPr>
        <w:tc>
          <w:tcPr>
            <w:tcW w:w="3280" w:type="dxa"/>
            <w:vAlign w:val="bottom"/>
            <w:tcBorders>
              <w:left w:val="single" w:sz="8" w:color="auto"/>
              <w:bottom w:val="single" w:sz="8" w:color="auto"/>
            </w:tcBorders>
          </w:tcPr>
          <w:p>
            <w:pPr>
              <w:spacing w:after="0"/>
              <w:rPr>
                <w:sz w:val="14"/>
                <w:szCs w:val="14"/>
                <w:color w:val="auto"/>
              </w:rPr>
            </w:pPr>
          </w:p>
        </w:tc>
        <w:tc>
          <w:tcPr>
            <w:tcW w:w="7740" w:type="dxa"/>
            <w:vAlign w:val="bottom"/>
            <w:tcBorders>
              <w:bottom w:val="single" w:sz="8" w:color="auto"/>
              <w:right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4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The fulfillment</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of the conditions to the Distribution will not create any obligations on Comcast’s part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effect the Distribution, and Comcast has reserved the right to abandon, modify or change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terms of the Separation, including by accelerating or delaying the timing of the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consummation of all or part of the Distribution, at any time prior to the Distribution Date.</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Versant has been approved to have its shares of Class A common stock listed on Nasdaq</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under the ticker symbol “VSNT”, subject to official notice of issuance.</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While we expect to have the capacity to return capital to our shareholders following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Separation, the declaration and amount of any dividends to holders of our common stock</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will be at the discretion of our Board and will depend upon many factors, including our</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financial condition, earnings, cash flows, capital requirements of our business, covenants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associated with our debt obligations, legal requirements, regulatory constraints, industry</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practice and any other factors the Board deems relevant. For more information, see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“Dividend Policy.”</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Agent</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Equiniti Trust Company, LLC, with respect to the shares of Versant Class A common</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stock.</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 condition to the Distribution is Comcast’s receipt of the opinion of Davis Polk &amp;</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Wardwell LLP to the effect that, for U.S. federal income tax purposes, the Distribution,</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together with certain related transactions, will qualify as a “reorganization” within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meaning of Section 368(a)(1)(D) of the Code and a distribution to which Section 355 of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Code applies, and the Comcast Cash Distribution will qualify as money distributed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Comcast creditors or shareholders in connection with the reorganization for purposes of</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Section 361(b) of the Code. In that case, for U.S. federal income tax purposes,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Distribution will be tax-free to beneficial owners of Comcast common stock, except to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extent of any cash received in lieu of fractional shares of Versant common stock. You</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should review the section entitled “The Separation—Material U.S. Federal Income Tax</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Consequences of the Distribution” for a discussion of the material U.S. federal income tax</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172"/>
        </w:trPr>
        <w:tc>
          <w:tcPr>
            <w:tcW w:w="3640" w:type="dxa"/>
            <w:vAlign w:val="bottom"/>
            <w:tcBorders>
              <w:left w:val="single" w:sz="8" w:color="auto"/>
              <w:bottom w:val="single" w:sz="8" w:color="auto"/>
            </w:tcBorders>
          </w:tcPr>
          <w:p>
            <w:pPr>
              <w:spacing w:after="0"/>
              <w:rPr>
                <w:sz w:val="14"/>
                <w:szCs w:val="14"/>
                <w:color w:val="auto"/>
              </w:rPr>
            </w:pPr>
          </w:p>
        </w:tc>
        <w:tc>
          <w:tcPr>
            <w:tcW w:w="7380" w:type="dxa"/>
            <w:vAlign w:val="bottom"/>
            <w:tcBorders>
              <w:bottom w:val="single" w:sz="8" w:color="auto"/>
              <w:right w:val="single" w:sz="8" w:color="auto"/>
            </w:tcBorders>
          </w:tcPr>
          <w:p>
            <w:pPr>
              <w:spacing w:after="0"/>
              <w:rPr>
                <w:sz w:val="14"/>
                <w:szCs w:val="14"/>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58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6998970" cy="6758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including risks related to the Separation, including the Transactions and the Distribution, and other related transactions. The following list of risk factors is not exhaustive. Please read “Risk Factors” carefully for a more thorough description of these and other risks.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135" w:lineRule="exact"/>
        <w:rPr>
          <w:sz w:val="20"/>
          <w:szCs w:val="20"/>
          <w:color w:val="auto"/>
        </w:rPr>
      </w:pPr>
    </w:p>
    <w:p>
      <w:pPr>
        <w:ind w:left="1240" w:right="38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intense competition, and if we are unable to compete effectively, our business, financial condition and results of operations could suffer.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evolving technologies and distribution platforms continue to adversely affect our business.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w:t>
      </w:r>
    </w:p>
    <w:p>
      <w:pPr>
        <w:spacing w:after="0" w:line="130" w:lineRule="exact"/>
        <w:rPr>
          <w:rFonts w:ascii="Times New Roman" w:cs="Times New Roman" w:eastAsia="Times New Roman" w:hAnsi="Times New Roman"/>
          <w:sz w:val="18"/>
          <w:szCs w:val="18"/>
          <w:color w:val="auto"/>
        </w:rPr>
      </w:pPr>
    </w:p>
    <w:p>
      <w:pPr>
        <w:ind w:left="1240" w:right="72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brands or our reputation could have a material adverse effect on our business, financial condition or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network rebrands may result in customer confusion and disruption, leading to lower ratings and monetization.</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continued appeal of the content we distribute. The preferences of our viewers and distributors are difficult to forecast and subject to change.</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digital platforms depends on our ability to attract new customers, retain existing customers and continue to grow the revenue we derive from these businesses.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make investments in, and/or acquire and integrate, other businesses, assets, products or technologies could harm our business, financial condition or operating results.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135" w:lineRule="exact"/>
        <w:rPr>
          <w:sz w:val="20"/>
          <w:szCs w:val="20"/>
          <w:color w:val="auto"/>
        </w:rPr>
      </w:pPr>
    </w:p>
    <w:p>
      <w:pPr>
        <w:ind w:left="1240" w:hanging="415"/>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the Separation, and the Separation could harm our business.</w:t>
      </w:r>
    </w:p>
    <w:p>
      <w:pPr>
        <w:spacing w:after="0" w:line="130"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operating as an independent company, and our combined financial statements and unaudited pro forma combined financial statements are not necessarily representative of the results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21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that we would have achieved as an independent, publicly traded company and may not be a reliable indicator of our future results.</w:t>
      </w:r>
    </w:p>
    <w:p>
      <w:pPr>
        <w:spacing w:after="0" w:line="131" w:lineRule="exact"/>
        <w:rPr>
          <w:sz w:val="20"/>
          <w:szCs w:val="20"/>
          <w:color w:val="auto"/>
        </w:rPr>
      </w:pPr>
    </w:p>
    <w:p>
      <w:pPr>
        <w:ind w:left="1240" w:hanging="415"/>
        <w:spacing w:after="0" w:line="282"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costs to create the infrastructure necessary to operate as an independent public company and may experience operational disruptions in connection with the Separation.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occurs, Comcast has sole discretion to change the terms of the Separation in ways that may be unfavorable to us.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we entered into the TLA/Revolver Credit Agreement and the Indenture and we intend to enter into the TLB Credit Agreement, each of which could restrict our business and adversely impact our cash flows,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shareholders do not have dissenters’ rights with respect to the Separation.</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135" w:lineRule="exact"/>
        <w:rPr>
          <w:sz w:val="20"/>
          <w:szCs w:val="20"/>
          <w:color w:val="auto"/>
        </w:rPr>
      </w:pPr>
    </w:p>
    <w:p>
      <w:pPr>
        <w:ind w:left="1240" w:right="40" w:hanging="415"/>
        <w:spacing w:after="0" w:line="26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our shares are or will be eligible for future sale, which may cause the market price of our Class A common stock to decline.</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81"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articles of incorporation and bylaws and certain provisions of Pennsylvania law could delay or prevent a change in control of Versant.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in Versant may be diluted in the future.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and will be subordinate to all of our indebtedness and any preferred stock, and effectively subordinated to all indebtedness and preferred equity claims against our subsidiaries.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our Board will declare dividends in the foreseeable future.</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320" w:top="455" w:right="6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616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COMBINED FINANCIAL AND OTHER DATA</w:t>
      </w:r>
    </w:p>
    <w:p>
      <w:pPr>
        <w:spacing w:after="0" w:line="229" w:lineRule="exact"/>
        <w:rPr>
          <w:sz w:val="20"/>
          <w:szCs w:val="20"/>
          <w:color w:val="auto"/>
        </w:rPr>
      </w:pPr>
    </w:p>
    <w:p>
      <w:pPr>
        <w:ind w:left="300" w:right="380" w:firstLine="426"/>
        <w:spacing w:after="0" w:line="254" w:lineRule="auto"/>
        <w:rPr>
          <w:sz w:val="20"/>
          <w:szCs w:val="20"/>
          <w:color w:val="auto"/>
        </w:rPr>
      </w:pPr>
      <w:r>
        <w:rPr>
          <w:rFonts w:ascii="Times New Roman" w:cs="Times New Roman" w:eastAsia="Times New Roman" w:hAnsi="Times New Roman"/>
          <w:sz w:val="18"/>
          <w:szCs w:val="18"/>
          <w:color w:val="auto"/>
        </w:rPr>
        <w:t>The following summary combined financial data of the Company should be read in conjunction with, and are qualified by reference to, the information under “Management’s Discussion and Analysis of Financial Condition and Results of Operations” and the combined financial statements and notes thereto included elsewhere in this information statement. The combined statement of income data for the years ended December 31, 2024, 2023 and 2022, and the combined balance sheet data as of December 31, 2024 and 2023 are derived from, and qualified by reference to, the audited combined financial statements of the Company included elsewhere in this information statement, and should be read in conjunction with those combined financial statements and notes thereto. The combined statement of income data for the nine months ended September 30, 2025 and 2024, and the combined balance sheet data as of September 30, 2025 are derived from, and qualified by reference to, the unaudited condensed combined financial statements of the Company included elsewhere in this information statement, and should be read in conjunction with those combined financial statements and notes thereto.</w:t>
      </w:r>
    </w:p>
    <w:p>
      <w:pPr>
        <w:spacing w:after="0" w:line="188"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The summary financial data in this section are not intended to replace our combined financial statements and related notes appearing at the end of this information statement.</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4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86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2025 </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   2024 </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5,078</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Versant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10"/>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4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2024 </w:t>
            </w:r>
          </w:p>
        </w:tc>
        <w:tc>
          <w:tcPr>
            <w:tcW w:w="38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7"/>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98"/>
              </w:rPr>
              <w:t>1,546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$ 2,211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$ 2,428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8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   (71)</w:t>
            </w:r>
          </w:p>
        </w:tc>
        <w:tc>
          <w:tcPr>
            <w:tcW w:w="18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(60)</w:t>
            </w:r>
          </w:p>
        </w:tc>
        <w:tc>
          <w:tcPr>
            <w:tcW w:w="2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(1,413)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$(2,155)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$(2,355)</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01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6998970" cy="29013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6"/>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11,310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13,099</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w w:val="93"/>
              </w:rPr>
              <w:t>1,021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1,422</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10,289</w:t>
            </w:r>
          </w:p>
        </w:tc>
        <w:tc>
          <w:tcPr>
            <w:tcW w:w="3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10,915</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11,677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2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top w:val="single" w:sz="8" w:color="auto"/>
              <w:bottom w:val="single" w:sz="8" w:color="auto"/>
            </w:tcBorders>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5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80" w:type="dxa"/>
            <w:vAlign w:val="bottom"/>
            <w:tcBorders>
              <w:top w:val="single" w:sz="8" w:color="auto"/>
              <w:bottom w:val="single" w:sz="8" w:color="auto"/>
            </w:tcBorders>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2024 </w:t>
            </w: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6"/>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1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1,888</w:t>
            </w: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3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$2,837</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60" w:hanging="422"/>
        <w:spacing w:after="0" w:line="281" w:lineRule="auto"/>
        <w:tabs>
          <w:tab w:leader="none" w:pos="7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a non-GAAP financial measure. See “Presentation of Financial and Other Information—Non-GAAP Financial Measures” and “Management’s Discussion and Analysis of Financial Condition and Results of Operation—Non-GAAP Financial Measures” for discussion on how we define and calculate Adjusted EBITDA, why we believe this measure is important and a reconciliation of Adjusted EBITDA to its most directly comparable financial measure calculated in accordance with GAAP, net income attributable to Versant.</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and all of the other information contained in this information statement. Some of these risks relate principally to the Separation, while others relate principally to our business and the industry in which we operate or to the securities markets generally and ownership of our common stock. Our business, prospects, results of operations, financial condition or cash flows could be materially and adversely affected by any of these risks, and, as a result, the trading price of our Class A common stock could decline.</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225"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and if we are unable to compete effectively, our business, financial condition and results of operations could suffer.</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businesses operate in highly competitive industries. Our networks compete with other networks to secure favorable distribution agreements with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“Business—Our Industry—Competition.”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compete to distribute our networks on MVPDs, including for the right to be carried on any particular “tier” of service and ultimately for viewership. Competition has intensified as MVPDs have explored alternative distribution methods and new types of MVPD bundles to satisfy evolving consumer preferences and reduce their programming costs. Although we intend to reach new audiences by expanding and extending our content offerings into new outlets, the market landscape is highly competitive and requires significant investment, and there can be no assurance that we will be able to compete effectively.</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Competitors with significant resources, greater efficiencies of scale and fewer regulatory burdens continue to increasingly compete with our businesses. Some of these competitors could also have preferential access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customer data or other competitive information.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w:t>
      </w:r>
    </w:p>
    <w:p>
      <w:pPr>
        <w:spacing w:after="0" w:line="183"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behavior, evolving technologies and distribution platforms continue to adversely affect our business.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Technological advances and evolving consumer preferences have changed how audiences consume video content, reducing the number of subscribers to MVPDs and, in turn, adversely affecting businesses like ours that derive distribution revenue from MVPDs.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subscribers depart the MVPD ecosystem, MVPDs could deprioritize their cable television network consumer offerings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we respond to the decline in consumer demand for cable television, our future success is and will be dependent on our ability to acquire, develop, adopt and leverage new and existing technologies, and our competitors’ use of certain types of technology, including artificial intelligence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direct-to-consumer offerings or streaming services in lieu of cable television networks, the revenue we earn from distributing our networks to MVPDs may decrease because our revenues are derived in part from the number of MVPD subscribers.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w:t>
      </w:r>
    </w:p>
    <w:p>
      <w:pPr>
        <w:spacing w:after="0" w:line="19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anticipate or effectively respond to changes in technology, consumer behavior or distribution models, or if we are unable to execute effectively on our strategic and technology initiatives, our businesses and results of operations could be adversely affected.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programming distribution agreements, or the renewal of these agreements on less favorable terms, could adversely affect our businesses.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networks depend on our ability to secure and maintain favorable distribution agreements with MVPDs. The number of subscribers to our networks has decreased over time, and may continue to decrease, as a result of overall reduced viewing of cable television. If our networks do not attract sufficient viewers, both new and existing MVPDs may be reluctant to distribute our networks or may decide to distribute our networks with significantly less favorable terms.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MVPDs also may elect not to enter into agreements to distribute some or all of our networks as a result of changing market dynamics and industry consolidation. For example, MVPDs may seek to offer smaller packages of channels as part of their MVPD bundles, which may increase both competition for carriage on distribution platforms and marketing expenses and could adversely affect our business, financial condition and results of operations.</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Separation, our negotiating position with MVPDs may be weakened without the ability to sell our programming along with NBCU’s broadcast television networks and Peacock. There can be no assurance that any of our programming distribution agreements will be entered into or renewed in the future on similar terms. Our inability to enter into or renew some or all of our distribution agreements on favorable terms could reduce our revenue and the reach of our programming, which could adversely affect our business, financial condition and results of operations.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decline in advertisers’ expenditures or changes in advertising markets could negatively impact 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selling advertising, and declines in expenditures by advertisers have in the past negatively impacted, and may in the future, negatively impact our business, financial condition and results of operations. We have experienced, and expect to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brands or our reputation could have a material adverse effect on our business, financial condition or results of operations.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brands are among our most valuable assets. We believe that our brand image, awareness and reputation strengthen our relationship with our audiences and contribute significantly to the success of our business. Maintaining, enhancing and extending our brands, as well as our rebranding efforts, may require us to make significant investments in marketing, content or new products, services or events, and these investments may not be successful. Moreover,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w:t>
      </w:r>
    </w:p>
    <w:p>
      <w:pPr>
        <w:spacing w:after="0" w:line="19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 reaction, our ability to maintain a positive reputation may likewise be adversely impacted. If we are not successful in maintaining, rebranding or enhancing the image or awareness of our brands, or if our reputation is harmed for any reason, it could have a material adverse effect on our business, financial condition or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network rebrands may result in customer confusion and disruption, leading to lower ratings and monetization.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in August 2025 we announced the rebranding of MSNBC as MS NOW, which became effective in November 2025, and that Versant’s sports programming will come together under the new brand USA Sports. We will also remove the Peacock logo from our other networks, platforms and products in connection with the Separation. In addition, we will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new names, brands and logos may not benefit from the same recognition and association with quality as their predecessor names, brands and logos, which may affect our ability to attract and maintain viewers who may not recognize these new names, brands and logos. As a result, we may not be successful at maintaining viewership levels as we transition to new names, brands and logos. Any loss of viewers due to such repositioning may impact the attractiveness of our networks and digital platforms to distributors and advertisers, which could in turn reduce our linear distribution revenue and our advertising revenue. We may also incur additional costs related to marketing efforts with respect to any new names, brands and logos. Moreover, new names, brands and logos may be subject to challenge by third parties under intellectual property laws. See “—Our businesses depend on using and protecting certain intellectual property rights and on not infringing, misappropriating or otherwise violating the intellectual property rights of others.” As a result, any such brand repositioning could adversely affect our business, financial condition and results of operations, and, if unsuccessful or challenged, could require further repositioning.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appeal of the content we distribute. The preferences of our viewers and distributors are difficult to forecast and subject to change.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 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w:t>
      </w:r>
    </w:p>
    <w:p>
      <w:pPr>
        <w:spacing w:after="0" w:line="287"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digital platforms depends on our ability to attract new customers, retain existing customers and continue to grow the revenue we derive from these businesses.</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digital platforms generate revenue from providing services directly to consumers, selling cloud-based technology and related services and selling advertisements.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fail to attract new customers, retain our existing customers or increase sales to both new and existing customers due to a number of factors, including:</w:t>
      </w:r>
    </w:p>
    <w:p>
      <w:pPr>
        <w:spacing w:after="0" w:line="67"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current or potential customers’ spending levels, including due to a deteriorating macroeconomic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customers’ level of satisfaction with our websites and mobile applications or our 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relationships with third parties, including app developers, payments processors and other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recognition;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relating to actual or perceived privacy or security breaches.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on using and protecting certain intellectual property rights and on not infringing, misappropriating or otherwise violating the intellectual property rights of others.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rebrand our platforms, products or services,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our businesses, and our success is highly dependent on protecting the intellectual property rights of our brands and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Similarly, any infringement or dilution of our names, brands and logos may negatively affect their value and our ability to build equity in, and generate revenue from, such names, brands and logos. New names, brands and logos in particular may provide less protection than names, brands and logos with a more established track record of use in commerce.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298" w:lineRule="exact"/>
        <w:rPr>
          <w:sz w:val="20"/>
          <w:szCs w:val="20"/>
          <w:color w:val="auto"/>
        </w:rPr>
      </w:pPr>
    </w:p>
    <w:p>
      <w:pPr>
        <w:ind w:left="34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6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due to factors such as process breakdowns, human error, software or hardware failures or vulnerabilities in security architecture or system design.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and operate our digital businesses.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complexity and interconnectedness of our systems and those of our third-party vendors, the process of enhancing our protective measures can itself create a risk of systems disruptions and security issues.</w:t>
      </w:r>
    </w:p>
    <w:p>
      <w:pPr>
        <w:spacing w:after="0" w:line="19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laws and regulations related to privacy and data protection.</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regulations, such as those found within the Communications Act of 1934 (the “Communications Act”) or the Video Privacy Protection Act, restrict companies’ collection, use, disclosure and retention of personal information, and the laws at the state level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 For more regarding the privacy and data protection regulation of our business, see “Business— Regulation.”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Weak economic conditions may have a negative impact on our businesses.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record impairment charges for goodwill and intangible assets.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 significant amount of goodwill and intangible assets on our combined balance sheets. In accordance with GAAP, management periodically assesses these assets for impairment (see Note 7 to the audited combined financial statements included elsewhere in this information statement).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the fair value of our intangible assets.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information statement, could result in decreases in the fair value of our business and intangible assets and require us to record impairment losses that could materially adversely affect our results of operations in the periods recognized.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management personnel or popular on-air and creative talent could have an adverse effect on our businesses.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and the loss of one or more of our key management personnel could have a negative impact on our businesses.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may have loyal audiences. These individuals are important to audience endorsement of our programs and other content. There can be no assurance that these individuals will remain with us or retain their current audiences.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whether involving employees or sports organizations, may disrupt our operations and adversely affect our businesses.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some of our suppliers and business partners currently retain, and may in the future retain, the services of writers, directors, 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and have taken, actions such as strikes, work slowdowns or work stoppages. Strikes, work slowdowns, work stoppages, or the possibility of such actions, could result in delays in the production of, or the release of, the content aired by our networks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including our on-air talent,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by federal, state and local authorities, which impose additional costs and restrictions on our businesses.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businesses are subject to various federal, state and local laws and regulations. For example, the Communications Act and the Federal Communications Commission (“FCC”) regulations affect certain aspects of 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“Business—Regulation.”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Unfavorable litigation or governmental investigation results could require us to pay significant amounts or lead to onerous operating procedures.</w:t>
      </w:r>
    </w:p>
    <w:p>
      <w:pPr>
        <w:spacing w:after="0" w:line="13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298"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or acquire and integrate, other businesses, assets, products or technologies could harm our business, financial condition or operating results.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w:t>
      </w:r>
    </w:p>
    <w:p>
      <w:pPr>
        <w:spacing w:after="0" w:line="89"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Separation, and the Separation could harm our business.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w:t>
      </w:r>
    </w:p>
    <w:p>
      <w:pPr>
        <w:spacing w:after="0" w:line="85" w:lineRule="exact"/>
        <w:rPr>
          <w:sz w:val="20"/>
          <w:szCs w:val="20"/>
          <w:color w:val="auto"/>
        </w:rPr>
      </w:pPr>
    </w:p>
    <w:p>
      <w:pPr>
        <w:ind w:left="1080" w:right="4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will require significant amounts of management’s time and effort, which may divert management’s attention from operating and growing our business;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we may be more susceptible to economic downturns and other adverse events than if we were still a part of Comcast;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business will be less diversified than Comcast’s business prior to the Separation and will also experience a loss of scale and access to certain financial, managerial and professional resources from which we have benefited in the past;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required to separate the respective businesses could disrupt our operations.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we fail to achieve some or all of the benefits expected to result from the Separation, or if such benefits are delayed, our business could be harmed.</w:t>
      </w:r>
    </w:p>
    <w:p>
      <w:pPr>
        <w:spacing w:after="0" w:line="266" w:lineRule="exact"/>
        <w:rPr>
          <w:sz w:val="20"/>
          <w:szCs w:val="20"/>
          <w:color w:val="auto"/>
        </w:rPr>
      </w:pPr>
    </w:p>
    <w:p>
      <w:pPr>
        <w:ind w:left="34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operating as an independent company, and our combined financial statements and unaudited pro forma combined financial statements are not necessarily representative of the results that we would have achieved as an independent, publicly traded company and may not be a reliable indicator of our future results.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combined financial statements and unaudited pro forma combined financial statements included in this information statement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combined financial statements included in this information statement is not necessarily indicative of our future results of operations, financial condition or cash flows primarily because of the following factors:</w:t>
      </w:r>
    </w:p>
    <w:p>
      <w:pPr>
        <w:spacing w:after="0" w:line="89" w:lineRule="exact"/>
        <w:rPr>
          <w:sz w:val="20"/>
          <w:szCs w:val="20"/>
          <w:color w:val="auto"/>
        </w:rPr>
      </w:pPr>
    </w:p>
    <w:p>
      <w:pPr>
        <w:ind w:left="108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operated by Comcast on a combined basis as part of its broader corporate organization, rather than as an independent company or distinct business unit or division. Comcast or its affiliates provided support for various corporate functions for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results reflect the direct, indirect and allocated costs for such services historically provided by Comcast, and these costs may significantly differ from the comparable expenses we would have incurred as an independent, publicly traded company;</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integrated with that of Comcast and we benefit from Comcast’s arrangements in terms of costs, employees and commercial relationships. Thus, costs we will incur as an independent company may exceed comparable costs we would have incurred as part of Comcast and some of our commercial relationships may be weakened or lost;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operated within Comcast’s corporate-wide cash management and centralized funding programs, and as an independent company our borrowing costs may significantly differ from Comcast’s borrowing costs;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financial statements may not fully reflect the costs associated with the Separation, including the costs related to being an independent public company; and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statements do not reflect our obligations under the various transitional and other agreements we will enter into with Comcast in connection with the Separation, though costs under such agreements may be more than what was charged to the Spin Business in the past.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based the pro forma adjustments included in this information statement on available information and assumptions that we believe are reasonable and factually supportable; actual results, however, may vary. In addition, our unaudited pro forma combined financial statements included in this information statement may not give effect to various ongoing additional costs we may incur in connection with being an independent public company. Accordingly, our unaudited pro forma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See “Unaudited Pro Forma Combined Financial Statements,” “Management’s Discussion and Analysis of Financial Condition and Results of Operations” and our combined financial statements and the notes to those statements included elsewhere in this information statement.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historically operated within Comcast, and there are risks associated with the Separation.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historically operated within Comcast, and our current relationship with Comcast, including NBCUniversal Media, LLC (“NBCUniversal”), will change as a result of the Separation. These and other changes could have an adverse effect on our business, financial condition and results of operations.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Before the Distribution, we will enter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currently provide guarantees for our benefit to third parties with respect to certain of our contractual obligations. Following the Separation,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w:t>
      </w:r>
    </w:p>
    <w:p>
      <w:pPr>
        <w:spacing w:after="0" w:line="192"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we are entering into certain commercial arrangements with Comcast. See “The Separation—Agreements with Comcast—Certain Commercial Arrangements.” Although these agreements are generally based on market terms that could be obtained from other providers and relate to ordinary course business functions, they are important to our ability to provide certain content to our viewers, provide certain services to our customers and generate portions of our revenue, and we may be required to expend significant resources to renew these commercial arrangements with Comcast, find alternative business partners to provide similar services in the future and/or develop capabilities so that we can perform certain of these functions internally. There can be no assurance that we will be able to do so on attractive terms or at all, which could adversely impact our business, financial condition and results of operations. We will also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 after which time we may need to reposition the related network and related platforms and products. Moreover, following the Separation, we will be subject to certain restrictions on our businesses that will prevent us from using certain trademarks to compete with certain Comcast businesses in certain international territories for a period after the expiration of the license. See “—Business Risk Factors—Our network rebrands may result in customer confusion and disruption, leading to lower ratings and monetization.”</w:t>
      </w:r>
    </w:p>
    <w:p>
      <w:pPr>
        <w:spacing w:after="0" w:line="19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following the Separation, Comcast will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following the Separation could have an adverse effect on our business, financial condition and results of operations. Comcast may also allege that we have failed to perform our obligations to Comcast under these arrangements, which may subject us to claims and liability.</w:t>
      </w:r>
    </w:p>
    <w:p>
      <w:pPr>
        <w:spacing w:after="0" w:line="287" w:lineRule="exact"/>
        <w:rPr>
          <w:sz w:val="20"/>
          <w:szCs w:val="20"/>
          <w:color w:val="auto"/>
        </w:rPr>
      </w:pPr>
    </w:p>
    <w:p>
      <w:pPr>
        <w:ind w:left="34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to create the infrastructure necessary to operate as an independent public company and may experience operational disruptions in connection with the Separation.</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Comcast currently performs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See “The Separation—Agreements with Comcast—Transition Services Agreement.”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combined financial statements that were incurred as a business segment of Comcast. We began incurring costs in the second quarter of 2025 to establish the 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Moreover, we may be required to make substantial capital investments to establish independent physical infrastructure following the Separation. For example, we will likely need to make significant investments to develop our own offices and production sites. These efforts to build the infrastructure necessary to operate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independently could be costly and complex. There can be no assurance that we will be successful in implementing our own systems or in securing new facilities and services without experiencing delays or unexpected cost overruns. If we are unable to operate our business as efficiently or cost-effectively as we did as a part of Comcast’s infrastructure, our profitability may be adversely affected.</w:t>
      </w:r>
    </w:p>
    <w:p>
      <w:pPr>
        <w:spacing w:after="0" w:line="17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Additionally, we will have to obtain our own insurance policies after the Separation is complete. Although we expect to have insurance policies in place as of the Separation that cover certain, but not all, hazards that could arise from our operations, we can provide no assurance that we will be able to obtain such coverage, that the cost of such coverage will be similar to those incurred by Comcast or that such coverage will be adequate to protect us from costs incurred with certain events. The occurrence of an event that is not insured or not fully insured could have a material adverse effect on our results of operations, financial condition and cash flows in the future. There can be no assurance that we will be able to obtain insurance coverage following the Separation on terms that justify its purchase, and any such insurance may not be adequate to offset costs associated with certain events.</w:t>
      </w:r>
    </w:p>
    <w:p>
      <w:pPr>
        <w:spacing w:after="0" w:line="17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21"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Following the effectiveness of the registration statement of which this information statement forms a part, we will be directly subject to reporting and other obligations under the Exchange Act and the rules of Nasdaq. As an independent public company, we will be required to, among other things:</w:t>
      </w:r>
    </w:p>
    <w:p>
      <w:pPr>
        <w:spacing w:after="0" w:line="45" w:lineRule="exact"/>
        <w:rPr>
          <w:sz w:val="20"/>
          <w:szCs w:val="20"/>
          <w:color w:val="auto"/>
        </w:rPr>
      </w:pPr>
    </w:p>
    <w:p>
      <w:pPr>
        <w:ind w:left="1080" w:right="18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proxy statements and other shareholder communications in compliance with the federal securities laws and rules;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federal securities laws and rules and stock exchange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investor relations and treasury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Public Company Accounting Oversight Board and Nasdaq.</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prepared to meet the financial reporting and other requirements to which we will be subject following the Separation. To comply with these requirements, we anticipate that we will need to duplicate information technology infrastructure, implement additional financial and management controls, reporting systems and procedures and hire additional accounting, finance, tax, treasury and information technology staff. Our investment in compliance with existing and evolving regulatory requirements will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w:t>
      </w:r>
    </w:p>
    <w:p>
      <w:pPr>
        <w:spacing w:after="0" w:line="293"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5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on Form</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10-K. Our independent registered public accounting firm may not be required to formally attest to the effectiveness of our internal controls until the year following the first annual report required to be filed with the SEC.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Nasdaq,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from Nasdaq, and could have a material adverse effect on our business, financial condition, prospects and results of operations.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Until the Separation occurs, Comcast has sole discretion to change the terms of the Separation in ways that may be unfavorable to us.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Completion of the Separation remains subject to the satisfaction or waiver of certain conditions, some of which are in the sole and absolute discretion of Comcast, including final approval by Comcast’s Board. Additionally, Comcast has the sole and absolute discretion to change certain terms of the Separation, including the amount of any payment we make to Comcast, the amount of our indebtedness and the allocation of contingent liabilities, which changes could be unfavorable to us. In addition, Comcast may decide at any time prior to the completion of the Separation not to proceed with the Separation.</w:t>
      </w:r>
    </w:p>
    <w:p>
      <w:pPr>
        <w:spacing w:after="0" w:line="287" w:lineRule="exact"/>
        <w:rPr>
          <w:sz w:val="20"/>
          <w:szCs w:val="20"/>
          <w:color w:val="auto"/>
        </w:rPr>
      </w:pPr>
    </w:p>
    <w:p>
      <w:pPr>
        <w:jc w:val="both"/>
        <w:ind w:left="34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Comcast will indemnify us for certain liabilities, and we will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7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Separation and Distribution Agreement and other agreements with Comcast, Comcast will agree to indemnify us for certain liabilities, and we will agree to indemnify Comcast for certain liabilities,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discussed further in “The Separation—Agreements with Comcast.” Payments that we may be required to provide under indemnities and reimbursements to Comcast are not subject to any cap, may be significant and could negatively affect our business, particularly under indemnities relating to our actions that could affect the tax-free 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Spin Business during the time that it was a business segment of Comcast prior to the Separation, such as certain tax liabilities which relate to periods during which taxes of the Spin Business were reported as a part of Comcast; certain liabilities retained by Comcast which relate to contracts or other obligations entered into jointly by the Spin Business and Comcast’s retained business; certain environmental liabilities related to sites at which both Comcast and the Spin Business operated; and certain liabilities arising from third-party claims in respect of contracts in which both Comcast and the Spin Business supply goods or provide services.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w:t>
      </w:r>
    </w:p>
    <w:p>
      <w:pPr>
        <w:spacing w:after="0" w:line="287" w:lineRule="exact"/>
        <w:rPr>
          <w:sz w:val="20"/>
          <w:szCs w:val="20"/>
          <w:color w:val="auto"/>
        </w:rPr>
      </w:pPr>
    </w:p>
    <w:p>
      <w:pPr>
        <w:jc w:val="both"/>
        <w:ind w:left="34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we entered into the TLA/Revolver Credit Agreement and the Indenture and we intend to enter into the TLB Credit Agreement, each of which could restrict our business and adversely impact our cash flows, business, financial condition and results of operations.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on October 3, 2025, we entered into the TLA/Revolver Credit Agreement with respect to (i) the $1.0 billion Term A Loan Facility and (ii) the $750 million Revolving Credit Facility and on October 29, 2025, we entered into the Indenture with respect to $1.0 billion aggregate principal amount of Notes. We also intend to enter into the TLB Credit Agreement with respect to the $1.0 billion Term B Loan Facility. We expect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See “The Separation—Incurrence of Debt” and “Description of Material Indebtedness.” This level of debt could have significant consequences on our future operations, including:</w:t>
      </w:r>
    </w:p>
    <w:p>
      <w:pPr>
        <w:spacing w:after="0" w:line="94" w:lineRule="exact"/>
        <w:rPr>
          <w:sz w:val="20"/>
          <w:szCs w:val="20"/>
          <w:color w:val="auto"/>
        </w:rPr>
      </w:pPr>
    </w:p>
    <w:p>
      <w:pPr>
        <w:ind w:left="1080" w:right="24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such debt agreements, which could result in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We may also incur substantial additional indebtedness in the future.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be unable to service or refinance our debt or maintain compliance with restrictive covenants in our debt instruments. Our cash flow from operations will provide the primary source of funds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our debt service payments. If our cash flow from operations declines, we may be unable to service or refinance our current debt. If we fail to comply with any covenant in the future, including any financial covenant, it could result in an event of default and make the entire debt incurred thereunder immediately due and payable or we may be forced to sell assets, restructure our indebtedness or seek additional equity capital, which would dilute our shareholders’ interests.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the terms of the indebtedness we have incurred and expect to incur include and will include, and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w:t>
      </w:r>
    </w:p>
    <w:p>
      <w:pPr>
        <w:spacing w:after="0" w:line="291"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Separation,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all such required third-party consents and new agreements will be procured or put in place, as applicable, prior to the Distribution. Consequently, we may not realize certain of the benefits that are intended to be allocated to us as part of the Separation.</w:t>
      </w:r>
    </w:p>
    <w:p>
      <w:pPr>
        <w:spacing w:after="0" w:line="266"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Separation, some of our directors and officers may have actual or potential conflicts of interest because of their equity ownership in Comcast.</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their current or former positions with Comcast, following the Separation, some of our directors and executive officers may continue to own shares of Comcast Class A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Comcast or us. For example, potential conflicts of interest could arise in connection with the resolution of any dispute that may arise between Comcast and us regarding the terms of the agreements governing the Separation and the relationship thereafter between the companies.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Comcast and Versant shares may not equal or exceed the pre-Distribution value of Comcast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the Separation, we expect that Comcast Class A common stock will continue to be traded on Nasdaq. We have been approved to list the shares of Versant Class A common stock on Nasdaq, subject to official notice of issuance. We cannot assure you that the combined trading prices of Comcast Class A common stock and Versant Class A common stock after the Separation, as adjusted for any changes in the combined capitalization of both companies, will be equal to or greater than the trading price of Comcast Class A common stock prior to the Separation. Until the market has fully evaluated the business of Comcast without the Spin Business and potentially thereafter, the price at which Comcast Class A common stock trades may fluctuate significantly. Similarly, until the market has fully evaluated our business and potentially thereafter, the price at which our common stock trades may fluctuate significantly.</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potentially could have received better terms from unaffiliated third parties than the terms we will receive in our agreements with Comcast.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agreements we will enter into with Comcast in connection with the Separation will be negotiated while we are still part of Comcast’s business. See “The Separation—Agreements with Comcast.” Accordingly, during the period in which the terms of those agreements will have been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shareholders do not have dissenters’ rights with respect to the Separation.</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Comcast shareholders do not have any dissenters’ rights in connection with the Separation. Therefore, any Comcast shareholders who disagree with the Separation will be left without recourse other than selling their Versant shares. Such shareholders may be unable to subsequently sell their shares at the prices they desire or at all.</w:t>
      </w:r>
    </w:p>
    <w:p>
      <w:pPr>
        <w:spacing w:after="0" w:line="280" w:lineRule="exact"/>
        <w:rPr>
          <w:sz w:val="20"/>
          <w:szCs w:val="20"/>
          <w:color w:val="auto"/>
        </w:rPr>
      </w:pPr>
    </w:p>
    <w:p>
      <w:pPr>
        <w:ind w:left="34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intended that the Distribution, together with certain related transactions, will qualify as a “reorganization” within the meaning of</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and the Comcast Cash Distribution will qualify as money distributed to Comcast creditors or shareholders in connection with the reorganization for purposes of Section 361(b) of the Code. The Distribution is conditioned upon the receipt of the opinion of Davis Polk &amp; Wardwell LLP to the effect that such transactions will qualify for this intended tax treatment. In addition, it is intended that the Transactions generally will qualify as transactions that are tax-free for U.S. federal income tax and applicable non-U.S. tax purposes. The opinion will rely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Comcast or us after the Distribution. For more information regarding the opinions see “The Separation—Material U.S. Federal Income Tax Consequences of the Distribution—Tax Opinion.”</w:t>
      </w:r>
    </w:p>
    <w:p>
      <w:pPr>
        <w:spacing w:after="0" w:line="19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Transactions and Distribution fail to qualify for the intended tax treatment, for any reason, Comcast and/or holders of Comcast common stock could be subject to substantial U.S. and/or applicable non-U.S. taxes as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5"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a result of the Separation, and we could incur significant liabilities under applicable law or as a result of the Tax Matters Agreement. See “The Separation—Material U.S. Federal Income Tax Consequences of the Distribution.”</w:t>
      </w:r>
    </w:p>
    <w:p>
      <w:pPr>
        <w:spacing w:after="0" w:line="266" w:lineRule="exact"/>
        <w:rPr>
          <w:sz w:val="20"/>
          <w:szCs w:val="20"/>
          <w:color w:val="auto"/>
        </w:rPr>
      </w:pPr>
    </w:p>
    <w:p>
      <w:pPr>
        <w:ind w:left="3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is taxable to Comcast as a result of a breach by us of any covenant or representation made by us in the Tax Matters Agreement (as defined below), we generally will be required to indemnify Comcast; the obligation to make payments on this indemnification obligation could have a material adverse effect on us.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described above, it is intended that the Distribution, together with certain related transactions, will qualify as tax-free transactions to Comcast and to holders of Comcast common stock, except with respect to any cash received in lieu of fractional shares of common stock, and that the Transactions generally will qualify as tax-free transactions. If the Distribution and/or any of the Transactions are not so treated or are taxable to Comcast (see “The Separation—Material U.S. Federal Income Tax Consequences of the Distribution”) due to a breach by us (or any of our subsidiaries) of any covenant or representation made by us in the Tax Matters Agreement, we generally will be required to indemnify Comcast for all tax-related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significant restrictions on our actions following the Separation in order to avoid triggering significant tax-related liabilities.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Tax Matters Agreement generally will prohibit us from taking certain actions that could cause the Distribution and certain related transactions to fail to qualify as tax-free transactions, including:</w:t>
      </w:r>
    </w:p>
    <w:p>
      <w:pPr>
        <w:spacing w:after="0" w:line="67" w:lineRule="exact"/>
        <w:rPr>
          <w:sz w:val="20"/>
          <w:szCs w:val="20"/>
          <w:color w:val="auto"/>
        </w:rPr>
      </w:pPr>
    </w:p>
    <w:p>
      <w:pPr>
        <w:ind w:left="1080" w:right="12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discontinue the active conduct of our business (within the meaning of Section 355(b)(2) of the Code);</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sell or otherwise issue our common stock, other than pursuant to issuances that satisfy certain regulatory safe harbors set forth in Treasury regulations related to stock issued to employees and retirement plans;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redeem or otherwise acquire any of our common stock, other than pursuant to open-market repurchases of less than 20% of our common stock (in the aggregate);</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amend our certificate of incorporation (or other organizational documents) or take any other action, whether through a shareholder vote or otherwise, affecting the voting rights of our common stock;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generally, we may not take any action that could reasonably be expected to cause certain steps of the Separation to fail to qualify as tax-free transactions for U.S. federal income tax purposes or for non-U.S. tax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Distribution and certain related transactions. Even if we obtain such a ruling or opinion, and if we take any of the actions above and such actions result in tax-related losses to Comcast, we generally will be required to indemnify Comcast for such tax-related losses under the Tax Matters Agreement. See “The Separation—Agreements with Comcast—Tax Matters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225" w:lineRule="exact"/>
        <w:rPr>
          <w:sz w:val="20"/>
          <w:szCs w:val="20"/>
          <w:color w:val="auto"/>
        </w:rPr>
      </w:pPr>
    </w:p>
    <w:p>
      <w:pPr>
        <w:ind w:left="34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2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Separation, there will have been no trading market for shares of our Class A common stock. An active trading market may not develop or be sustained for our Class A common stock after the Separation, and we cannot predict the prices at which our Class A common stock will trade after the Separation. The market price of our Class A common stock could fluctuate significantly due to a number of factors, many of which are beyond our control, including:</w:t>
      </w:r>
    </w:p>
    <w:p>
      <w:pPr>
        <w:spacing w:after="0" w:line="85"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shareholders, or changes by securities analysts in their estimates of our future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significant sales of our Class A common stock by our shareholders or the perception in the market of such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Class A common stock by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information statement.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our shares are or will be eligible for future sale, which may cause the market price of our Class A common stock to decline.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Separation, we estimate that we will have outstanding an aggregate of approximately       shares of our Class A common stock (based on       shares of Comcast Class A common stock outstanding on       , 2025).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All of those shares (other than those held by our “affiliates”) will be freely tradable without restriction or registration under the Securities Act of 1933, as amended (the “Securities Act”). Shares of Class A common stock held by our affiliates, which include our directors and executive officers, can be sold subject to volume, manner of sale and notice provisions of Rule 144 under the Securities Act. We estimate that our directors and executive officers, who may be considered “affiliates” for purposes of Rule 144, will beneficially own approximately        shares of our Class A common stock immediately following the Separation. We are unable to predict whether large amounts of our Class A common stock will be sold in the open market following the Separation. We are also unable to predict whether a sufficient number of buyers will be in the market at that time. As discussed in the immediately following risk factor, certain index funds will likely be required to sell shares of our Class A common stock that they receive in the Separation. In addition, other Comcast shareholders may sell the shares of our Class A common stock they receive in the Separation for various reasons. For example, such shareholders may not believe our business profile or level of market capitalization as an independent company fits their investment objectives.</w:t>
      </w:r>
    </w:p>
    <w:p>
      <w:pPr>
        <w:spacing w:after="0" w:line="298" w:lineRule="exact"/>
        <w:rPr>
          <w:sz w:val="20"/>
          <w:szCs w:val="20"/>
          <w:color w:val="auto"/>
        </w:rPr>
      </w:pPr>
    </w:p>
    <w:p>
      <w:pPr>
        <w:ind w:left="34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2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portion of Comcast’s outstanding Class A common stock is held by index funds tied to the Standard &amp; Poor’s 500 Index and other stock indices. Based on a review of publicly available information as of         , 2025, we believe approximately         % of outstanding Comcast Class A common stock is held by index funds. Because our Class A common stock may not be included in the Standard &amp; Poor’s 500 Index, and it may not be included in other stock indices at the time of the Separation, index funds currently holding shares of Comcast Class A common stock will likely be required to sell the shares of our Class A common stock they receive in the Separation. There may not be sufficient buying interest to offset sales by those index funds. Accordingly, our Class A common stock could experience a high level of volatility immediately following the Separation and, as a result, the price of our Class A common stock could be adversely affected.</w:t>
      </w:r>
    </w:p>
    <w:p>
      <w:pPr>
        <w:spacing w:after="0" w:line="293"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and bylaws and certain provisions of Pennsylvania law could delay or prevent a change in control of Versant.</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existence of certain provisions of our articles of incorporation and bylaws and Pennsylvania law could discourage, delay or prevent a change in control of Versant that a shareholder may consider favorable. These include provisions:</w:t>
      </w:r>
    </w:p>
    <w:p>
      <w:pPr>
        <w:spacing w:after="0" w:line="67"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of Directors to issue one or more classes or series of preferred stock without shareholder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dual class common stock structure in which holders of shares of our Class B common stock will have substantial voting rights and separate approval rights over several potentially significant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shareholders from taking action by written consent;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of Directors or for proposing matters that can be acted on by shareholders at the annual shareholder meetings.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believe these provisions will protect our shareholders from coercive or otherwise unfair takeover tactics by requiring potential acquirors to negotiate with our Board of Directors and by providing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 See “Description of Capital Stock.”</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Versant may be diluted in the future.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is expected to grant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 See “Description of Capital Stock—Preferred Stock.”</w:t>
      </w:r>
    </w:p>
    <w:p>
      <w:pPr>
        <w:spacing w:after="0" w:line="293" w:lineRule="exact"/>
        <w:rPr>
          <w:sz w:val="20"/>
          <w:szCs w:val="20"/>
          <w:color w:val="auto"/>
        </w:rPr>
      </w:pPr>
    </w:p>
    <w:p>
      <w:pPr>
        <w:ind w:left="3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existing and future indebtedness and any preferred stock, and effectively subordinated to all indebtedness and preferred equity claims against our subsidiaries.</w:t>
      </w:r>
    </w:p>
    <w:p>
      <w:pPr>
        <w:spacing w:after="0" w:line="51" w:lineRule="exact"/>
        <w:rPr>
          <w:sz w:val="20"/>
          <w:szCs w:val="20"/>
          <w:color w:val="auto"/>
        </w:rPr>
      </w:pPr>
    </w:p>
    <w:p>
      <w:pPr>
        <w:jc w:val="both"/>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of our existing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w:t>
      </w:r>
    </w:p>
    <w:p>
      <w:pPr>
        <w:spacing w:after="0" w:line="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Furthermore, our right to participate in a distribution of assets upon any of our subsidiaries’ liquidation or reorganization is subject to the prior claims of that subsidiary’s creditors and preferred shareholders.</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our Board will declare dividends in the foreseeable future.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w:t>
      </w:r>
    </w:p>
    <w:p>
      <w:pPr>
        <w:spacing w:after="0" w:line="287" w:lineRule="exact"/>
        <w:rPr>
          <w:sz w:val="20"/>
          <w:szCs w:val="20"/>
          <w:color w:val="auto"/>
        </w:rPr>
      </w:pPr>
    </w:p>
    <w:p>
      <w:pPr>
        <w:jc w:val="both"/>
        <w:ind w:left="34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67"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Class B common stock will have a non-dilutable 33 1/3% of the combined voting power of our Class A and Class B common stock. This non-dilutable voting power will be subject to proportional decrease to the extent the number of shares of Class B common stock is reduced below 9,444,375 (which was the number of shares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Comcast Class B common stock outstanding on the date of Comcast’s 2002 acquisition of AT&amp;T Corp.’s cable business) multiplied by the Distribution Ratio, subject to adjustment in specified situations. Stock dividends payable on the Class B common stock in the form of Class B or Class A common stock do not decrease the non-dilutable voting power of the Class B common stock. The Class B common stock also will have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Following the Separation, Brian L. Roberts, the Chairman and CEO of Comcast, will beneficially own all of the outstanding shares of our Class B common stock and, accordingly, have considerable influence over Versant and the potential ability to transfer effective control by selling the Class B common stock, which could be at a premium. Mr. Roberts also owns all of the outstanding shares of Comcast Class B common stock and has considerable influence over Comcast. As a result, his interests could in certain cases conflict with ours and those of our other shareholders.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Each of Comcast’s shareholders as of the record date will be entitled to receive       </w:t>
      </w:r>
    </w:p>
    <w:p>
      <w:pPr>
        <w:spacing w:after="0" w:line="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6"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In addition to the Separation and Distribution Agreement, the other principal agreements to be entered into with Comcast include:</w:t>
      </w:r>
    </w:p>
    <w:p>
      <w:pPr>
        <w:spacing w:after="0" w:line="70" w:lineRule="exact"/>
        <w:rPr>
          <w:sz w:val="20"/>
          <w:szCs w:val="20"/>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commercial arrangements.</w:t>
      </w:r>
    </w:p>
    <w:p>
      <w:pPr>
        <w:spacing w:after="0" w:line="22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Separation as described in this information statement is subject to the satisfaction or waiver of certain conditions. For a more detailed description of these conditions, see “—Conditions to the Distribution” below. We cannot provide any assurances that Comcast will complete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Separation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63" w:lineRule="exact"/>
        <w:rPr>
          <w:sz w:val="20"/>
          <w:szCs w:val="20"/>
          <w:color w:val="auto"/>
        </w:rPr>
      </w:pPr>
    </w:p>
    <w:p>
      <w:pPr>
        <w:ind w:left="1080" w:hanging="424"/>
        <w:spacing w:after="0" w:line="257"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 Versant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7"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 shareholder returns. The Spin Business generated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4" w:lineRule="auto"/>
        <w:rPr>
          <w:sz w:val="20"/>
          <w:szCs w:val="20"/>
          <w:color w:val="auto"/>
        </w:rPr>
      </w:pPr>
      <w:r>
        <w:rPr>
          <w:rFonts w:ascii="Times New Roman" w:cs="Times New Roman" w:eastAsia="Times New Roman" w:hAnsi="Times New Roman"/>
          <w:sz w:val="18"/>
          <w:szCs w:val="18"/>
          <w:color w:val="auto"/>
        </w:rPr>
        <w:t>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90" w:lineRule="exact"/>
        <w:rPr>
          <w:sz w:val="20"/>
          <w:szCs w:val="20"/>
          <w:color w:val="auto"/>
        </w:rPr>
      </w:pPr>
    </w:p>
    <w:p>
      <w:pPr>
        <w:ind w:left="1080" w:right="80" w:hanging="424"/>
        <w:spacing w:after="0" w:line="259"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sector expertise and a dedicated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will also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86"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7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financial terms of the Separation, including the new indebtedness incurred and expected to be incurred by Versant or entities that are, or will become, prior to the completion of the Separation, subsidiaries of Versant, has been, or will be, determined by the Comcast Board based on a variety of factors, including establishing an appropriate pro forma capitalization for Versant as a standalone company considering the historical earnings of the Spin Business and the level of indebtedness relative to earnings of various comparable companies. A portion of the proceeds from the Versant indebtedness is expected to be used to make the Special Cash Payment of approximately $2.25 billion to Comcast as consideration for the contribution of Versant assets and such payment is expected be used by Comcast to repay existing Comcast indebtedness.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distribution agent will not distribute any fractional shares of our common stock to Comcast shareholders. Instead, as soon as practicable on or after the Distribution Date, the distribution agent will</w:t>
      </w:r>
    </w:p>
    <w:p>
      <w:pPr>
        <w:ind w:left="120"/>
        <w:spacing w:after="0"/>
        <w:rPr>
          <w:sz w:val="20"/>
          <w:szCs w:val="20"/>
          <w:color w:val="auto"/>
        </w:rPr>
      </w:pPr>
      <w:r>
        <w:rPr>
          <w:rFonts w:ascii="Times New Roman" w:cs="Times New Roman" w:eastAsia="Times New Roman" w:hAnsi="Times New Roman"/>
          <w:sz w:val="18"/>
          <w:szCs w:val="18"/>
          <w:color w:val="auto"/>
        </w:rPr>
        <w:t>aggregate fractional shares of Versant Class A common stock into whole shares, sell the whole shares (or cause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broker-dealers and at what price to sell the whole shares.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registered holder of Comcast common stock entitled to a fractional share will receive a check in the cash amount deliverable in lieu of that holder’s fractional share as soon as practicable following the Distribution Date. We expect the distribution agent to take approximately two weeks after the Distribution Date to complete the distribution of cash in lieu of fractional shares to holders of Comcast Class A common stock. If a holder holds shares through a bank, broker, or other nominee, the bank, broker, or nominee will receive, on the holder’s behalf, a pro rata share of the aggregate net cash proceeds of the sales. Recipients of cash in lieu of fractional shares of Versant common stock will not be entitled to any minimum sale price for the fractional shares or to any interest on the amounts of payments made in lieu of fractional shares. The receipt of cash in lieu of fractional shares generally will be taxable to the recipient shareholders for U.S. federal income tax purposes as described below in “The Separation—Material U.S. Federal Income Tax Consequences of the Distribution—The Distribution.”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and How You Will Receive the Distribution of Versant Shares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will distribute the shares of our common stock on        , 2026 to holders of record as of the close of business on the record date for the Distribution. The Distribution is expected to be completed following the market closing on the Distribution Date. Comcast’s transfer agent and registrar, Equiniti Trust Company, LLC, will serve as transfer agent and registrar for the Versant Class A common stock and as distribution agent in connection with the Distribution with respect to the Versant Class A common stock.</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own Comcast Class A common stock or Comcast Class B common stock as of the close of business on the record date for the Distribution, the shares of Versant Class A common stock or Versant Class B common stock that you are entitled to receive in the Distribution, respectively, will be issued, as of the Distribution Date, as follows:</w:t>
      </w:r>
    </w:p>
    <w:p>
      <w:pPr>
        <w:spacing w:after="0" w:line="77" w:lineRule="exact"/>
        <w:rPr>
          <w:sz w:val="20"/>
          <w:szCs w:val="20"/>
          <w:color w:val="auto"/>
        </w:rPr>
      </w:pPr>
    </w:p>
    <w:p>
      <w:pPr>
        <w:ind w:left="1080" w:right="200" w:hanging="424"/>
        <w:spacing w:after="0" w:line="26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Registered Shareholders</w:t>
      </w:r>
      <w:r>
        <w:rPr>
          <w:rFonts w:ascii="Times New Roman" w:cs="Times New Roman" w:eastAsia="Times New Roman" w:hAnsi="Times New Roman"/>
          <w:sz w:val="18"/>
          <w:szCs w:val="18"/>
          <w:color w:val="auto"/>
        </w:rPr>
        <w:t>. If you own your shares of Comcast Class A common stock directly in book-entry form through an account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Equiniti, you will receive your shares of Versant Class A common stock by way of direct registration in book-entry form. Registration in book-entry form is a method of recording stock ownership when no physical paper share certificates are issued to shareholders, as is the case with respect to the Versant Class A common stock that will be distributed as part of the Distribution.</w:t>
      </w:r>
    </w:p>
    <w:p>
      <w:pPr>
        <w:spacing w:after="0" w:line="72" w:lineRule="exact"/>
        <w:rPr>
          <w:rFonts w:ascii="Times New Roman" w:cs="Times New Roman" w:eastAsia="Times New Roman" w:hAnsi="Times New Roman"/>
          <w:sz w:val="18"/>
          <w:szCs w:val="18"/>
          <w:color w:val="auto"/>
        </w:rPr>
      </w:pPr>
    </w:p>
    <w:p>
      <w:pPr>
        <w:ind w:left="1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shortly after the Distribution Date, the distribution agent will mail to you an account statement that indicates the number of shares of Versant Class A common stock that have been registered in book-entry form in your name.</w:t>
      </w:r>
    </w:p>
    <w:p>
      <w:pPr>
        <w:spacing w:after="0" w:line="53"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having any questions concerning the mechanics of having shares of our common stock registered in book-entry form may contact Equiniti at the address set forth in “Summary—Questions and Answers About the Separation” in this information statement.</w:t>
      </w:r>
    </w:p>
    <w:p>
      <w:pPr>
        <w:spacing w:after="0" w:line="67" w:lineRule="exact"/>
        <w:rPr>
          <w:rFonts w:ascii="Times New Roman" w:cs="Times New Roman" w:eastAsia="Times New Roman" w:hAnsi="Times New Roman"/>
          <w:sz w:val="18"/>
          <w:szCs w:val="18"/>
          <w:color w:val="auto"/>
        </w:rPr>
      </w:pPr>
    </w:p>
    <w:p>
      <w:pPr>
        <w:ind w:left="110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B common stock will be issued share certificates representing shares of Versant Class B common stock that such holders are entitled to receive.</w:t>
      </w:r>
    </w:p>
    <w:p>
      <w:pPr>
        <w:spacing w:after="0" w:line="63"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Shareholders</w:t>
      </w:r>
      <w:r>
        <w:rPr>
          <w:rFonts w:ascii="Times New Roman" w:cs="Times New Roman" w:eastAsia="Times New Roman" w:hAnsi="Times New Roman"/>
          <w:sz w:val="18"/>
          <w:szCs w:val="18"/>
          <w:color w:val="auto"/>
        </w:rPr>
        <w:t>. Many Comcast shareholders hold their shares of Comcast Class A common stock beneficially through a bank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brokerage firm. In such cases, the bank or brokerage firm would be said to hold the stock in “street name” and ownership would be recorded on the bank or brokerage firm’s books. If you hold your Comcast Class A common stock through a bank or brokerage firm, your bank or brokerage firm will credit your account for the shares of Versant Class A common stock that you are entitled to receive in the Distribution. If you have any questions concerning the mechanics of having shares of Versant Class A common stock held in “street name,” we encourage you to contact your bank or brokerage firm.</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Equity Compensation Awards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will generally be equitably adjusted in accordance with the terms of the Comcast equity incentive plans. 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the Separation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After the Separation, we will be an independent, publicly traded company that directly or indirectly holds the assets and liabilities comprising the Spin Business. Upon completion of the Separation, we estimate that we will have outstanding an aggregate of approximately        shares of our</w:t>
      </w: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Class A common stock and       shares of our Class B common stock (based on        shares of Comcast Class A common stock and         shares of Comcast Class B common stock outstanding on        , 2025). Additionally, we expect to have approximately        Class A shareholders of record and        Class B shareholders of record, based on the number of registered shareholders of Comcast Class A common stock</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and Comcast Class B common stock outstanding, respectively, on        , 2025. The actual number of shares to be distributed will be determined on the record date.</w:t>
      </w:r>
    </w:p>
    <w:p>
      <w:pPr>
        <w:spacing w:after="0" w:line="1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Before the completion of the Separation, we will enter into a Separation and Distribution Agreement and several other agreements with Comcast to effect the Separation and provide a framework for our relationship with Comcast after the Separation. These agreements will provide for the allocation of assets, liabilities and obligations subsequent to the Separation between Versant and Comcast (including with respect to transition services, employee matters, tax matters, intellectual property matters and certain commercial arrangements). For a more detailed description of these agreements, see “ —Agreements with Comcast” below. The Separation will not affect the number of outstanding shares of Comcast common stock or any rights of Comcast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Incurrence of Debt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October 3, 2025, we entered into the TLA/Revolver Credit Agreement with respect to (i) the $1.0 billion Term A Loan Facility and (ii) the $750 million Revolving Credit Facility and on October 29, 2025, we entered into the Indenture with respect to $1.0 billion aggregate principal amount of the Notes. We also intend to enter into the TLB Credit Agreement with respect to the $1.0 billion Term B Loan Facility. Commitments under the Term B Loan Facility were fully allocated in October 2025, subject to entry into of the TLB Credit Agreement which is expected to occur substantially concurrently with the consummation of the Separation. We intend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See “Description of Material Indebtedness.”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 In anticipation of the Separation, we entered into the TLA/Revolver Credit Agreement and the Indenture and we intend to enter into the TLB Credit Agreement, each of which could restrict our business and adversely impact our results of operations, financial condition or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Distribution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the Distribution to U.S. Holders (as defined below) of Comcast common stock. This discussion is based on the Code,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Treasury regulations, administrative interpretations and court decisions as in effect as of the date of this information statement, all of which may change, possibly with retroactive effect. For purposes of this discussion, a “U.S. Holder” is a beneficial owner of Comcast common stock that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addresses only the consequences of the Distribution to U.S. Holders that hold Comcast common stock as a capital asset. It does not address all aspects of U.S. federal income taxation that may be important to a U.S. Holder in light of that shareholder’s particular circumstances or to a U.S. Holder subject to special rules, such as:</w:t>
      </w:r>
    </w:p>
    <w:p>
      <w:pPr>
        <w:spacing w:after="0" w:line="81" w:lineRule="exact"/>
        <w:rPr>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 regulated investment company or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commodities or foreign currencies;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as part of a hedge, appreciated financial position, straddle, conversion, or other risk reduction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in a tax-deferred account, such as an individual retirement account;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acquired Comcast common stock pursuant to the exercise of options or similar derivative securities or otherwise as compensation.</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any entity treated as a partnership for U.S. federal income tax purposes, holds Comcast common stock, the tax treatment of a partner in such partnership generally will depend on the status of the partners and the activities of the partnership. A partner in a partnership holding Comcast common stock should consult its tax adviser.</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 U.S. Holder who acquired different blocks of Comcast common stock at different times and at different prices generally must apply the rules described in the following sections separately to each identifiable block of shares of Comcast common stock. A U.S. Holder who holds Comcast common stock with differing bases or holding periods should consult its tax adviser.</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discussion of material U.S. federal income tax consequences is not a complete analysis or description of all potential U.S. federal income tax consequences of the Distribution. This discussion does not address tax consequences that may vary with, or are contingent on, individual circumstances. In addition, it does not address any U.S. federal, estate, gift or other non-income tax or any non-U.S., state or local tax consequences of the Distribution. Accordingly, each holder of Comcast common stock should consult his, her or its tax adviser to determine the particular U.S. federal, state or local or non-U.S. income or other tax consequences of the Distribution to such holder.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Opinion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Distribution is conditioned upon the receipt of the opinion of Davis Polk &amp; Wardwell LLP substantially to the effect that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which we refer to as the “Tax Opinion.” In rendering the Tax Opinion to be given as of the closing of the Separation, which we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refer to as the “Closing Tax Opinion,” Davis Polk &amp; Wardwell LLP will rely on (i) customary representations and covenants made by us and Comcast, including those contained in certificates of officers of us and Comcast, and (ii) specified assumptions, including an assumption regarding the completion of the Separation and certain related transactions in the manner contemplated by the transaction agreements. In addition, Davis Polk &amp; Wardwell LLP’s ability to provide the Closing Tax Opinion will depend on the absence of changes in existing facts or law between the date of this information statement and the closing date of the Distribution. If any of the representations, covenants or assumptions on which Davis Polk &amp; Wardwell LLP will rely is inaccurate, Davis Polk &amp; Wardwell LLP may not be able to provide the Closing Tax Opinion or the tax consequences of the Distribution could differ from those described below. The opinions of Davis Polk &amp; Wardwell LLP do not preclude the Internal Revenue Service (the “IRS”) or the courts from adopting a contrary position.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Assuming that the Distribution, together with certain related transactions, will qualify as a “reorganization” within the meaning of Section 368(a)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(1)(D) of the Code and a distribution to which Section 355 of the Code applies, and that the Transactions will qualify as transactions that are tax-free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in general, for U.S. federal income tax purposes:</w:t>
      </w:r>
    </w:p>
    <w:p>
      <w:pPr>
        <w:spacing w:after="0" w:line="112"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the Distribution will not result in the recognition of income, gain or loss to Comcast or us;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U.S. Holders of Comcast common stock upon the receipt of our common stock in the Distribution;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shares of our common stock distributed in the Distribution to a U.S. Holder of Comcast common stock will be determined by allocating the aggregate tax basis such U.S. Holder has in the shares of Comcast common stock immediately before such Distribution between such Comcast common stock and our common stock in proportion to the relative fair market value of each immediately following the Distribution;</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any shares of our common stock received by a U.S. Holder of Comcast common stock in the Distribution will include the holding period of the shares of Comcast common stock held by a U.S. Holder prior to the Distribution;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Comcast common stock that receives cash in lieu of a fractional share of our common stock will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in the Comcast common stock is more than one year as of the closing date of the Distribution.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if the Distribution, together with certain related transactions, does not qualify as a “reorganization”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the Distribution will be treated as a taxable dividend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holders of Comcast common stock in an amount equal to the fair market value of our common stock received, to the extent of such holder’s ratable share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Comcast’s earnings and profits. In addition, if the Separation does not qualify as a distribution to which Section 355 of the Code applies, Comcast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recognize significant taxable gain, which could result in significant tax to Comcast.</w:t>
      </w:r>
    </w:p>
    <w:p>
      <w:pPr>
        <w:spacing w:after="0" w:line="2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Even if the Distribution were otherwise to qualify as a distribution to which Section 355 of the Code applies, the Distribution will be taxable to Comcast under Section 355(e) of the Code if 50% or more of either the total voting power or the total fair market value of the stock of Comcast or our common stock is acquired as part of a plan or series of related transactions that includes the Distribution. If Section 355(e) applies as a result of such an acquisition, Comcast would recognize taxable gain as described above, but the Distribution would generally be tax-free to U.S. Holders of Comcast common stock. Under some circumstances, the Tax Matters Agreement would require us to indemnify Comcast for the tax liability associated with the taxable gain. See “—Agreements with Comcast—Tax Matters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Tax Matters Agreement, we will generally be required to indemnify Comcast for the resulting taxes in the event that certain steps of the Separation fail to qualify for their intended tax treatment due to any action by us or any of our subsidiaries (see “—Agreements with Comcast—Tax Matters Agreement”). If the Separation were to be taxable to Comcast, the liability for payment of such tax by Comcast or by us under the Tax Matters Agreement could have a material adverse effect on Comcast or us, as the case may be.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U.S. Treasury regulations generally require holders who own at least 5% of the total outstanding stock of Comcast (by vote or value) and who receive our common stock pursuant to the Distribution to attach to their U.S. federal income tax return for the year in which the Distribution occurs a detailed statement setting forth certain information relating to the tax-free nature of the Distribution. Comcast and/or we will provide the appropriate information to each holder upon request, and each such holder is required to retain permanent records of this information. In addition, payments of cash to a U.S. Holder of Comcast common stock in lieu of fractional shares of our common stock in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Comcast shareholder will have any dissenters’ rights in connection with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and Trading of Our Class A Common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there is no public market for our Class A common stock. Versant has been approved to have its shares of Class A common stock listed on Nasdaq under the ticker symbol “VSNT”, subject to official notice of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Between Record Date and Distribution Date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 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w:t>
      </w:r>
    </w:p>
    <w:p>
      <w:pPr>
        <w:spacing w:after="0" w:line="18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Furthermore, beginning on        , 2025 and continuing up to and including the Distribution Date, we expect there will be a “when-issued” market in our Class A common stock. “When-issued” trading refers to a sale or purchase made conditionally because the security has been authorized but not yet issued. The “when-issued” trading market will be a market for shares of Versant Class A common stock that will be distributed to Comcast shareholders on the Distribution Date. If you own shares of Comcast Class A common stock as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close of business on the record date, you would be entitled to receive shares of our Class A common stock in the Distribution. You may trade this entitlement to receive shares of Versant Class A common stock, without trading the shares of Comcast Class A common stock you own, in the “when-issued” market. On the first trading day following the Distribution Date, we expect “when-issued” trading with respect to Versant Class A common stock will end and “regular-way” trading in Versant Class A common stock will begin.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the Distribution will be effective on            , 2026, the Distribution Date, provided that, among other conditions described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Separation and Distribution Agreement, the following conditions will have been satisfied or waived by Comcast in its sole discretion:</w:t>
      </w:r>
    </w:p>
    <w:p>
      <w:pPr>
        <w:spacing w:after="0" w:line="112" w:lineRule="exact"/>
        <w:rPr>
          <w:sz w:val="20"/>
          <w:szCs w:val="20"/>
          <w:color w:val="auto"/>
        </w:rPr>
      </w:pPr>
    </w:p>
    <w:p>
      <w:pPr>
        <w:ind w:left="1080" w:right="10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Separation-related restructuring and financing transactions contemplated by the Separation and Distribution Agreement will each have been completed;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will have approved the Distribution and will not have abandoned the Distribution or terminated the Separation and Distribution Agreement at any time prior to the Distribution;</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1"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 on Form 10, of which this information statement is a part, will have become effective, no stop order suspending the effectiveness of our registration statement on Form 10 will be in effect and no proceedings for such purpose will be pending before or threatened by the SEC, and this information statement, or a notice of Internet availability thereof, will have been mailed to the holders of Comcast common stock as of the record date for the Distribution;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federal, state or other securities laws or “blue sky” laws and the rules and regulations thereunder will have been taken or made and, where applicable, become effective or accepted;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to be delivered in the Distribution will have been approved for listing on Nasdaq subject to official notice of issuance;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as named in this information statement, will have been duly elected, and the amended and restated articles of incorporation and the amended and restated bylaws of Versant, in substantially the form attached as exhibits to the registration statement of which this information statement is a part, will be in effect;</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contemplated by the Separation and Distribution Agreement will have been executed and delivered by the parties thereto;</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will have received the opinion of Davis Polk &amp; Wardwell LLP (which will not have been revoked or modified in any material respect), reasonably satisfactory to Comcast, dated as of the Distribution Date and to the effect that, for U.S. federal income tax purposes,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(the “Tax Opinion Condition”);</w:t>
      </w:r>
    </w:p>
    <w:p>
      <w:pPr>
        <w:spacing w:after="0" w:line="92"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approvals and consents and any material permits, registrations and consents from third parties, in each case, necessary to effect the Transactions or the Distribution, will have been obtained;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will have occurred or exist that, in the judgment of the Comcast Board, in its sole and absolute discretion, makes it inadvisable to effect the Distribution or any of the other transactions contemplated by the Separation and Distribution Agreement or an ancillary agreement contemplated by the Separation and Distribution Agreement.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fulfillment of the foregoing conditions will not create any obligations on Comcast’s part to effect the Distribution, and Comcast has the right to abandon, modify or change the terms of the Distribution, including by accelerating or delaying the timing of the consummation of all or part of the Distribution, at any time prior to the Distribution.</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In addition, if the Distribution is completed and the Comcast Board waived any such condition, such waiver could have a material adverse effect on Comcast’s and Versant’s respective business, financial condition or results of operations, the trading price of Versant Class A common stock, or the ability of shareholders to sell their shares after the Distribution, including, without limitation, as a result of illiquid trading due to the failure of Versant Class A common stock to be accepted for listing or litigation relating to any preliminary or permanent injunctions sought to prevent the consummation of the Distribution. See “—Material U.S. Federal Income Tax Consequences of the Distribution—The Distribution” above for a discussion of the U.S. federal income tax consequences for Comcast and its shareholders that may arise if Comcast waives the Tax Opinion Condition and the Distribution is treated as a taxable transaction for U.S. federal income tax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Comcast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subsequent to the Separation.</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Separation and Distribution Agreement (which will contain many of the key provisions related to the Separation and the distribution of our shares of common stock to Comcast shareholders), these agreements include, among others:</w:t>
      </w:r>
    </w:p>
    <w:p>
      <w:pPr>
        <w:spacing w:after="0" w:line="67"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commercial arrangements.</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forms of the principal agreements described below have been filed as exhibits to the registration statement of which this information statement forms a part. The following descriptions of these agreements are summaries of the material terms of these agreements.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Separation and Distribution Agreement</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Separation and Distribution Agreement will govern the overall terms of the Separation. Generally, the Separation and Distribution Agreement will include Comcast’s and our agreements relating to the restructuring steps to be taken to complete the Separation, including the assets and rights to be transferred to Versant and its subsidiaries, the liabilities and obligations to be assumed by Versant and its subsidiaries and related matters.</w:t>
      </w:r>
    </w:p>
    <w:p>
      <w:pPr>
        <w:spacing w:after="0" w:line="15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Subject to the receipt of required governmental and other consents and approvals and the satisfaction of other closing conditions, in order to accomplish the Separation, the Separation and Distribution Agreement will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provide for Comcast and us to transfer specified assets between the companies that will operate the Spin Business after the Distribution, on the one hand, and Comcast’s remaining businesses, on the other hand. The Separation and Distribution Agreement will require Comcast and us to use commercially reasonable efforts to obtain consents required to assign the assets and liabilities that are to be transferred pursuant to the Separation and Distribution Agreement, provided that, as long as a party is using such commercially reasonable efforts to obtain such consents, such party will not have any liability to the other party for any failure to obtain any such consents; provided, further that such efforts will not require Comcast or Versant to expend any money, commence any litigation or offer or grant any accommodation to any other person.</w:t>
      </w:r>
    </w:p>
    <w:p>
      <w:pPr>
        <w:spacing w:after="0" w:line="187"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Unless otherwise provided in the Separation and Distribution Agreement or any of the related ancillary agreements, all assets will be transferred on an “as is, where is” basis. Generally, if the transfer of any assets or 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will not be obtained before the Distribution, the Separation and Distribution Agreement will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w:t>
      </w:r>
    </w:p>
    <w:p>
      <w:pPr>
        <w:spacing w:after="0" w:line="177"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also grant and receive licenses under certain patents and trade secrets in connection with the Separation and Distribution Agreement, which will generally provide us and Comcast the freedom to continue operating our respective businesses following the Distribution, including as follows:</w:t>
      </w:r>
    </w:p>
    <w:p>
      <w:pPr>
        <w:spacing w:after="0" w:line="81" w:lineRule="exact"/>
        <w:rPr>
          <w:sz w:val="20"/>
          <w:szCs w:val="20"/>
          <w:color w:val="auto"/>
        </w:rPr>
      </w:pPr>
    </w:p>
    <w:p>
      <w:pPr>
        <w:ind w:left="1080" w:right="22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grant Comcast a non-exclusive, worldwide, perpetual, irrevocable, fully paid-up and royalty-free license to the patents and trade secrets transferred to us in connection with the Separation in order for Comcast to continue operating its business.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receive from Comcast a non-exclusive, worldwide, perpetual, irrevocable, fully paid-up and royalty-free license to certain patents and trade secrets retained by Comcast, including those that were used in the Spin Business as of the Distribution, in order for us to continue operating the Spin Business.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Separation and Distribution Agreement also provides that Versant will be required to cease any consumer-facing use of the brands and trademarks that are being retained by Comcast, but will have up to 12 months following the Separation to cease the internal use of those brands and trademarks. These limitations do not apply to any brands or trademarks licensed to us from Comcast for a longer duration under a separate agreement, such as our license to the CNBC brand as described in “Risk Factors—Spin-Related Risk Factors—We have historically operated within Comcast, and there are risks associated with the Separation.”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for so long as any person has an “attributable” interest in Comcast and Versant under the Communications Act, the Separation and Distribution Agreement restricts Versant’s ability, without the prior written consent of Comcast (which shall not be unreasonably withheld, conditioned, or delayed and for which Comcast shall undertake commercially reasonable efforts to enable it to provide such consent), to (i) acquire certain FCC-issued licenses or ownership interests that would be subject to an ownership restriction or spectrum screen under the Communications Act or that would otherwise be subject to a foreign ownership restriction or review by applicable regulatory authorities and (ii) enter into agreements with television broadcast stations relating to time brokerage, local marketing, joint sales or other shared services agreements, in each case if such actions would reasonably be expected to result in a violation of the Communications Act or subject Comcast, its affiliates or any person deemed to have an attributable interest in Comcast to additional non-de minimis restrictions or compliance burdens under the Communications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specify those conditions that must be satisfied or waived by Comcast prior to the completion of the Separation, which are described further above in “—Conditions to the Distribution.” In addition, Comcast will have the right to determine the date and terms of the Separation, and will have the right, at any time until completion of the Distribution, to determine to abandon or modify the Distribution and to terminate the Separation and Distribution Agreement.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Separation and Distribution Agreement will govern the treatment of indemnification, insurance and litigation responsibility and management. Generally, the Separation and Distribution Agreement will provide for uncapped cross-indemnities principally designed to place financial responsibility for the obligations and liabilities of the Spin Business with us and financial responsibility for the obligations and liabilities of Comcast’s retained businesses with Comcast. The Separation and Distribution Agreement will also establish procedures for handling claims subject to indemnification and related matters.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and Comcast will enter into a tax matters agreement (the “Tax Matters Agreement”) that will govern the parties’ respective rights, responsibilities and obligations with respect to taxes, including taxes arising in the ordinary course of business, and taxes, if any, incurred as a result of the failure of the Separation to qualify for tax-free treatment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the Tax Matters Agreement will govern the rights and obligations that we and Comcast have after the Separation with respect to taxes for both pre- and post-closing periods. Under the Tax Matters Agreement, Comcast generally will be responsible for all of our pre-closing taxes that are reported on combined tax returns with Comcast or any of its affiliates and all pre-closing non-income taxes attributable to the businesses and assets retained by Comcast. We will generally be responsible for all of our pre-closing income taxes that are reported on tax returns that include only us and/or our subsidiaries (“separate tax returns”) and all pre-closing non-income taxes attributable to our business or assets.</w:t>
      </w:r>
    </w:p>
    <w:p>
      <w:pPr>
        <w:spacing w:after="0" w:line="183"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In the Tax Matters Agreement, we will also agree to certain covenants that contain restrictions intended to preserve the tax-free treatment of the Separation. We may take certain actions prohibited by these covenants only if we obtain and provide to Comcast a ruling from the IRS or an opinion from a tax adviser acceptable to Comcast in its sole discretion, in each case, to the effect that such action will not jeopardize the tax-free treatment of these transactions, or if we obtain prior written consent of Comcast, in its sole and absolute discretion, waiving such requirement. We will be barred from taking any action, or failing to take any action, where such action or failure to act adversely affects or could reasonably be expected to adversely affect the tax-free treatment of the Separation, for all relevant time periods. In addition, these covenants will include specific restrictions on our:</w:t>
      </w:r>
    </w:p>
    <w:p>
      <w:pPr>
        <w:spacing w:after="0" w:line="78"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the active conduct of our trade or business;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our stock or other securities (including securities convertible into our stock but excluding certain compensatory arrangements);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 of incorporation (or other organizational documents) or taking any other action, whether through a shareholder vote or otherwise, affecting the voting rights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certain corporate transactions that could jeopardize the tax-free treatment of the Distribution.</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will generally agree to indemnify Comcast against any and all tax-related liabilities incurred by Comcast or its subsidiaries relating to the Distribution to the extent caused by any action undertaken by us or in respect of our shares. The indemnification will apply even if Comcast has permitted us to take an action that would otherwise have been prohibited under the tax-related covenants described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60"/>
          </w:cols>
          <w:pgMar w:left="320" w:top="455" w:right="5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Transition Services Agreement will set forth the terms on which Comcast will provide to Versant, on a transitional basis, certain services or functions that the companies historically have shared. The transition services will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will provide that Versant may, subject to certain conditions, terminate any or all of the services, or any part of a service, upon prior written notice to Comcast. Versant will indemnify Comcast from liabilities for claims arising from Comcast’s provision of the services, Versant’s use of the services or breach of the agreement, or from Versant’s gross negligence, fraud or willful misconduct. Comcast will indemnify Versant from liabilities for claims arising from Comcast’s breach of the agreement or from Comcast’s gross negligence, fraud or willful misconduct. Subject to certain customary exceptions, Comcast’s maximum aggregate liability under the Transition Services Agreement will be limited to the fees actually received by Comcast under the agreement.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enter into an Employee Matters Agreement with Comcast prior to the Separation that will govern the respective rights, responsibilities and obligations of the parties from and after the Separation with respect to employee-related assets and liabilities and our respective compensation, retirement and benefit plans. Except as specifically provided in the Employee Matters Agreement, we will generally assume responsibility for all employment-related liabilities relating to our employees, former employees and other service providers. Generally, the Employee Matters Agreement will provide that, except as may be provided in the Transition Services Agreement, each of our employees will cease active participation in Comcast compensation and benefit plans on or before the Separation and will commence participation in compensation and benefit plans sponsored and maintained by us. The Employee Matters Agreement will also set forth general principles relating to employee matters in connection with the Separation.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Commercial Arrangements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certain commercial arrangements, and in connection with the Separation, we will enter into certain additional commercial arrangements or amendments to existing arrangements, with Comcast, NBCUniversal or certain of their affiliates relating to the Spin Business. These commercial arrangements relate to a variety of ordinary course business functions, including, but not limited to:</w:t>
      </w:r>
    </w:p>
    <w:p>
      <w:pPr>
        <w:spacing w:after="0" w:line="81"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use of our advertising and promotional inventory;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or use, as applicable, by Comcast and NBCUniversal of certain of our networks, content, trademarks and applications on their own and certain third-party platforms and networks, along with certain related sales, marketing and other support services;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ancillary services, including the use of personnel, as well as studio and production-related services, for the production of sports content and the use of personnel and hospitality support services for certain advertising and sports industry events;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purchase agreements for each party to exhibit certain sports programming on the other party’s networks and platforms; and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similar arrangements relating to our use of certain entertainment and news content and trademark rights owned by NBCUniversal and its affiliates, as well as the use by Comcast and its affiliates of certain of our content, data and trademarks.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commercial agreements are generally for multiyear terms, with pricing and other terms and conditions that are customary for these types of agreements among unrelated parties. For additional information, see “Risk Factors—Spin-Related Risk Factors—We have historically operated within Comcast, and there are risks associated with the Separation” and “—Business Risk Factors—Our network rebrands may result in customer confusion and disruption, leading to lower ratings and monetization.”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Shares of Our Class 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our Class A common stock that you will receive in the Distribution will be freely transferable, unless you are considered an “affiliate” of ours under Rule 144 under the Securities Act. Persons who can be considered our affiliates after the Separation generally include individuals or entities that directly, or indirectly through one or more intermediaries, control, are controlled by or are under common control with us, and may include certain of our officers and directors. In addition, individuals who are affiliates of Comcast on the Distribution Date may be deemed to be affiliates of ours. We estimate that our directors and executive officers, who may be considered “affiliates” for purposes of Rule 144, will beneficially own approximately        shares of our Class A common stock immediately following the Separation. See “Ownership of Common Stock by Certain Beneficial Owners and Management” included elsewhere in this information statement. Our affiliates may sell shares of our Class A common stock received in the Distribution only:</w:t>
      </w:r>
    </w:p>
    <w:p>
      <w:pPr>
        <w:spacing w:after="0" w:line="97" w:lineRule="exact"/>
        <w:rPr>
          <w:sz w:val="20"/>
          <w:szCs w:val="20"/>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registration statement that has become effective under the Securities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 exemption from registration under the Securities Act, such as the exemption afforded by Rule 144.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under Rule 144 as currently in effect, an affiliate will be entitled to sell, within any three-month period, a number of shares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that does not exceed the greater of:</w:t>
      </w:r>
    </w:p>
    <w:p>
      <w:pPr>
        <w:spacing w:after="0" w:line="112" w:lineRule="exact"/>
        <w:rPr>
          <w:sz w:val="20"/>
          <w:szCs w:val="20"/>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our Class A common stock then outstanding;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for the sale.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Rule 144 also includes notice requirements and restrictions governing the manner of sale for sales by our affiliates. Sales may not be made under Rule 144 unless certain information about us is publicly available.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Comcast shareholders who are entitled to receive shares of our common stock in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Comcast nor we undertake any obligation to update such information except in the normal course of our respective public disclosure obligations.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our Board deems relevant. In addition, our ability to pay cash dividends on our capital stock may be limited by the terms of our existing and future debt or preferred securities we issue or any credit facilities we enter into. See “Risk Factors—Common Stock Risk Factors.”</w:t>
      </w:r>
    </w:p>
    <w:p>
      <w:pPr>
        <w:spacing w:after="0" w:line="1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320" w:top="455" w:right="6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September 30, 2025 on a historical and pro forma basis to give effect to the Separation and other matters, as discussed in “The Separation.”</w:t>
      </w:r>
    </w:p>
    <w:p>
      <w:pPr>
        <w:spacing w:after="0" w:line="162"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assumptions that management believes are reasonable; however, such adjustments are subject to change based on the finalization of the terms of the Separation and the agreements which define our relationship with Comcast after the completion of the Separation. In addition, such adjustments are estimates and may not prove to be accurate.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the following table together with “Management’s Discussion and Analysis of Financial Condition and Results of Operations,” “Unaudited Pro Forma Combined Financial Statements ,” “Description of Material Indebtedness” and our combined financial statements and the related notes included elsewhere in this information statement.</w:t>
      </w:r>
    </w:p>
    <w:p>
      <w:pPr>
        <w:spacing w:after="0" w:line="176"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We are providing the capitalization table for information purposes only. The capitalization table below may not reflect the capitalization or financial condition that would have resulted had we been operating as an independent, publicly traded company on September 30, 2025 and is not necessarily indicative of our future capitalization or financial condition.</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have not yet finalized our post-Distribution capitalization. We intend to update our financial information to reflect our post-Distribution capitalization in a subsequent amendment to this information statement.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A Loan Facility</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Term B Loan Facility</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Notes due 2031</w:t>
            </w:r>
            <w:r>
              <w:rPr>
                <w:rFonts w:ascii="Times New Roman" w:cs="Times New Roman" w:eastAsia="Times New Roman" w:hAnsi="Times New Roman"/>
                <w:sz w:val="25"/>
                <w:szCs w:val="25"/>
                <w:color w:val="auto"/>
                <w:vertAlign w:val="superscript"/>
              </w:rPr>
              <w:t>(4)</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Less: deferred debt issuance costs</w:t>
            </w:r>
            <w:r>
              <w:rPr>
                <w:rFonts w:ascii="Times New Roman" w:cs="Times New Roman" w:eastAsia="Times New Roman" w:hAnsi="Times New Roman"/>
                <w:sz w:val="25"/>
                <w:szCs w:val="25"/>
                <w:color w:val="auto"/>
                <w:vertAlign w:val="superscript"/>
              </w:rPr>
              <w:t>(5)</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indebtedness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w w:val="97"/>
              </w:rPr>
              <w:t>Class A common stock, par value $0.01 per share; 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w w:val="94"/>
              </w:rPr>
              <w:t>shares authorized, 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20" w:type="dxa"/>
            <w:vAlign w:val="bottom"/>
            <w:gridSpan w:val="2"/>
          </w:tcPr>
          <w:p>
            <w:pPr>
              <w:jc w:val="right"/>
              <w:ind w:right="1090"/>
              <w:spacing w:after="0" w:line="198" w:lineRule="exact"/>
              <w:rPr>
                <w:sz w:val="20"/>
                <w:szCs w:val="20"/>
                <w:color w:val="auto"/>
              </w:rPr>
            </w:pPr>
            <w:r>
              <w:rPr>
                <w:rFonts w:ascii="Times New Roman" w:cs="Times New Roman" w:eastAsia="Times New Roman" w:hAnsi="Times New Roman"/>
                <w:sz w:val="18"/>
                <w:szCs w:val="18"/>
                <w:color w:val="auto"/>
              </w:rPr>
              <w:t>shares issued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and outstanding, pro forma</w:t>
            </w:r>
            <w:r>
              <w:rPr>
                <w:rFonts w:ascii="Times New Roman" w:cs="Times New Roman" w:eastAsia="Times New Roman" w:hAnsi="Times New Roman"/>
                <w:sz w:val="26"/>
                <w:szCs w:val="26"/>
                <w:color w:val="auto"/>
                <w:vertAlign w:val="superscript"/>
              </w:rPr>
              <w:t>(6)</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w w:val="97"/>
              </w:rPr>
              <w:t>Class B common stock, par value $0.01 per share; 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w w:val="94"/>
              </w:rPr>
              <w:t>shares authorized, 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20" w:type="dxa"/>
            <w:vAlign w:val="bottom"/>
            <w:gridSpan w:val="2"/>
            <w:shd w:val="clear" w:color="auto" w:fill="CCEEFF"/>
          </w:tcPr>
          <w:p>
            <w:pPr>
              <w:jc w:val="right"/>
              <w:ind w:right="1090"/>
              <w:spacing w:after="0" w:line="198" w:lineRule="exact"/>
              <w:rPr>
                <w:sz w:val="20"/>
                <w:szCs w:val="20"/>
                <w:color w:val="auto"/>
              </w:rPr>
            </w:pPr>
            <w:r>
              <w:rPr>
                <w:rFonts w:ascii="Times New Roman" w:cs="Times New Roman" w:eastAsia="Times New Roman" w:hAnsi="Times New Roman"/>
                <w:sz w:val="18"/>
                <w:szCs w:val="18"/>
                <w:color w:val="auto"/>
              </w:rPr>
              <w:t>shares issued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and outstanding, pro forma</w:t>
            </w:r>
            <w:r>
              <w:rPr>
                <w:rFonts w:ascii="Times New Roman" w:cs="Times New Roman" w:eastAsia="Times New Roman" w:hAnsi="Times New Roman"/>
                <w:sz w:val="26"/>
                <w:szCs w:val="26"/>
                <w:color w:val="auto"/>
                <w:vertAlign w:val="superscript"/>
              </w:rPr>
              <w:t>(6)</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Net investment by Comcast</w:t>
            </w:r>
            <w:r>
              <w:rPr>
                <w:rFonts w:ascii="Times New Roman" w:cs="Times New Roman" w:eastAsia="Times New Roman" w:hAnsi="Times New Roman"/>
                <w:sz w:val="25"/>
                <w:szCs w:val="25"/>
                <w:color w:val="auto"/>
                <w:vertAlign w:val="superscript"/>
              </w:rPr>
              <w:t>(6)</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10,176</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Additional paid-in capital</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Versant parent and shareholders’ equity</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7,716</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119</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10,289</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20" w:hanging="424"/>
        <w:spacing w:after="0" w:line="255"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cash equivalents actually held by Versant after giving effect to the Separation, the receipt of the proceeds from the Debt Financing Transactions (as defined below) and the payment of the Special Cash Payment will vary, and will depend upon, among other things, working capital and other adjustments (including adjustments related to the payment of fees and expenses related to the Debt Financing Transactions) prior to the Separation.</w:t>
      </w:r>
    </w:p>
    <w:p>
      <w:pPr>
        <w:spacing w:after="0" w:line="2" w:lineRule="exact"/>
        <w:rPr>
          <w:rFonts w:ascii="Times New Roman" w:cs="Times New Roman" w:eastAsia="Times New Roman" w:hAnsi="Times New Roman"/>
          <w:sz w:val="18"/>
          <w:szCs w:val="18"/>
          <w:color w:val="auto"/>
        </w:rPr>
      </w:pPr>
    </w:p>
    <w:p>
      <w:pPr>
        <w:ind w:left="540" w:right="220" w:hanging="424"/>
        <w:spacing w:after="0" w:line="260"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under the Term B Loan Facility were fully allocated in October 2025, subject to entry into of the TLB Credit Agreement which is expected to occur substantially concurrently with the consummation of the Separation.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20" w:hanging="424"/>
        <w:spacing w:after="0" w:line="261"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on a pro forma basis, the $750 million Revolving Credit Facility would have been undrawn and all amounts would have been available for borrowing thereunder.</w:t>
      </w:r>
    </w:p>
    <w:p>
      <w:pPr>
        <w:ind w:left="540" w:right="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Notes, together with certain additional amounts contributed by Comcast, were deposited into the Escrow Account (as defined herein) and will be released upon the satisfaction of the conditions set forth in the escrow agreement (as described under “Description of Material Indebtedness—Senior Secured Notes”) in connection with the consummation of the Separation.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 million of estimated debt issuance costs incurred in connection with entrance into the Term A Loan Facility, the Term B Loan Facility, the Revolving Credit Facility and issuance of the Notes, comprised of (i) structuring and commitment fees related to the financings, (ii) arranger fees and OID related to the Term B Loan Facility, and (iii) the initial purchasers’ discount to the offering price and the offering expenses of the Notes.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Separation, Comcast’s net investment in us will be eliminated to reflect the distribution of our common stock to Comcast’s shareholders.</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320" w:top="455" w:right="5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(the “pro forma financial statements”) were prepared in accordance with Article 11 of Regulation S-X and consist of unaudited pro forma combined statements of income for the nine months ended September 30, 2025 and the year ended December 31, 2024 (collectively, the “pro forma statements of income”), an unaudited pro forma combined balance sheet (the “pro forma balance sheet”) as of September 30, 2025 and related notes. The pro forma financial statements reflect adjustments to our unaudited condensed combined statement of income for the nine months ended September 30, 2025, our audited combined statement of income for the year ended December 31, 2024 and our unaudited condensed combined balance sheet as of September 30, 2025 (collectively, the “combined financial statements”).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pro forma statements of income give effect to the Separation and related transactions, described below, as if they had occurred on January 1, 2024, the beginning of our most recently completed fiscal year. The pro forma balance sheet gives effect to the Separation and related transactions as if they occurred as of September 30, 2025, our latest balance sheet date.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have been prepared to reflect transaction accounting and autonomous entity adjustments to present our results of operations and financial condition as if we were a separate standalone entity. In addition, we have provided a presentation of management adjustments that management believes are useful to enhance an understanding of the pro forma effects of the transactions. The pro forma financial statements have been adjusted to give effect to the following (collectively, the “Pro Forma Transactions”):</w:t>
      </w:r>
    </w:p>
    <w:p>
      <w:pPr>
        <w:spacing w:after="0" w:line="85" w:lineRule="exact"/>
        <w:rPr>
          <w:sz w:val="20"/>
          <w:szCs w:val="20"/>
          <w:color w:val="auto"/>
        </w:rPr>
      </w:pPr>
    </w:p>
    <w:p>
      <w:pPr>
        <w:ind w:left="1080" w:right="2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assets and liabilities that comprise our business by Comcast pursuant to the Separation and Distribution Agreement, including the expected transfer to us, prior to or concurrent with the Separation of various Comcast assets and liabilities not included in the combined financial statements;</w:t>
      </w:r>
    </w:p>
    <w:p>
      <w:pPr>
        <w:sectPr>
          <w:pgSz w:w="11900" w:h="16838" w:orient="portrait"/>
          <w:cols w:equalWidth="0" w:num="1">
            <w:col w:w="11120"/>
          </w:cols>
          <w:pgMar w:left="320" w:top="455" w:right="45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anticipated post-Distribution capital structure, including (i) the issuance of approximately        shares of our Class A common stock and        shares of our Class B common stock to holders of Comcast common stock in connection with the Separation and</w:t>
      </w:r>
    </w:p>
    <w:p>
      <w:pPr>
        <w:spacing w:after="0" w:line="1"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(ii) the Debt Financing Transactions;</w:t>
      </w:r>
    </w:p>
    <w:p>
      <w:pPr>
        <w:spacing w:after="0" w:line="112" w:lineRule="exact"/>
        <w:rPr>
          <w:sz w:val="20"/>
          <w:szCs w:val="20"/>
          <w:color w:val="auto"/>
        </w:rPr>
      </w:pPr>
    </w:p>
    <w:p>
      <w:pPr>
        <w:ind w:left="1080" w:right="16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Tax Matters Agreement and Employee Matters Agreement, both to be entered into with Comcast in connection with the Separation;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Transition Services Agreement and certain other commercial agreements to be entered into with Comcast in connection with the Separation (see “The Separation—Agreements with Comcast”);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and other amounts expected to be incurred as an autonomous entity and specifically related to the Separation and other adjustments described in the notes to the unaudited pro forma financial statements.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are presented for informational purposes only and do not purport to represent what our results of operations and financial position actually would have been had the Pro Forma Transactions occurred on the dates indicated, or to project our financial performance for any future period. The pro forma financial statements are based on available information, estimates and assumptions, which we believe are reasonable and are described in the accompanying notes. Actual future results will differ from the amounts presented.</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combined financial statements, which were the basis for the pro forma financial statements, were prepared on a carve-out basis as we did not operate as a standalone entity for the periods presented. Accordingly, such financial statements reflect allocations related to shared services and assets (including expenses primarily related to personnel, advertising and marketing, facilities, information technology and network communications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support and other overhead functions) and certain corporate administrative services (including charges for services such as accounting, tax, treasury and cash management, insurance, legal and risk management) that were provided to us by Comcast. See Note 5 to the unaudited condensed combined financial statements and Note 10 to the audited combined financial statements included elsewhere in this information statement for further information.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should be read in conjunction with the sections herein entitled “Capitalization,” “Management’s Discussion and Analysis of Financial Condition and Results of Operations,” “Certain Relationships and Related Person Transactions” and “The Separation” as well as the combined financial statements, and the corresponding notes included elsewhere in this information statement. For factors that could cause actual results to differ materially from those presented in the unaudited pro forma combined financial statements, see “Cautionary Statement Concerning Forward-Looking Statements” and “Risk Factors” included elsewhere in this information statement.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320" w:top="455" w:right="5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60" w:type="dxa"/>
            <w:vAlign w:val="bottom"/>
          </w:tcPr>
          <w:p>
            <w:pPr>
              <w:spacing w:after="0"/>
              <w:rPr>
                <w:sz w:val="12"/>
                <w:szCs w:val="12"/>
                <w:color w:val="auto"/>
              </w:rPr>
            </w:pPr>
          </w:p>
        </w:tc>
        <w:tc>
          <w:tcPr>
            <w:tcW w:w="10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8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7"/>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5,078</w:t>
            </w: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5,078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g,h,j</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1,073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(146)</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loss, 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6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7"/>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7,062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$7,062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3,064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272</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g,h,j</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1,841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(265)</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1,619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6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1,365</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6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September 30, 2025</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7"/>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7,732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11,310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496</w:t>
            </w:r>
          </w:p>
        </w:tc>
        <w:tc>
          <w:tcPr>
            <w:tcW w:w="10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2"/>
              </w:rPr>
              <w:t>11,811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h,j</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2,835</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by Comcast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10,176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(10,176)</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a,b,c,d,e,f</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7,748</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h,j</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Versant parent and shareholders’ equity</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10,170</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10,289</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11,310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496</w:t>
            </w:r>
          </w:p>
        </w:tc>
        <w:tc>
          <w:tcPr>
            <w:tcW w:w="10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2"/>
              </w:rPr>
              <w:t>11,811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Pro Forma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20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statements of income for the nine months ended September 30, 2025 and the year ended December 31, 2024 and the unaudited pro forma combined balance sheet as of September 30, 2025 include the following adjustments: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540" w:right="80" w:hanging="424"/>
        <w:spacing w:after="0" w:line="261"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separation charges we expect to incur through the closing of the Separation. These adjustments include estimated non-recurring expenses of $5 million recorded in selling, general and administrative expenses for the year ended December 31, 2024, and the related accrual of $5 million as of September 30, 2025 recorded in accrued expenses and other current liabilities. Actual charges that will be incurred could be different from these estimates.</w:t>
      </w:r>
    </w:p>
    <w:p>
      <w:pPr>
        <w:spacing w:after="0" w:line="85"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impacts of assets, and related liabilities and expenses, that, pursuant to the terms of the Separation and Distribution Agreement, are expected to be contributed to Versant, but were shared assets for the periods presented in the combined financial statements and therefore were excluded from the combined financial statements. These adjustments resulted in additional assets of $266 million primarily related to owned or leased operating facilities and related equipment (including the key operational hub located in Englewood Cliffs, New Jersey) and third-party agreements for content along with $47 million of related liabilities. The unaudited pro forma combined statements of income include adjustments to add related depreciation expense and costs of revenue, and remove amounts previously allocated to selling, general and administrative expenses for such shared assets. These adjustments also reflect the impact of assets and related liabilities and expenses that were historically dedicated to the Versant businesses and included in our combined financial statements, but which are expected to remain with Comcast. Certain accounts receivable and liabilities totaling $421 million and $99 million, respectively, related to activities that will be covered under the commercial services agreement for the sale and use of our advertising and promotional inventory will be retained by Comcast. Comcast is expected to make a cash payment to Versant prior to the Separation, which will include the net amount of these receivables, liabilities and certain other transition and working capital items at the time of Separation. Additionally, $53 million of assets were removed related to the MSNBC and CNBC trademarks. The unaudited pro forma combined statements of income includes adjustments to remove related depreciation and amortization expenses related to these trademarks and add estimated costs associated with trademark license agreements between Comcast and Versant pertaining to such assets that are expected to be in place following the Separation. There may be additional assets, liabilities or related expenses transferred to Versant or to Comcast in the Separation for which the transfer has not yet been finalized. Accordingly, these pro forma financial statements may be further updated prior to the effectiveness of the Form 10 of which this information statement forms a part.</w:t>
      </w:r>
    </w:p>
    <w:p>
      <w:pPr>
        <w:spacing w:after="0" w:line="98" w:lineRule="exact"/>
        <w:rPr>
          <w:rFonts w:ascii="Times New Roman" w:cs="Times New Roman" w:eastAsia="Times New Roman" w:hAnsi="Times New Roman"/>
          <w:sz w:val="18"/>
          <w:szCs w:val="18"/>
          <w:color w:val="auto"/>
        </w:rPr>
      </w:pPr>
    </w:p>
    <w:p>
      <w:pPr>
        <w:ind w:left="540" w:right="80" w:hanging="424"/>
        <w:spacing w:after="0" w:line="254"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reflects the following senior secured financing arrangements (the “Debt Financing Transactions”): (i) the TLA/Revolver Credit Agreement, dated October 3, 2025, consisting of (A) the $1.0 billion Term A Loan Facility and (B) the $750 million Revolving Credit Facility; (ii) the Indenture, dated October 29, 2025, with respect to the $1.0 billion aggregate principal amount of Notes; and (iii) the TLB Credit Agreement, expected to be entered into in connection with the Separation, consisting of the $1.0 billion Term B Loan Facility. A portion of the proceeds of such indebtedness is expected to be used to fund the Special Cash Payment of approximately</w:t>
      </w:r>
    </w:p>
    <w:p>
      <w:pPr>
        <w:spacing w:after="0" w:line="3" w:lineRule="exact"/>
        <w:rPr>
          <w:rFonts w:ascii="Times New Roman" w:cs="Times New Roman" w:eastAsia="Times New Roman" w:hAnsi="Times New Roman"/>
          <w:sz w:val="18"/>
          <w:szCs w:val="18"/>
          <w:color w:val="auto"/>
        </w:rPr>
      </w:pPr>
    </w:p>
    <w:p>
      <w:pPr>
        <w:ind w:left="5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billion to Comcast as consideration for assets that will be contributed to us in connection with the Separation, with the remainder being used for general corporate purposes. The amount of cash and cash equivalents actually held by Versant after giving effect to the Separation, the receipt of the proceeds from the Debt Financing Transactions and the payment of the Special Cash Payment may vary, and will depend upon, among other things, working capital and other adjustments prior to the Separation.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66" w:lineRule="auto"/>
        <w:rPr>
          <w:sz w:val="20"/>
          <w:szCs w:val="20"/>
          <w:color w:val="auto"/>
        </w:rPr>
      </w:pPr>
      <w:r>
        <w:rPr>
          <w:rFonts w:ascii="Times New Roman" w:cs="Times New Roman" w:eastAsia="Times New Roman" w:hAnsi="Times New Roman"/>
          <w:sz w:val="18"/>
          <w:szCs w:val="18"/>
          <w:color w:val="auto"/>
        </w:rPr>
        <w:t>The debt, including the expected TLB Credit Agreement, has maturities of approximately five years and an estimated weighted average interest rate of 6.7%. A hypothetical 1/8% change to the interest rate would change interest expense by $3 million and $4 million for the nine months ended September 30, 2025 and the year ended December 31, 2024, respectively.</w:t>
      </w:r>
    </w:p>
    <w:p>
      <w:pPr>
        <w:spacing w:after="0" w:line="68" w:lineRule="exact"/>
        <w:rPr>
          <w:sz w:val="20"/>
          <w:szCs w:val="20"/>
          <w:color w:val="auto"/>
        </w:rPr>
      </w:pPr>
    </w:p>
    <w:p>
      <w:pPr>
        <w:ind w:left="560" w:right="260"/>
        <w:spacing w:after="0" w:line="266" w:lineRule="auto"/>
        <w:rPr>
          <w:sz w:val="20"/>
          <w:szCs w:val="20"/>
          <w:color w:val="auto"/>
        </w:rPr>
      </w:pPr>
      <w:r>
        <w:rPr>
          <w:rFonts w:ascii="Times New Roman" w:cs="Times New Roman" w:eastAsia="Times New Roman" w:hAnsi="Times New Roman"/>
          <w:sz w:val="18"/>
          <w:szCs w:val="18"/>
          <w:color w:val="auto"/>
        </w:rPr>
        <w:t>Debt issuance costs associated with the indebtedness are estimated to be $45 million and presented as a reduction of our noncurrent portion of debt and amortized interest expense. See “Capitalization”, “Management’s Discussion and Analysis of Financial Condition and Results of Operations—Liquidity and Capital Resources” and “Description of Material Indebtedness” for additional details.</w:t>
      </w:r>
    </w:p>
    <w:p>
      <w:pPr>
        <w:spacing w:after="0" w:line="81" w:lineRule="exact"/>
        <w:rPr>
          <w:sz w:val="20"/>
          <w:szCs w:val="20"/>
          <w:color w:val="auto"/>
        </w:rPr>
      </w:pPr>
    </w:p>
    <w:p>
      <w:pPr>
        <w:ind w:left="540" w:right="160" w:hanging="424"/>
        <w:spacing w:after="0" w:line="261"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Pro Forma Transactions and the pro forma adjustments using an estimated income tax rate of 26% for the nine months ended September 30, 2025 and the year ended December 31, 2024, based on the statutory rate for the jurisdictions in which we operate. Management believes the statutory tax rate provides a reasonable basis for the pro forma adjustment. However, the effective tax rate of Versant could be significantly different depending on actual operating results and the application of enacted tax laws applicable to those results.</w:t>
      </w:r>
    </w:p>
    <w:p>
      <w:pPr>
        <w:spacing w:after="0" w:line="85"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$68 million of obligations related to certain employee plans expected to be transferred from Comcast to Versant prior to the Separation pursuant to the terms of the Employee Matters Agreement. This adjustment also reflects $47 million of employee-related obligations included in our combined financial statements, but which are expected to be retained by Comcast pursuant to the terms of the Employee Matters Agreement.</w:t>
      </w:r>
    </w:p>
    <w:p>
      <w:pPr>
        <w:spacing w:after="0" w:line="81" w:lineRule="exact"/>
        <w:rPr>
          <w:rFonts w:ascii="Times New Roman" w:cs="Times New Roman" w:eastAsia="Times New Roman" w:hAnsi="Times New Roman"/>
          <w:sz w:val="18"/>
          <w:szCs w:val="18"/>
          <w:color w:val="auto"/>
        </w:rPr>
      </w:pPr>
    </w:p>
    <w:p>
      <w:pPr>
        <w:ind w:left="540" w:right="180" w:hanging="424"/>
        <w:spacing w:after="0" w:line="255"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shares of our Class A common stock with a par value of $0.01 per share and Class B common stock with a par value of $0.01 per share pursuant to the Separation and Distribution Agreement and the related reclassification of Comcast’s net investment in our Company with a corresponding net increase in additional paid-in capital. We have assumed the number of outstanding shares of our Class A common stock and Class B common stock based on shares of Comcast common stock outstanding, on the basis of the distribution ratio</w:t>
      </w:r>
    </w:p>
    <w:p>
      <w:pPr>
        <w:spacing w:after="0" w:line="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share(s) of our common stock distributed for every share of Comcast common stock, and using approximately             shares of</w:t>
      </w:r>
    </w:p>
    <w:p>
      <w:pPr>
        <w:spacing w:after="0" w:line="9" w:lineRule="exact"/>
        <w:rPr>
          <w:sz w:val="20"/>
          <w:szCs w:val="20"/>
          <w:color w:val="auto"/>
        </w:rPr>
      </w:pPr>
    </w:p>
    <w:p>
      <w:pPr>
        <w:ind w:left="540"/>
        <w:spacing w:after="0" w:line="260" w:lineRule="auto"/>
        <w:rPr>
          <w:sz w:val="20"/>
          <w:szCs w:val="20"/>
          <w:color w:val="auto"/>
        </w:rPr>
      </w:pPr>
      <w:r>
        <w:rPr>
          <w:rFonts w:ascii="Times New Roman" w:cs="Times New Roman" w:eastAsia="Times New Roman" w:hAnsi="Times New Roman"/>
          <w:sz w:val="18"/>
          <w:szCs w:val="18"/>
          <w:color w:val="auto"/>
        </w:rPr>
        <w:t>Comcast Class A common stock and        shares of Comcast Class B common stock outstanding as of        , 2025. The actual number of shares issued will not be known until the record date for the distribution.</w:t>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of amounts reclassified from net investment by Comcast to additional paid-in capital (in millions):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9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net investment by Comcast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Separation charges</w:t>
            </w:r>
            <w:r>
              <w:rPr>
                <w:rFonts w:ascii="Times New Roman" w:cs="Times New Roman" w:eastAsia="Times New Roman" w:hAnsi="Times New Roman"/>
                <w:sz w:val="25"/>
                <w:szCs w:val="25"/>
                <w:color w:val="auto"/>
                <w:vertAlign w:val="superscript"/>
              </w:rPr>
              <w:t>(a)</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Asset transfers</w:t>
            </w:r>
            <w:r>
              <w:rPr>
                <w:rFonts w:ascii="Times New Roman" w:cs="Times New Roman" w:eastAsia="Times New Roman" w:hAnsi="Times New Roman"/>
                <w:sz w:val="25"/>
                <w:szCs w:val="25"/>
                <w:color w:val="auto"/>
                <w:vertAlign w:val="superscript"/>
              </w:rPr>
              <w:t>(b)</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Special cash payment</w:t>
            </w:r>
            <w:r>
              <w:rPr>
                <w:rFonts w:ascii="Times New Roman" w:cs="Times New Roman" w:eastAsia="Times New Roman" w:hAnsi="Times New Roman"/>
                <w:sz w:val="25"/>
                <w:szCs w:val="25"/>
                <w:color w:val="auto"/>
                <w:vertAlign w:val="superscript"/>
              </w:rPr>
              <w:t>(c)</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taxes</w:t>
            </w:r>
            <w:r>
              <w:rPr>
                <w:rFonts w:ascii="Times New Roman" w:cs="Times New Roman" w:eastAsia="Times New Roman" w:hAnsi="Times New Roman"/>
                <w:sz w:val="25"/>
                <w:szCs w:val="25"/>
                <w:color w:val="auto"/>
                <w:vertAlign w:val="superscript"/>
              </w:rPr>
              <w:t>(d)</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Employee-related obligations</w:t>
            </w:r>
            <w:r>
              <w:rPr>
                <w:rFonts w:ascii="Times New Roman" w:cs="Times New Roman" w:eastAsia="Times New Roman" w:hAnsi="Times New Roman"/>
                <w:sz w:val="25"/>
                <w:szCs w:val="25"/>
                <w:color w:val="auto"/>
                <w:vertAlign w:val="superscript"/>
              </w:rPr>
              <w:t>(e)</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Autonomous Entity Adjustments</w:t>
      </w:r>
    </w:p>
    <w:p>
      <w:pPr>
        <w:spacing w:after="0" w:line="135" w:lineRule="exact"/>
        <w:rPr>
          <w:sz w:val="20"/>
          <w:szCs w:val="20"/>
          <w:color w:val="auto"/>
        </w:rPr>
      </w:pPr>
    </w:p>
    <w:p>
      <w:pPr>
        <w:ind w:left="540" w:right="20" w:hanging="424"/>
        <w:spacing w:after="0" w:line="256"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effects of commercial arrangements that Versant and Comcast will enter into in connection with the Separation described under “The Separation—Agreements with Comcast—Certain Commercial Arrangements.” Included in the pro forma combined statements of income for the nine months ended September 30, 2025 and the year ended December 31, 2024 are adjustments for the differences in costs for these agreements, primarily related to the commercial services agreement for the sale and use of our advertising and promotional inventory compared to previously allocated costs, including adjustments to costs of revenue of $(6) million and $(7) million, respectively, and selling, general, and administrative expenses of $134 million and $212 million, respectively.</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40"/>
          </w:cols>
          <w:pgMar w:left="320" w:top="455" w:right="5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4"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charges we expect to incur within one year of the Separation to establish Versant as an independent standalone company. These charges primarily relate to systems costs and vendor fees totaling $10 million and $45 million for the nine months ended September 30, 2025 and the year ended December 31, 2024, respectively, recorded in selling, general and administrative expenses, and the related accrual of $25 million, as of September 30, 2025, recorded in accrued expenses and other current liabilities. The adjustments also include estimated incremental share-based compensation costs related to initial equity awards expected to be granted to certain executives in connection with the Separation. The awards are expected to vest over a three-year period with estimated expense totaling $8 million and $10 million for the nine months ended September 30, 2025 and the year ended December 31, 2024, respectively. Actual charges that will be incurred could be different from these estimates.</w:t>
      </w:r>
    </w:p>
    <w:p>
      <w:pPr>
        <w:spacing w:after="0" w:line="9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autonomous entity adjustments at the applicable statutory income tax rates as described above (d).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impact of lease agreements for facilities that have been entered into or will be entered into prior to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p>
      <w:pPr>
        <w:ind w:left="540" w:hanging="424"/>
        <w:spacing w:after="0" w:line="189" w:lineRule="auto"/>
        <w:tabs>
          <w:tab w:leader="none" w:pos="5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Versant did not have common shares outstanding in the combined financial statements. The weighted average number of shares used to compute</w:t>
      </w:r>
    </w:p>
    <w:p>
      <w:pPr>
        <w:spacing w:after="0" w:line="197" w:lineRule="exact"/>
        <w:rPr>
          <w:sz w:val="20"/>
          <w:szCs w:val="20"/>
          <w:color w:val="auto"/>
        </w:rPr>
      </w:pPr>
    </w:p>
    <w:p>
      <w:pPr>
        <w:ind w:left="540" w:right="440"/>
        <w:spacing w:after="0" w:line="261" w:lineRule="auto"/>
        <w:rPr>
          <w:sz w:val="20"/>
          <w:szCs w:val="20"/>
          <w:color w:val="auto"/>
        </w:rPr>
      </w:pPr>
      <w:r>
        <w:rPr>
          <w:rFonts w:ascii="Times New Roman" w:cs="Times New Roman" w:eastAsia="Times New Roman" w:hAnsi="Times New Roman"/>
          <w:sz w:val="18"/>
          <w:szCs w:val="18"/>
          <w:color w:val="auto"/>
        </w:rPr>
        <w:t>pro forma basic earnings per share for the nine months ended September 30, 2025 and for the year ended December 31, 2024 is based on the distribution ratio of        share(s) of our common stock distributed for every share of Comcast common stock, and using approximately        shares of Comcast Class A common stock and        shares of Comcast Class B common stock outstanding as of         , 2025.</w:t>
      </w:r>
    </w:p>
    <w:p>
      <w:pPr>
        <w:spacing w:after="0" w:line="72"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The weighted average number of shares used to compute pro forma diluted earnings per share is based on the number of basic shares of our Class A common stock and Class B common stock as described above. The actual dilutive effect following the completion of the Separation will depend on various factors, including employees who may change employment between Versant and Comcast and the impact of equity-based compensation arrangements. We cannot fully estimate the dilutive effects at this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Adjustments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elected to present management adjustments to the pro forma financial statements and have included all adjustments necessary for a fair statement of such information. Following the Separation, we expect to incur additional costs as a standalone entity in certain of our corporate administrative and support functions. We received the benefit of economies of scale as a business unit or division as part of Comcast’s broader corporate organization and our combined financial statements included allocations related to the costs of these functions; however, in establishing these independent support functions, the expenses may significantly differ from the prior amounts allocated.</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a standalone public company, we expect to incur certain dis-synergies and incremental public company costs, or higher costs in addition to those included as transaction accounting and autonomous entity adjustments noted above. These costs primarily include the recurring and ongoing costs required to operate new functions required for a public company such as external reporting, internal audit, treasury, investor relations, board of directors, stock administration, and expanding the services of existing functions such as information technology, finance, supply chain, human resources, legal, tax, facilities, branding, security, government relations, community outreach and insurance.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estimated that we would have incurred approximately $145 million of additional expenses (including costs related to personnel of approximately</w:t>
      </w:r>
    </w:p>
    <w:p>
      <w:pPr>
        <w:spacing w:after="0" w:line="27"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$21 million and vendor and other costs of approximately $124 million) for the nine months ended September 30, 2025 and approximately $273 million of additional expenses (including</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costs related to personnel of approximately $78 million and vendor and other costs of approximately $195 million) for the year ended December 31, 2024.</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We estimated these additional expenses by assessing the resources and associated costs each function will require to operate Versant as a standalone public company as compared to the relevant allocated costs recorded within the combined financial statements.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These estimates are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our operations.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w:t>
      </w:r>
    </w:p>
    <w:p>
      <w:pPr>
        <w:spacing w:after="0" w:line="187"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2025</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49"/>
        </w:trPr>
        <w:tc>
          <w:tcPr>
            <w:tcW w:w="12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except per</w:t>
            </w:r>
          </w:p>
        </w:tc>
      </w:tr>
      <w:tr>
        <w:trPr>
          <w:trHeight w:val="173"/>
        </w:trPr>
        <w:tc>
          <w:tcPr>
            <w:tcW w:w="12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share data)</w:t>
            </w:r>
          </w:p>
        </w:tc>
      </w:tr>
      <w:tr>
        <w:trPr>
          <w:trHeight w:val="216"/>
        </w:trPr>
        <w:tc>
          <w:tcPr>
            <w:tcW w:w="10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 forma combined net income attributable to Versant</w:t>
            </w:r>
            <w:r>
              <w:rPr>
                <w:rFonts w:ascii="Times New Roman" w:cs="Times New Roman" w:eastAsia="Times New Roman" w:hAnsi="Times New Roman"/>
                <w:sz w:val="25"/>
                <w:szCs w:val="25"/>
                <w:color w:val="auto"/>
                <w:vertAlign w:val="superscript"/>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(145)</w:t>
            </w: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r>
        <w:trPr>
          <w:trHeight w:val="23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17"/>
        </w:trPr>
        <w:tc>
          <w:tcPr>
            <w:tcW w:w="1220" w:type="dxa"/>
            <w:vAlign w:val="bottom"/>
            <w:tcBorders>
              <w:bottom w:val="single" w:sz="8" w:color="auto"/>
            </w:tcBorders>
          </w:tcPr>
          <w:p>
            <w:pPr>
              <w:spacing w:after="0"/>
              <w:rPr>
                <w:sz w:val="10"/>
                <w:szCs w:val="10"/>
                <w:color w:val="auto"/>
              </w:rPr>
            </w:pPr>
          </w:p>
        </w:tc>
        <w:tc>
          <w:tcPr>
            <w:tcW w:w="8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540"/>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12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49"/>
        </w:trPr>
        <w:tc>
          <w:tcPr>
            <w:tcW w:w="12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except per</w:t>
            </w:r>
          </w:p>
        </w:tc>
      </w:tr>
      <w:tr>
        <w:trPr>
          <w:trHeight w:val="173"/>
        </w:trPr>
        <w:tc>
          <w:tcPr>
            <w:tcW w:w="12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share data)</w:t>
            </w:r>
          </w:p>
        </w:tc>
      </w:tr>
      <w:tr>
        <w:trPr>
          <w:trHeight w:val="216"/>
        </w:trPr>
        <w:tc>
          <w:tcPr>
            <w:tcW w:w="10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 forma combined net income attributable to Versant</w:t>
            </w:r>
            <w:r>
              <w:rPr>
                <w:rFonts w:ascii="Times New Roman" w:cs="Times New Roman" w:eastAsia="Times New Roman" w:hAnsi="Times New Roman"/>
                <w:sz w:val="25"/>
                <w:szCs w:val="25"/>
                <w:color w:val="auto"/>
                <w:vertAlign w:val="superscript"/>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(273)</w:t>
            </w: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r>
        <w:trPr>
          <w:trHeight w:val="23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combined financial statements and the notes thereto, included elsewhere in this information statement, as well as the information presented under “Unaudited Pro Forma Combined Financial Statements,” “Summary—Summary Combined Financial and Other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“Special Note Regarding Forward-Looking Statements” and “Risk Factors.”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 NOW (formerly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nine months ended September 30, 2025, we had revenue of $5.1 billion, net income attributable to Versant of $0.7 billion and Adjusted EBITDA of $1.9 billion. For the year ended December 31, 2024, we had revenue of $7.1 billion, net income attributable to Versant of $1.4 billion and Adjusted EBITDA of $2.8 billion. For reconciliations of Adjusted EBITDA to net income attributable to Versant, the most directly comparable financial measure prepared in accordance with GAAP, see “—Non-GAAP Financial Measures.”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currently a wholly owned subsidiary of Comcast that, after giving effect to the Transactions, will hold, directly or indirectly through its subsidiaries, the assets, liabilities and legal entities comprising the Spin Business. Following the Separation, we will be a publicly traded company independent from Comcast, and Comcast will not retain any ownership interest in us. Immediately following the Separation, holders of Comcast common stock prior to the Distribution will own 100% of the issued and outstanding shares of Versant common stock. For more information, see “The Separation.”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key factors that impact our business include the following:</w:t>
      </w:r>
    </w:p>
    <w:p>
      <w:pPr>
        <w:spacing w:after="0" w:line="127" w:lineRule="exact"/>
        <w:rPr>
          <w:sz w:val="20"/>
          <w:szCs w:val="20"/>
          <w:color w:val="auto"/>
        </w:rPr>
      </w:pPr>
    </w:p>
    <w:p>
      <w:pPr>
        <w:ind w:left="1080" w:right="120" w:hanging="424"/>
        <w:spacing w:after="0" w:line="259"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Consumer Demand for Cable Television</w:t>
      </w:r>
      <w:r>
        <w:rPr>
          <w:rFonts w:ascii="Times New Roman" w:cs="Times New Roman" w:eastAsia="Times New Roman" w:hAnsi="Times New Roman"/>
          <w:sz w:val="18"/>
          <w:szCs w:val="18"/>
          <w:color w:val="auto"/>
        </w:rPr>
        <w:t>. The amount of revenue we earn from MVPD distribution has declined in recent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56"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w:t>
      </w:r>
      <w:r>
        <w:rPr>
          <w:rFonts w:ascii="Times New Roman" w:cs="Times New Roman" w:eastAsia="Times New Roman" w:hAnsi="Times New Roman"/>
          <w:sz w:val="18"/>
          <w:szCs w:val="18"/>
          <w:color w:val="auto"/>
        </w:rPr>
        <w:t>. We derive significant revenue from selling advertising on our networks, and have experienced in recent years, and expect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w:t>
      </w:r>
    </w:p>
    <w:p>
      <w:pPr>
        <w:spacing w:after="0" w:line="88"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of Digital Platforms</w:t>
      </w:r>
      <w:r>
        <w:rPr>
          <w:rFonts w:ascii="Times New Roman" w:cs="Times New Roman" w:eastAsia="Times New Roman" w:hAnsi="Times New Roman"/>
          <w:sz w:val="18"/>
          <w:szCs w:val="18"/>
          <w:color w:val="auto"/>
        </w:rPr>
        <w:t>. Our digital platforms generate revenue from selling advertising, providing services directly to consumers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w:t>
      </w:r>
    </w:p>
    <w:p>
      <w:pPr>
        <w:spacing w:after="0" w:line="84"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 for Programming</w:t>
      </w:r>
      <w:r>
        <w:rPr>
          <w:rFonts w:ascii="Times New Roman" w:cs="Times New Roman" w:eastAsia="Times New Roman" w:hAnsi="Times New Roman"/>
          <w:sz w:val="18"/>
          <w:szCs w:val="18"/>
          <w:color w:val="auto"/>
        </w:rPr>
        <w:t>. The market for programming has been, and we expect will continue to be, very competitive. In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Macroeconomic Conditions</w:t>
      </w:r>
      <w:r>
        <w:rPr>
          <w:rFonts w:ascii="Times New Roman" w:cs="Times New Roman" w:eastAsia="Times New Roman" w:hAnsi="Times New Roman"/>
          <w:sz w:val="18"/>
          <w:szCs w:val="18"/>
          <w:color w:val="auto"/>
        </w:rPr>
        <w:t>. A substantial portion of our revenue is impacted by consumer spending patterns,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Brand Value and Reputation</w:t>
      </w:r>
      <w:r>
        <w:rPr>
          <w:rFonts w:ascii="Times New Roman" w:cs="Times New Roman" w:eastAsia="Times New Roman" w:hAnsi="Times New Roman"/>
          <w:sz w:val="18"/>
          <w:szCs w:val="18"/>
          <w:color w:val="auto"/>
        </w:rPr>
        <w:t>. Our brand image, awareness and reputation strengthen our relationship with our audiences and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drivers of consumer and advertiser engagement. Following the Separation, we will need to establish the Versant brand, while elevated public scrutiny, geopolitical tensions and rapid consumer reaction have heightened reputational concerns.</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8"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As a result of the Separation and costs associated with running an independent, publicly traded company,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to incur expenditures that are higher than historical allocations that were allocated pro rata based on revenue, which may have an impact on our profitability and operating cash flows.</w:t>
      </w:r>
    </w:p>
    <w:p>
      <w:pPr>
        <w:spacing w:after="0" w:line="17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evaluate these and other factors as we develop and execute our strategies. For more information on the risk factors affecting our business, see “Risk Factors” in this information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 combined financial statements included elsewhere in this information statement,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GAAP and pursuant to the rules and regulations of the SEC.</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audited combined balance sheets were based on assessments as of</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320" w:top="455" w:right="5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5 to the unaudited condensed combined financial statements and Note 10 to the audited combined financial statements included elsewhere in this information statement).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necessarily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and included in the combined financial statements are considered related party transactions. See Note 5 to the unaudited condensed combined financial statements and Note 10 to the audited combined financial statements included elsewhere in this information statement.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left="25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left="2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8"/>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1,663</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1,713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5,078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5,339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960</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2,227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2,395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1,034</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1,499</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1,463</w:t>
            </w:r>
          </w:p>
        </w:tc>
        <w:tc>
          <w:tcPr>
            <w:tcW w:w="3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4,005</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4,008</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250</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1,073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1,331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loss, net</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1,331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184</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987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(11.1)%</w:t>
            </w:r>
          </w:p>
        </w:tc>
        <w:tc>
          <w:tcPr>
            <w:tcW w:w="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1,888</w:t>
            </w: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2,076</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20"/>
        </w:trPr>
        <w:tc>
          <w:tcPr>
            <w:tcW w:w="60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4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0"/>
                <w:szCs w:val="10"/>
                <w:color w:val="auto"/>
              </w:rPr>
            </w:pPr>
          </w:p>
        </w:tc>
        <w:tc>
          <w:tcPr>
            <w:tcW w:w="5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76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14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$7,062</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$7,445</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$7,834</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3,154</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3,161</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1,231</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1,271</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992</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2,410</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(11.0)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(61)</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(478)</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(591)</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(9.8)</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1,363</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1,539</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2,837</w:t>
            </w:r>
          </w:p>
        </w:tc>
        <w:tc>
          <w:tcPr>
            <w:tcW w:w="4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3,060</w:t>
            </w:r>
          </w:p>
        </w:tc>
        <w:tc>
          <w:tcPr>
            <w:tcW w:w="2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3,402</w:t>
            </w:r>
          </w:p>
        </w:tc>
        <w:tc>
          <w:tcPr>
            <w:tcW w:w="460" w:type="dxa"/>
            <w:vAlign w:val="bottom"/>
            <w:vMerge w:val="continue"/>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0"/>
        </w:trPr>
        <w:tc>
          <w:tcPr>
            <w:tcW w:w="56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gridSpan w:val="11"/>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 w:type="dxa"/>
            <w:vAlign w:val="bottom"/>
          </w:tcPr>
          <w:p>
            <w:pPr>
              <w:spacing w:after="0"/>
              <w:rPr>
                <w:sz w:val="13"/>
                <w:szCs w:val="1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9"/>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Borders>
              <w:top w:val="single" w:sz="8" w:color="auto"/>
            </w:tcBorders>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9"/>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992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4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8"/>
                <w:szCs w:val="18"/>
                <w:color w:val="auto"/>
              </w:rPr>
            </w:pPr>
          </w:p>
        </w:tc>
        <w:tc>
          <w:tcPr>
            <w:tcW w:w="70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16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1,663</w:t>
            </w:r>
          </w:p>
        </w:tc>
        <w:tc>
          <w:tcPr>
            <w:tcW w:w="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1,713</w:t>
            </w:r>
          </w:p>
        </w:tc>
        <w:tc>
          <w:tcPr>
            <w:tcW w:w="2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5,078</w:t>
            </w:r>
          </w:p>
        </w:tc>
        <w:tc>
          <w:tcPr>
            <w:tcW w:w="2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5,339</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242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7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0"/>
                <w:szCs w:val="10"/>
                <w:color w:val="auto"/>
              </w:rPr>
            </w:pPr>
          </w:p>
        </w:tc>
        <w:tc>
          <w:tcPr>
            <w:tcW w:w="1380" w:type="dxa"/>
            <w:vAlign w:val="bottom"/>
            <w:gridSpan w:val="5"/>
          </w:tcPr>
          <w:p>
            <w:pPr>
              <w:jc w:val="right"/>
              <w:ind w:right="49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20" w:type="dxa"/>
            <w:vAlign w:val="bottom"/>
          </w:tcPr>
          <w:p>
            <w:pPr>
              <w:spacing w:after="0"/>
              <w:rPr>
                <w:sz w:val="10"/>
                <w:szCs w:val="10"/>
                <w:color w:val="auto"/>
              </w:rPr>
            </w:pPr>
          </w:p>
        </w:tc>
        <w:tc>
          <w:tcPr>
            <w:tcW w:w="8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20" w:type="dxa"/>
            <w:vAlign w:val="bottom"/>
          </w:tcPr>
          <w:p>
            <w:pPr>
              <w:spacing w:after="0"/>
              <w:rPr>
                <w:sz w:val="15"/>
                <w:szCs w:val="15"/>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24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$4,325</w:t>
            </w:r>
          </w:p>
        </w:tc>
        <w:tc>
          <w:tcPr>
            <w:tcW w:w="40" w:type="dxa"/>
            <w:vAlign w:val="bottom"/>
          </w:tcPr>
          <w:p>
            <w:pPr>
              <w:spacing w:after="0"/>
              <w:rPr>
                <w:sz w:val="18"/>
                <w:szCs w:val="18"/>
                <w:color w:val="auto"/>
              </w:rPr>
            </w:pP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$4,632</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$4,802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2"/>
              </w:rPr>
              <w:t>(6.6)%</w:t>
            </w: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4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1,865</w:t>
            </w: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(7.2)</w:t>
            </w:r>
          </w:p>
        </w:tc>
        <w:tc>
          <w:tcPr>
            <w:tcW w:w="5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248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w w:val="95"/>
              </w:rPr>
              <w:t>         10.9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1940" w:type="dxa"/>
            <w:vAlign w:val="bottom"/>
            <w:gridSpan w:val="3"/>
            <w:shd w:val="clear" w:color="auto" w:fill="CCEEFF"/>
          </w:tcPr>
          <w:p>
            <w:pPr>
              <w:spacing w:after="0"/>
              <w:rPr>
                <w:sz w:val="18"/>
                <w:szCs w:val="18"/>
                <w:color w:val="auto"/>
              </w:rPr>
            </w:pPr>
          </w:p>
        </w:tc>
        <w:tc>
          <w:tcPr>
            <w:tcW w:w="5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(1.0)</w:t>
            </w:r>
          </w:p>
        </w:tc>
        <w:tc>
          <w:tcPr>
            <w:tcW w:w="5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9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7,062</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7,445</w:t>
            </w:r>
          </w:p>
        </w:tc>
        <w:tc>
          <w:tcPr>
            <w:tcW w:w="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7,834</w:t>
            </w:r>
          </w:p>
        </w:tc>
        <w:tc>
          <w:tcPr>
            <w:tcW w:w="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5"/>
              </w:rPr>
              <w:t>(5.1)%</w:t>
            </w:r>
          </w:p>
        </w:tc>
        <w:tc>
          <w:tcPr>
            <w:tcW w:w="20" w:type="dxa"/>
            <w:vAlign w:val="bottom"/>
            <w:vMerge w:val="continue"/>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Linear distribution revenue </w:t>
      </w:r>
      <w:r>
        <w:rPr>
          <w:rFonts w:ascii="Times New Roman" w:cs="Times New Roman" w:eastAsia="Times New Roman" w:hAnsi="Times New Roman"/>
          <w:sz w:val="18"/>
          <w:szCs w:val="18"/>
          <w:color w:val="auto"/>
        </w:rPr>
        <w:t>primarily consists of revenue generated from the distribution of our television networks to traditional MVPDs,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Linear distribution revenue continued to decrease for the three and nine months ended September 30, 2025 due to declines in the number of subscribers of 8% for both periods, partially offset by contractual rate increases.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Linear distribution revenue decreased in 2024 and 2023 due to declines in the number of subscribers of 8% for both periods, partially offset by contractual rate increases. We expect to experience continued declines in the number of subscribers and linear distribution revenue, as further discussed in “—Key Factors Affecting Our Business.”</w:t>
      </w:r>
    </w:p>
    <w:p>
      <w:pPr>
        <w:spacing w:after="0" w:line="172"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revenue </w:t>
      </w:r>
      <w:r>
        <w:rPr>
          <w:rFonts w:ascii="Times New Roman" w:cs="Times New Roman" w:eastAsia="Times New Roman" w:hAnsi="Times New Roman"/>
          <w:sz w:val="18"/>
          <w:szCs w:val="18"/>
          <w:color w:val="auto"/>
        </w:rPr>
        <w:t>consists of revenue generated from sales of advertising on our networks and digital platforms. The price charged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Advertising revenue was consistent for the three months ended September 30, 2025. Our advertising revenues for the three and nine months ended September 30, 2024 do not include any advertising revenues attributable to NBCUniversal’s broadcasts of Paris Olympic Games, which we estimate resulted in lower advertising revenues of approximately $20 million for such respective periods. As a result, consistent advertising revenues for the three months ended September 30, 2025 reflect decreases at our networks as a result of ratings declines of 20% effectively being offset by lower revenues in the prior period as a result of the Paris Olympic</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Games, as well as increases in advertising revenues on our digital platforms. Without the impact of the Paris Olympic Games, advertising revenue for the three months ended September 30, 2025 would have been lower than the prior period. Advertising revenue decreased for the nine months ended September 30, 2025 primarily due to decreases at our networks as a result of ratings declines of 19%. Ratings in 2025 continued to be negatively impacted by trends in linear advertising, and experienced further declines following the presidential inauguration.</w:t>
      </w:r>
    </w:p>
    <w:p>
      <w:pPr>
        <w:spacing w:after="0" w:line="180"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Advertising revenue decreased in 2024 and 2023 primarily due to decreases at our networks as a result of ratings declines of 8% and 5%, respectively. In 2023, advertising revenue was also impacted by negative market conditions compared to 2022, which included advertisers’ shifts in spending from linear to digital advertising.</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expect to experience continued ratings declines at our networks and continued shifts toward digital advertising in future periods, and these trends are further discussed in “—Key Factors Affecting Our Business.”</w:t>
      </w:r>
    </w:p>
    <w:p>
      <w:pPr>
        <w:spacing w:after="0" w:line="158"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Platforms revenue </w:t>
      </w:r>
      <w:r>
        <w:rPr>
          <w:rFonts w:ascii="Times New Roman" w:cs="Times New Roman" w:eastAsia="Times New Roman" w:hAnsi="Times New Roman"/>
          <w:sz w:val="18"/>
          <w:szCs w:val="18"/>
          <w:color w:val="auto"/>
        </w:rPr>
        <w:t>primarily consists of revenue generated from services provided through our digital platforms. The GolfNow, Fandango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Platforms revenue increased for the three and nine months ended September 30, 2025 primarily due to increased transactional volumes, primarily related to services provided to golf courses, including an increased number of courses using our on-site payment facilitation services. The increase for the three months ended September 30, 2025 was partially offset by decreases in revenue related to video-on-demand transactions and movie ticket purchases through our platform resulting from underlying box office performance.</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Platforms revenue increased in 2024 and 2023 primarily due to increased transactional volumes, primarily related to services provided to golf courses, including an increased number of courses using our on-site payment facilitation services.</w:t>
      </w:r>
    </w:p>
    <w:p>
      <w:pPr>
        <w:spacing w:after="0" w:line="158" w:lineRule="exact"/>
        <w:rPr>
          <w:sz w:val="20"/>
          <w:szCs w:val="20"/>
          <w:color w:val="auto"/>
        </w:rPr>
      </w:pPr>
    </w:p>
    <w:p>
      <w:pPr>
        <w:ind w:left="120" w:right="5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Content licensing and other revenue </w:t>
      </w:r>
      <w:r>
        <w:rPr>
          <w:rFonts w:ascii="Times New Roman" w:cs="Times New Roman" w:eastAsia="Times New Roman" w:hAnsi="Times New Roman"/>
          <w:sz w:val="18"/>
          <w:szCs w:val="18"/>
          <w:color w:val="auto"/>
        </w:rPr>
        <w:t>consists of revenue generated from licensing our owned content to third parties, including television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streaming services and other platforms, licensing audio feeds of our programming and original podcasts to digital platforms and other products and services.</w:t>
      </w:r>
    </w:p>
    <w:p>
      <w:pPr>
        <w:spacing w:after="0" w:line="17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Content licensing and other revenue decreased for the three and nine months ended September 30, 2025 primarily due to timing of content licensing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vMerge w:val="continue"/>
          </w:tcPr>
          <w:p>
            <w:pPr>
              <w:spacing w:after="0"/>
              <w:rPr>
                <w:sz w:val="15"/>
                <w:szCs w:val="15"/>
                <w:color w:val="auto"/>
              </w:rPr>
            </w:pPr>
          </w:p>
        </w:tc>
        <w:tc>
          <w:tcPr>
            <w:tcW w:w="16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8"/>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839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2"/>
              </w:rPr>
              <w:t>$ 1,864</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$ 2,056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129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873</w:t>
            </w: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960</w:t>
            </w:r>
          </w:p>
        </w:tc>
        <w:tc>
          <w:tcPr>
            <w:tcW w:w="260" w:type="dxa"/>
            <w:vAlign w:val="bottom"/>
            <w:vMerge w:val="continue"/>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$ 2,227</w:t>
            </w:r>
          </w:p>
        </w:tc>
        <w:tc>
          <w:tcPr>
            <w:tcW w:w="26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$ 2,395</w:t>
            </w:r>
          </w:p>
        </w:tc>
        <w:tc>
          <w:tcPr>
            <w:tcW w:w="26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0"/>
                <w:szCs w:val="10"/>
                <w:color w:val="auto"/>
              </w:rPr>
            </w:pPr>
          </w:p>
        </w:tc>
        <w:tc>
          <w:tcPr>
            <w:tcW w:w="140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gridSpan w:val="7"/>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$2,606</w:t>
            </w:r>
          </w:p>
        </w:tc>
        <w:tc>
          <w:tcPr>
            <w:tcW w:w="3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$2,724</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$2,749</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412</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6.5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3,064</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3,154</w:t>
            </w:r>
          </w:p>
        </w:tc>
        <w:tc>
          <w:tcPr>
            <w:tcW w:w="1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3,161</w:t>
            </w:r>
          </w:p>
        </w:tc>
        <w:tc>
          <w:tcPr>
            <w:tcW w:w="340" w:type="dxa"/>
            <w:vAlign w:val="bottom"/>
            <w:vMerge w:val="continue"/>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Programming and production costs </w:t>
      </w:r>
      <w:r>
        <w:rPr>
          <w:rFonts w:ascii="Times New Roman" w:cs="Times New Roman" w:eastAsia="Times New Roman" w:hAnsi="Times New Roman"/>
          <w:sz w:val="18"/>
          <w:szCs w:val="18"/>
          <w:color w:val="auto"/>
        </w:rPr>
        <w:t>primarily consist of the amortization of licensed and owned content, including sports rights,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costs, production overhead and on-air talent costs.</w:t>
      </w:r>
    </w:p>
    <w:p>
      <w:pPr>
        <w:spacing w:after="0" w:line="15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Programming and production costs decreased for the three and nine months ended September 30, 2025 primarily due to lower costs associated with sports programming resulting from a reduced number of NASCAR events in the period pursuant to the terms of the current rights agreement commencing with the 2025 season, as well as the timing of other events.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Programming and production costs decreased in 2024 primarily due to a production tax incentive recognized in 2024 and resulting in a benefit of $58 million (see Note 4 to the audited combined financial statements) as well as lower costs associated with sports programming driven by timing of events and lower costs associated with entertainment content. Programming and production costs were generally consistent in 2023 compared to the prior year period. Programming and production costs are our most significant costs of revenue and are further discussed in “—Key Factors Affecting Our Business” above.</w:t>
      </w:r>
    </w:p>
    <w:p>
      <w:pPr>
        <w:spacing w:after="0" w:line="179"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costs of revenue </w:t>
      </w:r>
      <w:r>
        <w:rPr>
          <w:rFonts w:ascii="Times New Roman" w:cs="Times New Roman" w:eastAsia="Times New Roman" w:hAnsi="Times New Roman"/>
          <w:sz w:val="18"/>
          <w:szCs w:val="18"/>
          <w:color w:val="auto"/>
        </w:rPr>
        <w:t>primarily include direct costs associated with transactions supported by our platforms, such as fees for data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available to consumers and payment processing fees, and other platform and customer support costs.</w:t>
      </w:r>
    </w:p>
    <w:p>
      <w:pPr>
        <w:spacing w:after="0" w:line="15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Other costs of revenue increased for the three and nine months ended September 30, 2025 primarily due to higher transactional volumes related to our digital platforms.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costs of revenue increased in 2024 and 2023 primarily due to higher transactional volumes related to our digital platforms.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salaries, employee benefits, rent and other overhead expenses, including allocations of costs from Comcast related to shared functions and infrastructure.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nine months ended September 30, 2025 primarily due to transaction and transaction-related costs associated with the Separation, which totaled $27 million and $71 million for the three and nine months ended September 30, 2025, respectively, as well a continued increase in overall costs as we continue to build out functions in preparation for becoming a standalone entity and partially reflecting lower allocated costs in the prior year period due to the inclusion of the incremental revenues generated by NBCUniversal’s broadcast of the Paris Olympics in the cost allocation methodology.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in 2024 and 2023 primarily due to a decrease in allocated costs from Comcast. As discussed in “—Key Factors Affecting Our Business,” Note 5 to the unaudited condensed combined financial statements and Note 10 to the audited combined financial statements, these costs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were generally allocated on a pro rata basis using a measure based on revenue applied to the relevant pool of costs and may not be representative of our operating costs as a standalone company following the Separation.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includes amortization of certain acquisition-related intangible assets, which primarily relate to our television networks, as well as depreciation of property and equipment.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for the three months ended September 30, 2025 due to an acceleration of amortization of the MSNBC trade name as a result of the rebranding of the network. Depreciation and amortization expense remained consistent for the nine months ended September 30, 2025, as well as in 2024 and 2023. See Note 7 to the audited combined financial statements for additional information on our intangible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Investment and other income (loss), net for the three and nine months ended September 30, 2025 and for the year ended December 31, 2022 resulted primarily from impairment losses related to nonmarketable equity securities. See Note 5 to the audited combined financial statements and Note 6 to the unaudited condensed combined financial statements for additional information on our investments.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36.2% for the three months ended September 30, 2025, 27.4% for the nine months ended September 30, 2025 and 25.9% for both the three and nine months ended September 30, 2024. Our effective income tax rate was 25.9%, 25.6% and 25.2% in 2024, 2023 and 2022, respectively.</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decreases in income tax expense for the three and nine months ended September 30, 2025, and the years ended December 31, 2024 and 2023 were primarily due to decreases in income before income taxes.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See Note 6 to the unaudited condensed combined financial statements and Note 8 to the audited combined financial statements for additional information on our income taxes.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intangible assets recognized in business combinations. It is also unaffected by our capital and tax structures, and by our investment activities, as our management excludes these results when evaluating our operating performance. Our management uses this financial measure to evaluate our operating performance.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that affect the period-to-period comparability of our operating performance.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from Net Income Attributable to Versant to Adjusted EBITDA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62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8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80"/>
              </w:rPr>
              <w:t>2024 </w:t>
            </w:r>
          </w:p>
        </w:tc>
        <w:tc>
          <w:tcPr>
            <w:tcW w:w="10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98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987</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loss, net</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5"/>
                <w:szCs w:val="25"/>
                <w:color w:val="auto"/>
                <w:vertAlign w:val="superscript"/>
              </w:rPr>
              <w:t>(a)</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1,888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2,076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140" w:hanging="424"/>
        <w:spacing w:after="0" w:line="258"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2024 </w:t>
            </w: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88"/>
              </w:rPr>
              <w:t>39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 xml:space="preserve"> </w:t>
            </w: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71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1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$1,363</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$1,539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1,764</w:t>
            </w:r>
          </w:p>
        </w:tc>
        <w:tc>
          <w:tcPr>
            <w:tcW w:w="6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c>
          <w:tcPr>
            <w:tcW w:w="6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4"/>
          </w:tcPr>
          <w:p>
            <w:pPr>
              <w:jc w:val="right"/>
              <w:ind w:right="19"/>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w:t>
            </w:r>
          </w:p>
        </w:tc>
        <w:tc>
          <w:tcPr>
            <w:tcW w:w="6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2,837</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3,402</w:t>
            </w:r>
          </w:p>
        </w:tc>
        <w:tc>
          <w:tcPr>
            <w:tcW w:w="6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420" w:hanging="424"/>
        <w:spacing w:after="0" w:line="282"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which are related to certain transaction costs associated with the Separation in 2024. See Note 2 to the audited combined financial statements.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1,546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8"/>
              </w:rPr>
              <w:t>(1,413)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(1,553)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95"/>
              </w:rPr>
              <w:t>(2,155)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8"/>
              </w:rPr>
              <w:t>(2,355)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(2,486)</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5900" w:type="dxa"/>
            <w:vAlign w:val="bottom"/>
          </w:tcPr>
          <w:p>
            <w:pPr>
              <w:spacing w:after="0"/>
              <w:rPr>
                <w:sz w:val="10"/>
                <w:szCs w:val="10"/>
                <w:color w:val="auto"/>
              </w:rPr>
            </w:pPr>
          </w:p>
        </w:tc>
        <w:tc>
          <w:tcPr>
            <w:tcW w:w="1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gridSpan w:val="2"/>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r>
      <w:tr>
        <w:trPr>
          <w:trHeight w:val="173"/>
        </w:trPr>
        <w:tc>
          <w:tcPr>
            <w:tcW w:w="5900" w:type="dxa"/>
            <w:vAlign w:val="bottom"/>
          </w:tcPr>
          <w:p>
            <w:pPr>
              <w:spacing w:after="0"/>
              <w:rPr>
                <w:sz w:val="15"/>
                <w:szCs w:val="15"/>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r>
      <w:tr>
        <w:trPr>
          <w:trHeight w:val="142"/>
        </w:trPr>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left="34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           56</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      23</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      11</w:t>
            </w:r>
          </w:p>
        </w:tc>
      </w:tr>
    </w:tbl>
    <w:p>
      <w:pPr>
        <w:spacing w:after="0" w:line="19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operating activities. However, we have operated within Comcast’s cash management structure, which uses a centralized approach to cash management and financing of our operations. This arrangement is not reflective of the manner in which we would have financed our operations had we been an independent, publicly traded company during the periods presented.</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Following the Separation, our capital structure and sources of liquidity will change from the historical capital structure because we will no longer participate in Comcast’s centralized cash management program. Our ability to fund our operating needs will depend on our future ability to continue to generate positive cash flow from operations, and on our ability to obtain debt financing on acceptable terms. Management believes that our cash balances and funds provided by operating activities, along with expected borrowing capacity and access to capital markets, taken as a whole, will provide adequate liquidity to meet all of our current and long-term obligations when due, including third-party debt that we expect to incur in connection with the Separation, adequate liquidity to fund capital expenditures, and flexibility to fund investment opportunities that may arise. However, there can be no assurances that we will be able to obtain debt or equity financing on acceptable terms in the future.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October 3, 2025, we entered into the TLA/Revolver Credit Agreement with respect to the Term A Loan Facility and the Revolving Credit Facility (which is expected to be undrawn at the time of the Separation). On October 29, 2025, we entered into the Indenture pursuant to which we issued the Notes. We also intend to enter into the Term B Loan Facility in connection with the Separation, which together with the Term A Loan Facility and the Notes will constitute approximately $3 billion of debt. See “Description of Material Indebtedness” for a description of the Term Loan Facilities, the Revolving Facility and the Notes and “Unaudited Pro Forma Combined Financial Statements—Notes to Pro Forma Financial Statements— Transaction Accounting Adjustments” for more information. The debt may also restrict our business and may adversely impact our financial condition, results of operations or cash flows. In addition, the Separation may increase the overall cost of debt funding and decrease the overall debt capacity and commercial credit available to us.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across our business, whether through organic or inorganic growth strategies, as well as to repay our indebtedness over time.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for the nine months ended September 30, 2025 primarily due to a decline in net income caused by decreasing revenue and an increase in net loss on investment activity as described above, partially offset by an increase from changes in operating assets and liabilities. The increase resulting from changes in operating assets and liabilities was primarily due to decreases in other operating assets and liabilities related to timing of payments on content obligations. Operating assets and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liabilities in our combined statements of cash flows generally fluctuate based on the timing of amortization and related payments for our content costs and the timing of collections of receivables.</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in 2024 and 2023, primarily due to a decline in net income caused by decreasing revenue as described above. In 2023, net cash provided by operating activities was also negatively impacted by a decrease in net loss on investment activity. The decrease resulting from changes in operating assets and liabilities in 2024 was primarily due to a decrease in content costs, net, partially offset by an increase in current and noncurrent receivables, net. The increase resulting from changes in operating assets and liabilities in 2023 was primarily due to increases in content costs, net and current and noncurrent receivables, net, partially offset by a decrease in other operating assets and liabilities.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described in Notes 1 and 5 to the unaudited condensed combined financial statements, Notes 1 and 10 to the audited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primarily relates to capital expenditures, which increased for the nine months ended September 30, 2025 as a result of transaction-related capital spending for facilities and IT systems, and were consistent for the years ended December 31, 2024, 2023 and 2022, partially offset by receivables settled in connection with the centralized cash management programs with Comcast. Other investing activities included net receipts from and payments to Comcast pursuant to loans associated with its centralized cash management programs. See Note 5 to our unaudited condensed combined financial statements and Note 10 to our audited combined financial statements for additional information on these related party loans.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2025 decreased primarily due to changes in net parent investment, which primarily resulted from increased cash generated from operating activities and swept to Comcast during the periods, partially offset by increased capital expenditures funded through Comcast’s centralized cash management program.</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reduction in cash used in financing activities in 2024 and 2023 was primarily due to changes in net parent investment, which primarily resulted from lower cash generated from operating activities and swept to Comcast during the periods. See Note 2 to our audited combined financial statements for additional information on net parent investment.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as of December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60" w:type="dxa"/>
            <w:vAlign w:val="bottom"/>
          </w:tcPr>
          <w:p>
            <w:pPr>
              <w:spacing w:after="0"/>
              <w:rPr>
                <w:sz w:val="15"/>
                <w:szCs w:val="15"/>
                <w:color w:val="auto"/>
              </w:rPr>
            </w:pPr>
          </w:p>
        </w:tc>
        <w:tc>
          <w:tcPr>
            <w:tcW w:w="20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89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Within</w:t>
            </w:r>
          </w:p>
        </w:tc>
        <w:tc>
          <w:tcPr>
            <w:tcW w:w="56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Beyond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6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the next</w:t>
            </w:r>
          </w:p>
        </w:tc>
        <w:tc>
          <w:tcPr>
            <w:tcW w:w="0" w:type="dxa"/>
            <w:vAlign w:val="bottom"/>
          </w:tcPr>
          <w:p>
            <w:pPr>
              <w:spacing w:after="0"/>
              <w:rPr>
                <w:sz w:val="1"/>
                <w:szCs w:val="1"/>
                <w:color w:val="auto"/>
              </w:rPr>
            </w:pPr>
          </w:p>
        </w:tc>
      </w:tr>
      <w:tr>
        <w:trPr>
          <w:trHeight w:val="148"/>
        </w:trPr>
        <w:tc>
          <w:tcPr>
            <w:tcW w:w="89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next 12</w:t>
            </w:r>
          </w:p>
        </w:tc>
        <w:tc>
          <w:tcPr>
            <w:tcW w:w="560" w:type="dxa"/>
            <w:vAlign w:val="bottom"/>
          </w:tcPr>
          <w:p>
            <w:pPr>
              <w:jc w:val="right"/>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9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months</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2"/>
        </w:trPr>
        <w:tc>
          <w:tcPr>
            <w:tcW w:w="8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 obligations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705</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largest contractual obligations are associated with our programming and production expenses. We have multiyear agreements for broadcast rights of sporting events, which represent the majority of our programming and production obligations. As of December 31, 2024, all cash payments related to our programming and production obligations are due within five years.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programming and production costs include significant amounts related to content contracts shared with Comcast. These contracts, which primarily related to multiyear sports rights agreements, are not included in the amounts presented above as we were not the primary obligor under the contract. As a result, following the Separation we expect to have significant additional contractual obligations including approximately $4.2 billion of additional obligations related to multiyear sports agreements, 19% of which is expected to be due within the 12-month period following the Separation. See Note 4 and Note 10 to our audited combined financial statements for additional information on programming and production costs and related party transactions, respectively.</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will also have obligations under the Debt Financing Transactions described above and we expect to enter into a long-term lease for our headquarters in New York 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Debt Financing Transactions, our aggregate new debt will constitute approximately $3.0 billion, whereby a portion of which the interest rate will consist of a benchmark rate plus a borrowing margin based on the Term SOFR Rate.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combined financial statements.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discussed in Note 2 to the unaudited condensed combined financial statements and Note 3 to the audited combined financial statements, a significant portion of our accounts receivable balances relate to our linear distribution agreements with large multichannel video providers. These receivables have short term maturities and we actively monitor the creditworthiness of our counterparties. Although we may be exposed to losses in the event of nonperformance by counterparties, we do not expect such losses, if any, to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our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and the accounting for content costs are critical in the preparation of our combined financial statements.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Testing of Goodwill</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results from business combinations and represents the excess amount of the consideration paid over the identifiable assets and liabilities recorded in the acquisition. Because Versant’s businesses were operated as a part of Comcast’s Media segment, our combined balance sheets include an allocated amount of goodwill from Comcast’s Media segment, which was determined using a relative fair value analysis as of July 1, 2024. This relative fair value analysis resulted in the allocation of approximately 40% of Comcast’s Media segment goodwill to Versant.</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Impairment analysis was performed at the Comcast level as of July 1, 2024 and in prior periods. Based on Comcast’s 2024 assessment, the estimated fair value of the Media reporting unit, and therefore the estimated fair value of the Versant reporting unit, substantially exceeded its carrying value and no impairment was required.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periods after the initial allocation, we will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In connection with our impairment assessment process, from time to time, we may perform quantitative assessments in order to support our qualitative assessments.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Versant’s change in chief operating decision maker in 2025 (see Note 1 to our unaudited condensed combined financial statements), we reassessed our reporting units. We performed a quantitative assessment in connection with this change and with our annual impairment assessment as of July 1, 2025 and concluded that the estimated fair value of the Versant reporting units substantially exceeded their carrying value and no impairment was required.</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a reporting unit primarily based on a discounted cash flow analysis using Level 3 inputs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180"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Changes in market conditions, laws and regulations and key assumptions made in future quantitative assessments, such as expected cash flows, competitive factors, discount rates and value indications from market transactions, including the market price of our Class A common stock following the Separation, could negatively impact the results of future impairment testing and could result in the recognition of an impairment charge.</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Costs</w:t>
      </w:r>
    </w:p>
    <w:p>
      <w:pPr>
        <w:spacing w:after="0" w:line="121" w:lineRule="exact"/>
        <w:rPr>
          <w:sz w:val="20"/>
          <w:szCs w:val="20"/>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content costs were not material in any of the periods presented.</w:t>
      </w:r>
    </w:p>
    <w:p>
      <w:pPr>
        <w:spacing w:after="0" w:line="183"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 NOW (formerly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Versant will be headquartered in New York City. Prior to the Separation, we have operated as a part of Comcast’s Media Segment within its Content &amp; Experiences business. Following the completion of the Separation, Versant will be an independent, publicly traded company led by a highly experienced management team dedicated to driving value through our leading asset portfolio. Comcast will provide transition services to us for certain functions, which are expected to be temporary in nature, and we will enter into certain other commercial agreements with Comcast. See “The Separation —Agreements with Comcast” for additional information regarding these agreements.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Our strong portfolio of brands delivers compelling news, sports and entertainment content that we distribute through our networks and digital platforms. Our networks were collectively watched by an average audience of over 60 million unique viewers each week in 2024, with MS NOW (formerly MSNBC) and USA Network representing two of the eight most watched cable networks domestically in 2024 and many of our other networks also being leaders in their respective categories. Our digital platforms offer complementary news, sports and entertainment offerings to consumers online. Through our scale and compelling news, sports and entertainment offerings, we believe our brands offer significant value for our stakeholders.</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My Source News Opinion World (MS NOW) (formerly MSNBC)</w:t>
      </w:r>
    </w:p>
    <w:p>
      <w:pPr>
        <w:spacing w:after="0" w:line="135" w:lineRule="exact"/>
        <w:rPr>
          <w:sz w:val="20"/>
          <w:szCs w:val="20"/>
          <w:color w:val="auto"/>
        </w:rPr>
      </w:pPr>
    </w:p>
    <w:p>
      <w:pPr>
        <w:ind w:left="1080" w:right="40" w:hanging="424"/>
        <w:spacing w:after="0" w:line="258"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(formerly MSNBC) is a premier destination for politics, news and opinion through informed, distinct perspectives and analysis. MS NOW operates across multiple media platforms: MVPDs, digital, social platforms, podcasts and live events. With highly loyal and engaged audiences representing over 14 million viewers weekly in 2024 according to Nielsen, MS NOW is home to many of the country’s most influential political news programs that shape daily public discourse. In August 2025, we announced the rebranding of MSNBC as MS NOW. This gives us the opportunity to create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distinct brand that underscores our mission to serve as the destination for domestic and international breaking news and best-in-class opinion journalism. The rebranding became effective in November 2025. We have discontinued use of the MSNBC brand and now use MS NOW for the network and all related platforms and products.</w:t>
      </w:r>
    </w:p>
    <w:p>
      <w:pPr>
        <w:spacing w:after="0" w:line="81" w:lineRule="exact"/>
        <w:rPr>
          <w:sz w:val="20"/>
          <w:szCs w:val="20"/>
          <w:color w:val="auto"/>
        </w:rPr>
      </w:pPr>
    </w:p>
    <w:p>
      <w:pPr>
        <w:ind w:left="1080" w:right="12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(formerly MSNBC) saw one of its largest audiences on record in 2024, finishing the year as the number two network across all cable television networks according to Nielsen for the seventh consecutive year. For 2022-2024, MS NOW (formerly MSNBC) was the only top-20 cable network with two consecutive years of audience gains.</w:t>
      </w:r>
    </w:p>
    <w:p>
      <w:pPr>
        <w:spacing w:after="0" w:line="81"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(formerly MSNBC) has rapidly grown its digital audience in recent years, including through MSNBC.com and the MSNBC mobile app, averaging 30 million monthly unique visitors in 2024. MSNBC.com and the MSNBC mobile app have been discontinued in connection with the rebranding of MSNBC, and we began using www.ms.now and the MS NOW mobile app for the network. Additionally, in 2024, MSNBC (since rebranded to MS NOW) was the number one news brand across all of YouTube and the number one cable news brand on TikTok. MS NOW (formerly MSNBC) generated nearly 160 million total downloads across its audio portfolio.</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CNBC</w:t>
      </w:r>
    </w:p>
    <w:p>
      <w:pPr>
        <w:spacing w:after="0" w:line="135" w:lineRule="exact"/>
        <w:rPr>
          <w:sz w:val="20"/>
          <w:szCs w:val="20"/>
          <w:color w:val="auto"/>
        </w:rPr>
      </w:pPr>
    </w:p>
    <w:p>
      <w:pPr>
        <w:ind w:left="1080" w:right="120" w:hanging="424"/>
        <w:spacing w:after="0" w:line="261"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seeks to engage and serve its core, hard-to-reach audiences of investors, C-suite executives, policy makers, entrepreneurs, small and medium-sized businesses and the financially aspirational across various platforms, including MVPDs, online, social platforms, podcasts, audio, radio and events. CNBC reaches more affluent Americans than any other business news platform and its leading financial market coverage and analysis make it the network of choice at many corporate and business offices.</w:t>
      </w:r>
    </w:p>
    <w:p>
      <w:pPr>
        <w:spacing w:after="0" w:line="85" w:lineRule="exact"/>
        <w:rPr>
          <w:rFonts w:ascii="Times New Roman" w:cs="Times New Roman" w:eastAsia="Times New Roman" w:hAnsi="Times New Roman"/>
          <w:sz w:val="18"/>
          <w:szCs w:val="18"/>
          <w:color w:val="auto"/>
        </w:rPr>
      </w:pPr>
    </w:p>
    <w:p>
      <w:pPr>
        <w:ind w:left="1080" w:hanging="424"/>
        <w:spacing w:after="0" w:line="277"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has expanded its audience through branded products, including direct-to-consumer streaming services, investing club, podcasts, conferences and other live events. CNBC.com has the number one business news website based on total minutes of audience usage for four consecutive years, according to comScore.</w:t>
      </w:r>
      <w:r>
        <w:rPr>
          <w:rFonts w:ascii="Times New Roman" w:cs="Times New Roman" w:eastAsia="Times New Roman" w:hAnsi="Times New Roman"/>
          <w:sz w:val="26"/>
          <w:szCs w:val="26"/>
          <w:color w:val="auto"/>
          <w:vertAlign w:val="superscript"/>
        </w:rPr>
        <w:t>2</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 Network</w:t>
      </w:r>
    </w:p>
    <w:p>
      <w:pPr>
        <w:spacing w:after="0" w:line="135" w:lineRule="exact"/>
        <w:rPr>
          <w:sz w:val="20"/>
          <w:szCs w:val="20"/>
          <w:color w:val="auto"/>
        </w:rPr>
      </w:pPr>
    </w:p>
    <w:p>
      <w:pPr>
        <w:ind w:left="1080" w:right="120" w:hanging="424"/>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The Open Championship and the Ryder Cup, the Premier League, college basketball and the Olympics.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has been a top-five cable entertainment network each year for the past 30 years. USA Network ended 2024 as the number eight network across all cable television networks according to Nielsen.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home to popular and acclaimed acquired series, including Law &amp; Order: Special Victims Unit, Chicago Fire, Chicago P.D. and 9-1-1, as well as blockbuster theatrical films and originals, including The Rainmaker and Resident Alien.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340" w:right="220" w:hanging="224"/>
        <w:spacing w:after="0" w:line="209" w:lineRule="auto"/>
        <w:tabs>
          <w:tab w:leader="none" w:pos="340" w:val="left"/>
        </w:tabs>
        <w:numPr>
          <w:ilvl w:val="0"/>
          <w:numId w:val="1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Source: Comscore Media Metrix Multi-Platform, January 2021—December 2024, Desktop &amp; Mobile excluding Social Incremental, Total Minutes, Desktop 2+ and Total Mobile 13+, News/Information—Business/Finance News Category showing domains only</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Network’s extensive content library consists of a wide variety of on-demand films and television shows that are generally licensed under long-term contracts with major studios.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 Channel</w:t>
      </w:r>
    </w:p>
    <w:p>
      <w:pPr>
        <w:spacing w:after="0" w:line="135" w:lineRule="exact"/>
        <w:rPr>
          <w:sz w:val="20"/>
          <w:szCs w:val="20"/>
          <w:color w:val="auto"/>
        </w:rPr>
      </w:pPr>
    </w:p>
    <w:p>
      <w:pPr>
        <w:ind w:left="1080" w:right="1000" w:hanging="424"/>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13"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celebrated its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in 2025, making it the longest-running single-sport television network. Golf Channel airs more live golf than all other U.S. television networks combined, including the PGA Tour, LPGA Tour and DP World Tour.</w:t>
      </w:r>
    </w:p>
    <w:p>
      <w:pPr>
        <w:spacing w:after="0" w:line="104"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Nielsen, Golf Channel’s leading portfolio of men’s and women’s professional, amateur and international golf generated 500 million of total viewing hours in 2024 with the most affluent audience of any cable network.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GolfNow</w:t>
      </w:r>
    </w:p>
    <w:p>
      <w:pPr>
        <w:spacing w:after="0" w:line="135" w:lineRule="exact"/>
        <w:rPr>
          <w:sz w:val="20"/>
          <w:szCs w:val="20"/>
          <w:color w:val="auto"/>
        </w:rPr>
      </w:pPr>
    </w:p>
    <w:p>
      <w:pPr>
        <w:ind w:left="1080" w:right="40" w:hanging="424"/>
        <w:spacing w:after="0" w:line="266"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offers a subscription service, GolfPass, which provides unique and engaging content for all levels of golfers, with curated content from swing instruction to exclusive behind the scenes footage for the newly launched TGL golf league.</w:t>
      </w:r>
    </w:p>
    <w:p>
      <w:pPr>
        <w:spacing w:after="0" w:line="67" w:lineRule="exact"/>
        <w:rPr>
          <w:rFonts w:ascii="Times New Roman" w:cs="Times New Roman" w:eastAsia="Times New Roman" w:hAnsi="Times New Roman"/>
          <w:sz w:val="18"/>
          <w:szCs w:val="18"/>
          <w:color w:val="auto"/>
        </w:rPr>
      </w:pPr>
    </w:p>
    <w:p>
      <w:pPr>
        <w:ind w:left="1080" w:right="620" w:hanging="424"/>
        <w:spacing w:after="0" w:line="312" w:lineRule="auto"/>
        <w:tabs>
          <w:tab w:leader="none" w:pos="10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operates in the United States and major international markets, including the U.K., Ireland, Canada, France and Germany. GolfNow is dedicated to making golf accessible to everyone and helping golfers everywhere create their perfect golf experience.</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SportsEngine</w:t>
      </w:r>
    </w:p>
    <w:p>
      <w:pPr>
        <w:spacing w:after="0" w:line="135" w:lineRule="exact"/>
        <w:rPr>
          <w:sz w:val="20"/>
          <w:szCs w:val="20"/>
          <w:color w:val="auto"/>
        </w:rPr>
      </w:pPr>
    </w:p>
    <w:p>
      <w:pPr>
        <w:ind w:left="1080" w:right="280" w:hanging="424"/>
        <w:spacing w:after="0" w:line="261"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has expanded into youth sports subscription video streaming, providing off-location access to youth sports competition, and also offers and facilitates background screenings for coaches and volunteers.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platforms have millions of touchpoints with parents and families each year and those users are also consumers of its diverse portfolio of sports, entertainment and news products.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w:t>
      </w:r>
    </w:p>
    <w:p>
      <w:pPr>
        <w:spacing w:after="0" w:line="135" w:lineRule="exact"/>
        <w:rPr>
          <w:sz w:val="20"/>
          <w:szCs w:val="20"/>
          <w:color w:val="auto"/>
        </w:rPr>
      </w:pPr>
    </w:p>
    <w:p>
      <w:pPr>
        <w:ind w:left="1080" w:right="42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history of multiplatform digital and social content expertise, E! News Digital delivers audience, scale and premium content to fans across owned and third-party digital and social platforms. In 2024, E! News Digital generated 11 billion video views across all digital platforms, with substantial millennial and Gen Z audiences.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News Digital’s in-house original production studio and 24/7 news team create engaging news content and easy-to-watch, shareable programming that continues to generate conversation and community.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SYFY</w:t>
      </w:r>
    </w:p>
    <w:p>
      <w:pPr>
        <w:spacing w:after="0" w:line="135" w:lineRule="exact"/>
        <w:rPr>
          <w:sz w:val="20"/>
          <w:szCs w:val="20"/>
          <w:color w:val="auto"/>
        </w:rPr>
      </w:pPr>
    </w:p>
    <w:p>
      <w:pPr>
        <w:ind w:left="1080" w:right="68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provides content on a multiplatform basis through SYFY’s network and related digital services.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home to popular horror and science fiction programming such as The Twilight Zone and originals including SurrealEstate, The Ark and Revival.</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Oxygen True Crime</w:t>
      </w:r>
    </w:p>
    <w:p>
      <w:pPr>
        <w:spacing w:after="0" w:line="135" w:lineRule="exact"/>
        <w:rPr>
          <w:sz w:val="20"/>
          <w:szCs w:val="20"/>
          <w:color w:val="auto"/>
        </w:rPr>
      </w:pPr>
    </w:p>
    <w:p>
      <w:pPr>
        <w:ind w:left="1080" w:right="160" w:hanging="424"/>
        <w:spacing w:after="0" w:line="266"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was the second most-viewed true crime network in 2024.</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Fandango Media</w:t>
      </w:r>
    </w:p>
    <w:p>
      <w:pPr>
        <w:spacing w:after="0" w:line="135" w:lineRule="exact"/>
        <w:rPr>
          <w:sz w:val="20"/>
          <w:szCs w:val="20"/>
          <w:color w:val="auto"/>
        </w:rPr>
      </w:pPr>
    </w:p>
    <w:p>
      <w:pPr>
        <w:ind w:left="1080" w:right="260" w:hanging="424"/>
        <w:spacing w:after="0" w:line="265"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approximately 31,000 U.S. screens, trailers and original video and home entertainment.</w:t>
      </w:r>
      <w:r>
        <w:rPr>
          <w:rFonts w:ascii="Times New Roman" w:cs="Times New Roman" w:eastAsia="Times New Roman" w:hAnsi="Times New Roman"/>
          <w:sz w:val="26"/>
          <w:szCs w:val="26"/>
          <w:color w:val="auto"/>
          <w:vertAlign w:val="superscript"/>
        </w:rPr>
        <w:t>3</w:t>
      </w:r>
    </w:p>
    <w:p>
      <w:pPr>
        <w:spacing w:after="0" w:line="2"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Media’s brand portfolio includes one of the leading online movie ticketing services, Fandango; a world-renowned movie and television review site, Rotten Tomatoes; YouTube’s leading movie trailers and clips network, Movieclips; and video on-demand streaming store front, Fandango at Home, offering thousands of new release and catalog movies and next-day television shows.</w:t>
      </w:r>
    </w:p>
    <w:p>
      <w:pPr>
        <w:spacing w:after="0" w:line="92"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includes Rotten Tomatoes, one of the world’s most trusted sources of movie and television reviews. Known for its Tomatometer and audience scores, Rotten Tomatoes has provided a diverse range of reviews from professional critics and everyday fans for over 25 years.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portfolio of networks operates predominantly in the United States. The table below presents a summary of our networks and their advertising reach to U.S. households as of December 31,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 U.S.</w:t>
            </w:r>
          </w:p>
        </w:tc>
        <w:tc>
          <w:tcPr>
            <w:tcW w:w="0" w:type="dxa"/>
            <w:vAlign w:val="bottom"/>
          </w:tcPr>
          <w:p>
            <w:pPr>
              <w:spacing w:after="0"/>
              <w:rPr>
                <w:sz w:val="1"/>
                <w:szCs w:val="1"/>
                <w:color w:val="auto"/>
              </w:rPr>
            </w:pPr>
          </w:p>
        </w:tc>
      </w:tr>
      <w:tr>
        <w:trPr>
          <w:trHeight w:val="148"/>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Cable Television Audience</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Households</w:t>
            </w:r>
          </w:p>
        </w:tc>
        <w:tc>
          <w:tcPr>
            <w:tcW w:w="0" w:type="dxa"/>
            <w:vAlign w:val="bottom"/>
          </w:tcPr>
          <w:p>
            <w:pPr>
              <w:spacing w:after="0"/>
              <w:rPr>
                <w:sz w:val="1"/>
                <w:szCs w:val="1"/>
                <w:color w:val="auto"/>
              </w:rPr>
            </w:pPr>
          </w:p>
        </w:tc>
      </w:tr>
      <w:tr>
        <w:trPr>
          <w:trHeight w:val="160"/>
        </w:trPr>
        <w:tc>
          <w:tcPr>
            <w:tcW w:w="6620" w:type="dxa"/>
            <w:vAlign w:val="bottom"/>
            <w:gridSpan w:val="2"/>
            <w:vMerge w:val="continue"/>
          </w:tcPr>
          <w:p>
            <w:pPr>
              <w:spacing w:after="0"/>
              <w:rPr>
                <w:sz w:val="13"/>
                <w:szCs w:val="13"/>
                <w:color w:val="auto"/>
              </w:rPr>
            </w:pPr>
          </w:p>
        </w:tc>
        <w:tc>
          <w:tcPr>
            <w:tcW w:w="8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(mm)</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MS NOW (formerly MSNBC)</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CNBC</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 Network</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Golf Channel</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SYFY</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Oxygen True Crime</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85725</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2520" w:right="280" w:hanging="649"/>
        <w:spacing w:after="0" w:line="282" w:lineRule="auto"/>
        <w:tabs>
          <w:tab w:leader="none" w:pos="25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Household data is based on information from Nielsen as of December 31, 2024 using its Cable Coverage Universe Estimates report and dynamic ad insertion estimates.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340" w:right="460" w:hanging="224"/>
        <w:spacing w:after="0" w:line="209" w:lineRule="auto"/>
        <w:tabs>
          <w:tab w:leader="none" w:pos="340" w:val="left"/>
        </w:tabs>
        <w:numPr>
          <w:ilvl w:val="0"/>
          <w:numId w:val="1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Source: Comscore Media Metrix, Multi-Platform, July 2024 – August 2024, Desktop &amp; Mobile excluding Social Incremental, Monthly Unique Visitors, Desktop 2+ and Total Mobile 18+, [C] Fandango Sites.</w:t>
      </w:r>
    </w:p>
    <w:p>
      <w:pPr>
        <w:spacing w:after="0" w:line="1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320" w:top="455" w:right="5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540" w:right="140"/>
        <w:spacing w:after="0" w:line="272" w:lineRule="auto"/>
        <w:rPr>
          <w:sz w:val="20"/>
          <w:szCs w:val="20"/>
          <w:color w:val="auto"/>
        </w:rPr>
      </w:pPr>
      <w:r>
        <w:rPr>
          <w:rFonts w:ascii="Times New Roman" w:cs="Times New Roman" w:eastAsia="Times New Roman" w:hAnsi="Times New Roman"/>
          <w:sz w:val="17"/>
          <w:szCs w:val="17"/>
          <w:color w:val="auto"/>
        </w:rPr>
        <w:t>Nielsen estimates include subscribers to both traditional and certain virtual MVPDs and represent the approximate number of U.S. households in which each network is available. The Nielsen estimates are not based on information provided by us and are included solely to enable comparisons between our networks and those operated by our peers.</w:t>
      </w:r>
    </w:p>
    <w:p>
      <w:pPr>
        <w:spacing w:after="0" w:line="2" w:lineRule="exact"/>
        <w:rPr>
          <w:sz w:val="20"/>
          <w:szCs w:val="20"/>
          <w:color w:val="auto"/>
        </w:rPr>
      </w:pPr>
    </w:p>
    <w:p>
      <w:pPr>
        <w:ind w:left="2520" w:right="160" w:hanging="649"/>
        <w:spacing w:after="0" w:line="260" w:lineRule="auto"/>
        <w:tabs>
          <w:tab w:leader="none" w:pos="25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discontinued use of the MSNBC brand and now use MS NOW for the network and all related platforms and products.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120" w:right="560" w:firstLine="440"/>
        <w:spacing w:after="0" w:line="281" w:lineRule="auto"/>
        <w:rPr>
          <w:sz w:val="20"/>
          <w:szCs w:val="20"/>
          <w:color w:val="auto"/>
        </w:rPr>
      </w:pPr>
      <w:r>
        <w:rPr>
          <w:rFonts w:ascii="Times New Roman" w:cs="Times New Roman" w:eastAsia="Times New Roman" w:hAnsi="Times New Roman"/>
          <w:sz w:val="17"/>
          <w:szCs w:val="17"/>
          <w:color w:val="auto"/>
        </w:rPr>
        <w:t>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technical and production staff to provide quality news programming. This model is designed to enable in-depth reporting and political analysis while streamlining production costs.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Our sports programming and related content is typically licensed under multiyear contractual agreements with the relevant sports leagues. At the time of the Separation, we and NBCUniversal (including its subsidiaries) expect to have separate agreements directly with the sports leagues to obtain certain key sports programming. For sports programming displayed on our networks and platforms that remains covered by an agreement between NBCUniversal and the relevant sports league, NBCUniversal will enter into time purchase agreements with us on standard market terms pursuant to which NBCUniversal is permitted to exhibit such content on our networks and platforms. We and NBCUniversal will also be parties to certain other commercial arrangements in relation to sports matters. See “The Separation—Agreements with Comcast—Certain Commercial Arrangements.”</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table below presents a summary of certain significant sports programming and related content that will be available on our networks and platforms following the Separation. Additionally, we anticipate that certain content from the Winter Olympic Games will be distributed on our networks in 2026, and we anticipate that certain content from the Summer Olympic Games will be distributed on our networks in 2028. Our sports programming is produced by a combination of in-house and third-party teams, and in August 2025, we announced that Versant’s sports programming will come together under the new brand, USA Sports.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Television Rights</w:t>
            </w:r>
            <w:r>
              <w:rPr>
                <w:rFonts w:ascii="Times New Roman" w:cs="Times New Roman" w:eastAsia="Times New Roman" w:hAnsi="Times New Roman"/>
                <w:sz w:val="10"/>
                <w:szCs w:val="10"/>
                <w:b w:val="1"/>
                <w:bCs w:val="1"/>
                <w:color w:val="auto"/>
              </w:rPr>
              <w:t>(1)</w:t>
            </w:r>
          </w:p>
        </w:tc>
        <w:tc>
          <w:tcPr>
            <w:tcW w:w="7500" w:type="dxa"/>
            <w:vAlign w:val="bottom"/>
          </w:tcPr>
          <w:p>
            <w:pPr>
              <w:spacing w:after="0"/>
              <w:rPr>
                <w:sz w:val="16"/>
                <w:szCs w:val="16"/>
                <w:color w:val="auto"/>
              </w:rPr>
            </w:pPr>
          </w:p>
        </w:tc>
        <w:tc>
          <w:tcPr>
            <w:tcW w:w="23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Rights Expiration</w:t>
            </w: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Premier League</w:t>
            </w:r>
          </w:p>
        </w:tc>
        <w:tc>
          <w:tcPr>
            <w:tcW w:w="23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2027-28 season</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PGA Tour, The Open Championship, Ryder Cup</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2028 and 2032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USGA / US Open</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Atlantic Ten Conference Basketball</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2028-29 season</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 Wrestling Entertainment (“WWE”)</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8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NASCAR</w:t>
            </w:r>
            <w:r>
              <w:rPr>
                <w:rFonts w:ascii="Times New Roman" w:cs="Times New Roman" w:eastAsia="Times New Roman" w:hAnsi="Times New Roman"/>
                <w:sz w:val="25"/>
                <w:szCs w:val="25"/>
                <w:color w:val="auto"/>
                <w:vertAlign w:val="superscript"/>
              </w:rPr>
              <w:t>(2)</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r>
      <w:tr>
        <w:trPr>
          <w:trHeight w:val="216"/>
        </w:trPr>
        <w:tc>
          <w:tcPr>
            <w:tcW w:w="8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WNBA</w:t>
            </w:r>
            <w:r>
              <w:rPr>
                <w:rFonts w:ascii="Times New Roman" w:cs="Times New Roman" w:eastAsia="Times New Roman" w:hAnsi="Times New Roman"/>
                <w:sz w:val="25"/>
                <w:szCs w:val="25"/>
                <w:color w:val="auto"/>
                <w:vertAlign w:val="superscript"/>
              </w:rPr>
              <w:t>(3)</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 season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560" w:hanging="424"/>
        <w:spacing w:after="0" w:line="261" w:lineRule="auto"/>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rights agreements generally provided rights across both NBCUniversal and the Company and the audited combined statements of income included allocations of costs related to these contracts.</w:t>
      </w:r>
    </w:p>
    <w:p>
      <w:pPr>
        <w:ind w:left="540" w:right="740" w:hanging="424"/>
        <w:spacing w:after="0" w:line="250" w:lineRule="auto"/>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unilateral right by the other party (i.e., the licensor) to the agreement, under certain circumstances, to shorten the term of the agreement by one year.</w:t>
      </w:r>
    </w:p>
    <w:p>
      <w:pPr>
        <w:ind w:left="540" w:right="300" w:hanging="424"/>
        <w:spacing w:after="0" w:line="260" w:lineRule="auto"/>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2026 WNBA season, includes the rights to produce and distribute a specified number of WNBA regular season and playoff games, including certain games from three WNBA Finals series over the term of the agreement.</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 NOW (formerly MSNBC) enjoyed the second highest audience engagement, measured by the average weekly watch time per viewer, among cable networks in 2024. Golf Channel aired more live golf for golf fans than all other U.S. television networks combined in 2024.</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(since rebranded to MS NOW) was the number one news brand on YouTube in 2024, while CNBC has had the number one business website, based on total minutes of consumption, for four consecutive years as of 2024. Also in 2024, E! News Digital was the most followed pop culture news brand on social platforms.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MS NOW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substantial millennial and Gen Z audiences.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 NOW and E!. We believe our digital platform business represents a significant growth opportunity, both from underlying market growth and continued share gains.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 NOW (formerly MSNBC)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5"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62"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AVOD, SVOD and FAST, as well as other distribution methods, including OTA and live events. Building our presence on these platforms will further strengthen our business model.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Our digital platforms, led by GolfNow, Fandango, Rotten Tomatoes and SportsEngine, have successfully delivered new value-added, monetizable services for core audiences. We expect to strategically grow and expand our digital platform business,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We also see opportunities to continue to expand our product offerings leveraging other brands, as we have with CNBC’s branded streaming services, investing club, podcasts, conferences and live events.</w:t>
      </w: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5" w:right="5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Distribution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business of distributing our networks to MVPDs is highly competitive. Our networks compete with other broadcast and cable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distributors are renewed or renegotiated from time to time in the ordinary course of business.</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ability to secure distribution agreements favorable to our networks is necessary to continue to generate distribution revenue and ensure the retention of our audiences. Shifting video consumption patterns, changes in distribution models, increased popularity of competing platforms and movements towards MVPD video channel tiering and a-la-carte options, may adversely affect our ability to obtain or maintain the distribution of our networks or to maintain contractual terms that are as favorable as those currently in place.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Advertising</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willingness of advertisers to purchase advertising from us may be adversely affected by lower audience ratings at our networks or engagement with our digital platforms. Declines in audience ratings can be caused by increased competition for the leisure time of viewers and by audience fragmentation resulting from the increasing number of entertainment choices available, including content from streaming services, social media platforms and other digital sources. In addition, advertising revenue is adversely affected by the continuing use of technologies, such as DVR and video on demand services, which give consumers greater flexibility to watch programming on a time-delayed or on-demand basis or to fast-forward or skip advertisements within programming.</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Licensing and Acquiring Programming and Related Content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be competitive, we have to offer competitive rates, time periods, or exclusivity in our licensing agreements.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Consumer Transactions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digital platforms also include online businesses that compete with other businesses in the media and entertainment industry that offer similar services and resources. For example, Fandango Media’s online business faces direct competition from other ticketing services and theater-specific digital applications that rely on sales of movie tickets to consumers, and through Rotten Tomatoes, faces direct competition from other film and television review aggregators and movie information sites that are resources for consumers seeking information on films.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be headquartered in New York City, New York and will lease our headquarters. Additionally, we will own a key operational hub located in Englewood Cliffs, New Jersey following the Separation. We also lease additional offices, studios, production facilities, among others, in numerous locations in the United States and around the world.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cyclical variations. While our business is generally not affected by seasonal variation in the calendar year, our revenue is subject to cyclical advertising patterns and changes in viewership levels based on when we air certain sporting events or other content, including, for example, increases in viewership levels for certain of our networks due to increased audience interest in political coverage during election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Regulation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Program Access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FCC regulations restrict cable operator-affiliated cable networks from certain discriminatory practices with respect to distribution by MVPDs.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Regulation</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Some of our businesses are also subject to the FTC’s general oversight of consumer privacy protections through its enforcement authority over unfair and deceptive acts or practices, as well as through its enforcement 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 mandatory fees (“hidden fee” or “junk fee” laws), notification of in-application purchases and convenience and processing charges on tickets. These and other consumer protection laws and regulations are enforced at the federal level by the FTC, the FCC and other administrative agencies, and at the state and local level by state attorneys general and numerous other law enforcement and administrative departments and agencies. We have in the past and may in the future be subject to a variety of claims under such regulations and laws. Moreover, consumer protection laws are constantly evolving and we cannot predict the impact of any future regulatory changes and enforcement priorities on our marketing activities.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 and Requirements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actively regulate other aspects of our businesses, such as child protection, user-generated content, advertising and competition in the jurisdictions in which we operate. We are occasionally subject to enforcement actions and investigations at the FCC and other federal, state and local agencies, as well as foreign governments and regulatory authorities, which can result in fines or being subject to sanctions.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October 21, 2025, we had approximately 4,032 full-time and part-time employees calculated on a full-time equivalent basis. Approximately 10% of our employees were located in over 12 countries outside the United States. We also use freelance and temporary employees in the normal course of our business. A small portion of our full-time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representative organization, such as a union, works council or employee association. Our Company has been built on a foundation of respect, integrity and trust, and we are committed to creating and fostering a work environment that promotes those values.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We expect to offer a robust portfolio of health and welfare programs and solutions designed to meet the unique needs of our employees and their families, delivered through a consistent and seamless member experience. We anticipate that our offerings will include comprehensive and affordable healthcare coverage options along with a variety of additional tools and resources, including access to dedicated healthcare navigators, expert medical opinion services and virtual primary care services. In addition, we expect to offer comprehensive family planning options, including for adoption and surrogacy, and provide specialized support teams to help employees manage all stages in the family planning journey including parenthood.</w:t>
      </w:r>
    </w:p>
    <w:p>
      <w:pPr>
        <w:spacing w:after="0" w:line="16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also expect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anticipate offering various digital emotional well-being tools, including child learning and behavior support, meditation, stress management, sleep issues, depression, chronic pain and substance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 library of works, including original programming, digital media, articles and audiovisual content, all of which contribute to our diverse offerings in news, sports and entertainment. These copyrights provide us exclusive rights to distribute and monetize our creative works.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dilution and other unauthorized usage and protect the longevity and success of our businesses. For a discussion of associated risks, see “Risk Factors— Business Risk Factors.”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4 to our unaudited condensed combined financial statements and Note 9 to our audited combined financial statements for more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Following the Separation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the date of this information statement, regarding certain individuals who are expected to serve as our executive officers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be the Chief Executive Officer of Versant. Mr. Lazarus has served in various roles at NBCUniversal since 2011,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NBCUniversal Media Group where he oversaw the company’s TV and Streaming platforms, distribution and monetization. Previously, Mr. Lazarus was Chairman, NBCUniversal Broadcast, Entertainment and Lifestyle Group, Sports and News from 2011 to 2016. Prior to joining NBCUniversal, Mr. Lazarus was President of Media and Marketing at CSE from 2008 to 2010 and served as President of Turner Entertainment Group from 2003 to 2008. Mr. Lazarus is on the Board of Governors of the Boys and Girls Clubs of America and serves on the board of directors for the East Lake Foundation and Hilton Grand Vacations. He is a graduate of Vanderbilt University.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Anand M. Kini </w:t>
      </w:r>
      <w:r>
        <w:rPr>
          <w:rFonts w:ascii="Times New Roman" w:cs="Times New Roman" w:eastAsia="Times New Roman" w:hAnsi="Times New Roman"/>
          <w:sz w:val="18"/>
          <w:szCs w:val="18"/>
          <w:color w:val="auto"/>
        </w:rPr>
        <w:t>will be the Chief Financial Officer and Chief Operating Officer of Versant. Mr. Kini has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Strategy, Comcast Corporation since 2023 and Chief Financial Officer, NBCUniversal since 2015. He joined NBCUniversal in 2011 from Comcast Cable, where he served as Senior Vice President of Finance from 2007 to 2011. Prior to that, Mr. Kini worked at Activision Blizzard from 2004 to 2007 and The Walt Disney Company from 2002 to 2004 in a variety of Finance and Strategy management roles. Mr. Kini serves on the board of directors for the Harvard Business School Club of New York City. He holds a B.A. in Economics from Wesleyan University and received his M.B.A. with High Distinction from Harvard Business School.</w:t>
      </w:r>
    </w:p>
    <w:p>
      <w:pPr>
        <w:spacing w:after="0" w:line="182"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Jordan R. Fasbender </w:t>
      </w:r>
      <w:r>
        <w:rPr>
          <w:rFonts w:ascii="Times New Roman" w:cs="Times New Roman" w:eastAsia="Times New Roman" w:hAnsi="Times New Roman"/>
          <w:sz w:val="18"/>
          <w:szCs w:val="18"/>
          <w:color w:val="auto"/>
        </w:rPr>
        <w:t>will be the General Counsel and Corporate Secretary of Versant. Ms. Fasbender served as Executive Vice President,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Officer and Corporate Secretary of iHeartMedia, Inc., an audio media and entertainment company, from 2024 to 2025. Ms. Fasbender previously served as Executive Vice President, General Counsel and Secretary of iHeartMedia, Inc. from 2022 to 2024 and Executive Vice President, Deputy General Counsel and Secretary from 2019 to 2021. From 2013 to 2019, Ms. Fasbender served as Senior Vice President and Associate General Counsel at Twenty-First Century Fox, Inc. From 2008 to 2013, Ms. Fasbender was an Associate at Weil, Gotshal &amp; Manges LLP, an international law firm. Ms. Fasbender holds a B.A. from Emory University and a J.D. from Fordham School of Law.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Following the Separation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individuals are expected to serve as members of our Board following the Separation.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Novak</w:t>
            </w:r>
          </w:p>
        </w:tc>
        <w:tc>
          <w:tcPr>
            <w:tcW w:w="24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S. Campbell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Creighton Condon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Conway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Eun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Scott Mahoney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Maritza Montiel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65"/>
        </w:trPr>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97</w:t>
            </w:r>
          </w:p>
        </w:tc>
      </w:tr>
    </w:tbl>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additional information regarding the directors identified above, as well as a description of the specific skills and qualifications such candidates are expected to provide the Board of Directors of Versant.</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serve on the Board of Directors. For Mr. Lazarus’ biography, see “—Executive Officers Following the Separation” above.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Lazarus’ qualifications for election include his service as Chief Executive Officer of Versant and his previous service in various leadership roles at NBCUniversal since 2011.</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Novak </w:t>
      </w:r>
      <w:r>
        <w:rPr>
          <w:rFonts w:ascii="Times New Roman" w:cs="Times New Roman" w:eastAsia="Times New Roman" w:hAnsi="Times New Roman"/>
          <w:sz w:val="18"/>
          <w:szCs w:val="18"/>
          <w:color w:val="auto"/>
        </w:rPr>
        <w:t>will be the Chairman of our Board. Mr. Novak has served as a director of Comcast Corporation since 2016. Prior to that, Mr. Novak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Chief Executive Officer of YUM! Brands, Inc. from 2000 to 2014, the Chairman of its board of directors from 2001 to 2014 and the Executive Chairman of its board of directors from 2015 to 2016. Mr. Novak is the founder of David Novak Leadership, Inc., which provides online leadership training to transform managers into confident, capable engaging leaders, and currently serves on the board of directors of Lift-a-Life Novak Family Foundation. We believe that Mr. Novak is qualified to serve as the Chairman of our Board given his previous executive leadership positions, including as Chairman and CEO of YUM! Brands, one of the world’s largest fast-food restaurant operators, and his wealth of knowledge on marketing, consumer brands, global growth strategies and international business. Mr. Novak also has deep experience with corporate spin-offs, having led the separation of PepsiCo’s restaurant division to form Tricon Global Restaurants, which later became YUM! Brands. Throughout his career, Mr. Novak has demonstrated an exceptional ability to lead and manage large teams, uniting employees through increased engagement, recognition and talent development.</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Rebecca Campbell </w:t>
      </w:r>
      <w:r>
        <w:rPr>
          <w:rFonts w:ascii="Times New Roman" w:cs="Times New Roman" w:eastAsia="Times New Roman" w:hAnsi="Times New Roman"/>
          <w:sz w:val="18"/>
          <w:szCs w:val="18"/>
          <w:color w:val="auto"/>
        </w:rPr>
        <w:t>will serve on the Board of Directors. Mrs. Campbell was appointed Interim Chief Executive Officer of Meow Wolf,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arts and entertainment company, in 2025 and has served on the company’s board of directors since 2024. Mrs. Campbell spent over 25 years at The Walt Disney Company, a multinational entertainment and media company, where she held a range of senior leadership roles across its international and direct-to-consumer businesses. From 2020 to 2023, Mrs. Campbell served as Chairman of International Operations and Direct-to-Consumer at Disney, where she was responsible for global operations and all facets of the company’s Direct-to-Consumer portfolio. From 2019 to 2020, she was President of Disneyland Resort, overseeing two theme parks, three resort hotels, and Downtown Disney, while leading a team of 31,000 cast members. From 2018 to 2019, she was based in London as President of Europe, Middle East &amp; Africa. From 2010 to 2018, she served as President of the ABC Owned Television Stations &amp; ABC Daytime Television. Mrs. Campbell also served on the board of directors of Broadcast Music, Inc. (BMI) from 2015 to 2024. Additionally, she has been involved with Big Brothers Big Sisters of Greater Los Angeles since 2016, serving first as a board member and now as a trustee. Mrs. Campbell brings to the Board a distinguished career in global media and entertainment, including senior leadership positions overseeing international operations and direct-to-consumer platforms, and driving strategy and distribution for one of the world’s most recognized brands. She has successfully managed large-scale organizations across multiple regions and driven growth through innovative audience engagement strategies, with particular expertise in scaling global direct-to-consumer businesses. We believe her deep industry knowledge and global perspective strengthen the Board’s ability to navigate an evolving media landscape.</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Creighton Condon </w:t>
      </w:r>
      <w:r>
        <w:rPr>
          <w:rFonts w:ascii="Times New Roman" w:cs="Times New Roman" w:eastAsia="Times New Roman" w:hAnsi="Times New Roman"/>
          <w:sz w:val="18"/>
          <w:szCs w:val="18"/>
          <w:color w:val="auto"/>
        </w:rPr>
        <w:t>will serve on the Board of Directors. Mr. Condon is Of Counsel at the global law firm of Allen Overy Shearman Sterling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position he has held since 2024. He previously was a Partner of Shearman &amp; Sterling LLP from 1991 to 2023, and served as its Senior Partner from 2012 to 2018, European Managing Partner from 2008 to 2012 and Global Mergers and Acquisitions Practice Group Leader from 2012 until being elected the Senior Partner of the firm. He advises clients on mergers, acquisitions, divestitures and joint ventures, and counsels boards of directors and special committees on corporate governance matters, change of control transactions, shareholder activism and complex structural issues. Mr. Condon has extensive experience in the media, entertainment and sports industries. We believe Mr. Condon is qualified to serve on our Board given his decades of experience advising multinational companies and boards on high-stakes transactions and governance matters. We believe his extensive cross-border mergers and acquisitions experience and deep familiarity with the media, entertainment and sports sectors equip him to provide valuable perspective on legal and regulatory risks in our industry.</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55" w:right="5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Michael Conway </w:t>
      </w:r>
      <w:r>
        <w:rPr>
          <w:rFonts w:ascii="Times New Roman" w:cs="Times New Roman" w:eastAsia="Times New Roman" w:hAnsi="Times New Roman"/>
          <w:sz w:val="17"/>
          <w:szCs w:val="17"/>
          <w:color w:val="auto"/>
        </w:rPr>
        <w:t>will serve on the Board of Directors. Mr. Conway is the former Chief Executive Officer of Starbucks North America, a position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 held until his retirement in 2024. Previously, he served in a variety of executive roles at Starbucks Corporation, a publicly traded multinational coffee house and specialty coffee retailer, including Group President, Starbucks International and Global Channel Development from 2021 to 2024, Executive Vice President and President, Starbucks International Licensed Markets from 2020 to 2021, Executive Vice President and President, Starbucks Canada from 2018 to 2020, Executive Vice President and President, Licensed Stores, U.S. and Latin America from 2016 to 2018 and Executive Vice President and President, Global Channel Development from 2013 to 2016, responsible for all commercial and business strategy functions for global grocery and foodservice and expanding into emerging international markets. Prior to joining Starbucks, Mr. Conway worked at Johnson &amp; Johnson from 2004 to 2013 and worked at the Campbell Soup Company from 1994 to 2004. Mr. Conway is a member of the board of directors of McCormick &amp; Company, where he is currently member of the nominating and corporate governance committee and served on the audit committee from 2015-2022. Mr. Conway’s career leading Starbucks’ domestic and international businesses has given him deep experience managing complex operations across multiple geographies and distribution channels. He has a track record of expanding into new markets, strengthening brand loyalty and driving revenue growth. We believe his insight into global supply chains, customer engagement and brand management will be a valuable resource to our Board.</w:t>
      </w:r>
    </w:p>
    <w:p>
      <w:pPr>
        <w:spacing w:after="0" w:line="1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Eun </w:t>
      </w:r>
      <w:r>
        <w:rPr>
          <w:rFonts w:ascii="Times New Roman" w:cs="Times New Roman" w:eastAsia="Times New Roman" w:hAnsi="Times New Roman"/>
          <w:sz w:val="18"/>
          <w:szCs w:val="18"/>
          <w:color w:val="auto"/>
        </w:rPr>
        <w:t>will serve on the Board of Directors. Mr. Eun is currently a Founding Advisor of Kanza AI, a generative AI platform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wellness, and medicine, and the Co-founder of Alakai Group, LLC, an investment firm. Prior to Alakai, Mr. Eun served as Executive Vice Chairman of Archegos Capital Management LP, a family investment office, in 2021 and served as a Venture Partner of Valo Ventures, a venture capital investment firm, from 2021 to 2023. From 2012 to 2020, Mr. Eun was President and Chief Innovation Officer of Samsung Electronics, where he founded Samsung NEXT, the company’s innovation arm focused on startup investments, M&amp;A, and new business creation. Earlier in his career, he held senior leadership roles at Google, AOL, Time Warner and NBC. Since 2023, Mr. Eun has served as a member of the board of directors of Howard Hughes Holdings Inc., a publicly traded real estate development company, where he is Chair of the technology committee and a member of the audit committee. Mr. Eun has spent his career at the intersection of technology, media and investment, building new businesses and fostering innovation inside some of the world’s largest companies. He has launched and scaled technology platforms, forged strategic partnerships across industries and led investment initiatives targeting emerging companies. We believe his ability to identify disruptive trends and translate them into actionable strategies offers the Board a forward-looking perspective on innovation and market development.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Gerald Hassell </w:t>
      </w:r>
      <w:r>
        <w:rPr>
          <w:rFonts w:ascii="Times New Roman" w:cs="Times New Roman" w:eastAsia="Times New Roman" w:hAnsi="Times New Roman"/>
          <w:sz w:val="18"/>
          <w:szCs w:val="18"/>
          <w:color w:val="auto"/>
        </w:rPr>
        <w:t>will serve on the Board of Directors. Mr. Hassell is the Former Chairman and Chief Executive Officer of The Bank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Mellon Corporation (BNY). He had direct responsibility for oversight of the company’s broad range of banking and investment services businesses, as well as operations and technology. He was named to BNY’s executive committee in 1994 and named president and elected to its board of directors in 1998. In 2011, Mr. Hassell was named Chairman and CEO of BNY. Mr. Hassell served as a director on the board of Comcast Corporation from 2008 until 2025 and Metlife, Inc. from 2018 until 2024. Mr. Hassell previously served as a trustee of Duke University and currently serves as a member of the board of directors of the Duke University Health System. Over a career spanning more than decades at BNY, Mr. Hassell developed deep expertise in leading large, highly regulated financial institutions. As Chairman and the CEO, he navigated dynamic market cycles, oversaw operational transformations and managed relationships with regulators, institutional clients and diverse stakeholders. We believe his experience in risk management, corporate governance and strategic planning brings seasoned judgment and long-term perspective to our Board.</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Scott Mahoney </w:t>
      </w:r>
      <w:r>
        <w:rPr>
          <w:rFonts w:ascii="Times New Roman" w:cs="Times New Roman" w:eastAsia="Times New Roman" w:hAnsi="Times New Roman"/>
          <w:sz w:val="18"/>
          <w:szCs w:val="18"/>
          <w:color w:val="auto"/>
        </w:rPr>
        <w:t>will serve on the Board of Directors. Mr. Mahoney is the current Chairman and Chief Executive Officer of Peter Millar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apparel company, which is a division of Richemont S.A., a position he has held since 2005. Prior to his tenure at Peter Millar, Mr. Mahoney served in leadership and executive positions at Polo Ralph Lauren. Mr. Mahoney is on the board of directors of Fleet Feet, a running-inspired company. He has served on the board of The First Tee of the Triangle, a non-profit that focuses on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fostering and developing positive life skills in young men and women through golf. He served on the board of directors of Wake County Boys &amp; Girls Clubs, which helps local youth reach their full potential through after-school and summer programs. He also served as a trustee on the board of St. Mary’s School, an all-girls boarding and day school in Raleigh, North Carolina. Mr. Mahoney has extensive experience building premium consumer brands, most recently as the Chief Executive Officer of Peter Millar. Under his leadership, the company expanded its product portfolio, strengthened its wholesale and direct-to-consumer channels and grew its presence in domestic and international markets. We believe his expertise in brand positioning, retail operations and muti-channel growth strategies provides the Board with practical insight into building a successful consumer business.</w:t>
      </w:r>
    </w:p>
    <w:p>
      <w:pPr>
        <w:spacing w:after="0" w:line="17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Maritza Montiel </w:t>
      </w:r>
      <w:r>
        <w:rPr>
          <w:rFonts w:ascii="Times New Roman" w:cs="Times New Roman" w:eastAsia="Times New Roman" w:hAnsi="Times New Roman"/>
          <w:sz w:val="18"/>
          <w:szCs w:val="18"/>
          <w:color w:val="auto"/>
        </w:rPr>
        <w:t>will serve on the Board of Directors. Ms. Montiel served for 39 years at Deloitte &amp; Touche LLP, the multinational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firm, before retiring in 2014. Her most recent position was as Deputy Chief Executive Officer and Vice Chairman of the firm’s U.S. business. As Deputy Chief Executive Officer, Ms. Montiel led a variety of strategic initiatives including the transformation of the Federal Government Services Practice. She was also a member of the Deloitte US and Global Board of Directors. Ms. Montiel is a member of the board of directors of McCormick &amp; Company, where she formerly chaired the audit committee, and Royal Caribbean Cruises Ltd., where she serves on the audit committee and the compensation committee. She also served as a member of the board of directors of Comcast Corporation from 2018 to 2024 and AptarGroup, Inc. from 2015 until 2023, where she served on the audit committee. Ms. Montiel brings to our Board more than four decades of experience in public accounting, risk and audit, including her tenure at Deloitte. She has overseen complex audits for large, multinational companies, advised on financial reporting and internal controls and guided organizations through compliance and governance requirements. We believe her deep technical expertise in accounting and audit matters enhances the Board’s oversight of financial integrity and risk management.</w:t>
      </w:r>
    </w:p>
    <w:p>
      <w:pPr>
        <w:spacing w:after="0" w:line="185" w:lineRule="exact"/>
        <w:rPr>
          <w:sz w:val="20"/>
          <w:szCs w:val="20"/>
          <w:color w:val="auto"/>
        </w:rPr>
      </w:pPr>
    </w:p>
    <w:p>
      <w:pPr>
        <w:jc w:val="both"/>
        <w:ind w:left="120" w:right="2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Leonard Potter </w:t>
      </w:r>
      <w:r>
        <w:rPr>
          <w:rFonts w:ascii="Times New Roman" w:cs="Times New Roman" w:eastAsia="Times New Roman" w:hAnsi="Times New Roman"/>
          <w:sz w:val="17"/>
          <w:szCs w:val="17"/>
          <w:color w:val="auto"/>
        </w:rPr>
        <w:t>will serve on the Board of Directors. Mr. Potter founded Wildcat Capital Management, LLC, a registered investment advisor,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2011, and continues to serve as its President and Chief Investment Officer. In 2017, Mr. Potter also co-founded Vida Ventures, a biotech venture fund management company, and continues to serve as a senior managing director and senior advisor to its affiliated funds. From 2002 through 2009, Mr.</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Potter was a Managing Director—Private Equity at Soros Fund Management LLC where he served as co-head of its private equity group. Earlier in his career, Mr. Potter spent ten years as an attorney specializing in mergers, acquisitions, corporate governance and corporate finance at Morgan, Lewis &amp; Bockius LLP, and at Willkie Farr &amp; Gallagher LLP. Mr. Potter has served and continues to serve as a director on a number of boards of public and private companies, including Hilton Grand Vacations, Inc., where he serves as chairman of its board of directors and its nominating and corporate governance committee, and SLR Investment Corp. and SuRo Capital Corporation. Mr. Potter brings to the Board more than three decades of experience in private equity, venture capital and corporate finance. He has led investments across a wide range of industries, served on numerous public and private company boards and advised companies through complex mergers, acquisitions and strategic transactions. We believe his deep understanding of capital markets, corporate governance and investment strategy adds valuable financial and strategic insight to the Board.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Structure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is expected to consist of ten members. Each director will be elected annually by the shareholders at each annual meeting of shareholders for a term expiring at the next annual meeting of shareholders. We have not yet set the date of the first annual meeting of shareholders to be held following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will consist of ten members. Our Board expects to determine that each of David Novak, Rebecca S. Campbell, Creighton Cordon, Michael A. Conway, David Eun, Gerald L. Hassell, W. Scott Mahoney, Maritza Montiel and Leonard A. Potter is independent under the rules of Nasdaq.</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 determining independence, the Board will consider whether a director has any relationship that would interfere with such director’s exercise of independent judgment in carrying out the responsibilities of a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we intend to adopt, subject to approval by our Board, a director compensation policy that will govern the annual compensation paid to our non-employee directors following the Separation.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non-employee director compensation policy will be determined by our Compensation Committee and will provide each of our non-employee directors with annual retainers for service on our Board (including the committees thereof), which we expect to be paid as a mix of cash payments and annual equity grants. In addition, each director will be reimbursed for out-of-pocket expenses in connection with his or her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Committees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completion of the Separation, our Board will have an Audit Committee, a Compensation Committee and a Governance Committee, each of which will operate under written charters approved by the full Board. We intend to comply with the listing requirements and other rules and regulations of Nasdaq, as amended or modified from time to time, with respect to each of these committees and each of these committees will be comprised exclusively of independent directors. The charters of all the Committees will be posted on our website after the Separation.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committee will operate under a written charter that details the scope of authority, composition and procedures of the committee. Each committee may, when it deems appropriate and in the best interest of the Company, delegate authority to subcommittees or the Chair of such committee. The committees will report to the Board periodically, review and reassess the adequacy of their charters and recommend any proposed changes to the Board for approval.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are expected to be Maritza Montiel, Leonard A. Potter and Rebecca S. Campbell. Maritza Montiel is expected to be the Chair of our Audit Committee. We expect that each member of our Audit Committee will meet the requirements for independence under the current Nasdaq listing standards and SEC rules and regulations. We expect that all the members of our Audit Committee will be financially sophisticated. In addition, we expect to determine that each member of our audit committee is an “audit committee financial expert” as defined in Item 407(d)(5)(ii) of Regulation S-K promulgated under the Securities Act. This designation does not impose on such director any duties, obligations or liabilities that are greater than are generally imposed on members of our Audit Committee and our Board. The responsibilities of the Audit Committee will be more fully described in our Audit Committee charter and will include, among other duties:</w:t>
      </w:r>
    </w:p>
    <w:p>
      <w:pPr>
        <w:spacing w:after="0" w:line="94" w:lineRule="exact"/>
        <w:rPr>
          <w:sz w:val="20"/>
          <w:szCs w:val="20"/>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independent auditors for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audit-related and permissible non-audit services to be provided by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our annual and quarterly statements prior to filing with the SEC;</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the annual management assessment and audit of the effectiveness of our internal control over financial reporting prior to filing our annual statements with the SEC to the extent required under applicable SEC rules;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to shareholders annually for inclusion in our proxy statement.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expected to be Gerald L. Hassell, David Novak and Michael A. Conway. Gerald L. Hassell is expected to be the Chair of the Compensation Committee. We expect that each member of the Compensation Committee will meet the requirements for independence under the current Nasdaq listing standards and SEC rules and regulations. The responsibilities of the Compensation Committee will be more fully described in the Compensation Committee Charter and will include, among other duties:</w:t>
      </w:r>
    </w:p>
    <w:p>
      <w:pPr>
        <w:spacing w:after="0" w:line="85" w:lineRule="exact"/>
        <w:rPr>
          <w:sz w:val="20"/>
          <w:szCs w:val="20"/>
          <w:color w:val="auto"/>
        </w:rPr>
      </w:pPr>
    </w:p>
    <w:p>
      <w:pPr>
        <w:ind w:left="1080" w:right="8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and benefits plans and policies generally, including reviewing and approving any equity-based compensation plans and executive incentive compensation plans;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61"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all of our Section 16 officers, including the Chief Executive Officer, and such other senior executives designated by the committee, his or her (i) annual base salary level, (ii) annual incentive compensation, (iii) long-term incentive compensation, (iv) employment, severance and change-in-control agreements, if any, (v) retirement benefits and (vi) any other compensation, perquisites or special benefit items;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our Board compensation for our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programs and strategies related to human capital management, including with respect to talent recruitment, development and retention, employee engagement and workforce composition.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on executive compensation and reviewing the Compensation Discussion and Analysis disclosure that, in each case, are required to be included in our proxy statement;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whether any risks in our compensation policies and practices for our employees are reasonably likely to have a material adverse effect on Versant;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which shall include a review of any recommendations or issues that arise with respect to compensation and benefit plans and policies, executive compensation, other matters, as well as any other matters that the Compensation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Governance Committee are expected to be Creighton Condon, David Eun and W. Scott Mahoney. Creighton Condon is expected to be the Chair of our Governance Committee. We expect that each member of the Governance Committee will meet the requirements for independence under the current Nasdaq listing standards. The responsibilities of the Governance Committee will be more fully described in our Governance Committee Charter and will include, among other duties:</w:t>
      </w:r>
    </w:p>
    <w:p>
      <w:pPr>
        <w:spacing w:after="0" w:line="85" w:lineRule="exact"/>
        <w:rPr>
          <w:sz w:val="20"/>
          <w:szCs w:val="20"/>
          <w:color w:val="auto"/>
        </w:rPr>
      </w:pPr>
    </w:p>
    <w:p>
      <w:pPr>
        <w:ind w:left="1080" w:right="26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criteria for membership for our Board and identify individuals qualified to become Board members, and recommend to our Board director nominees for election;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size and responsibilities of our Board and its committees and recommend any proposed changes to our Board;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Corporate Governance Guidelines and Code of Conduct and periodically reviewing and reassessing the adequacy of such Corporate Governance Guidelines and Code of Conduct;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including a review of any recommendations or issues that arise with respect to our Board or committee nominees or membership, Board performance, corporate governance or any other matters that the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our Board will adopt a Code of Conduct that will apply to all of our employees, officers and directors. Upon completion of the Separation, the full text of our Code of Conduct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be posted on the investor relations section of our website. We intend to satisfy the disclosure requirement under Item 5.05 of Form 8-K by disclosing future amendments to our Code of Conduct, or any waivers of such code, on our website or in public filings.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expect any of our executive officers to serve as a member of a compensation committee (or if no committee performs that function, the Board) of any other entity that has an executive officer serving as a member of our Board.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60"/>
          </w:cols>
          <w:pgMar w:left="320" w:top="455"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information statement, we have identified the following individuals who we expect will be our “named executive officers” or “NEOs”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7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Versant is a newly formed Pennsylvania corporation that will hold, directly or indirectly through its subsidiaries, the assets and liabilities comprising the Spin Business. Historically, this business has not been operated as a distinct business unit or division of Comcast. Rather, in connection with the Transactions, the assets and liabilities comprising the Spin Business will be transferred to Versant or its subsidiaries in order to complete the Separation.</w:t>
      </w:r>
    </w:p>
    <w:p>
      <w:pPr>
        <w:spacing w:after="0" w:line="180"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our Compensation Committee will make all decisions with respect to our executive and director compensation programs, policies and practices, which will reflect Versant’s size, operating dynamics, industry peers, business segment, growth opportunities, compliance requirements and business strategy.</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While we have engaged in preliminary discussions regarding our anticipated executive and director compensation programs and policies, we have generally not yet made any final determinations with respect to our executive compensation program following the Separation or the compensation of the individuals who will serve as our executive officers following the Separation, except as specifically noted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Program Overview</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Approach to Executive Compensation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Compensation Committee has not yet been established and therefore has not established a specific set of objectives or principles for our executive compensation program. In designing our executive compensation program, we anticipate that our Compensation Committee will evaluate both our business objectives and the need to attract and retain uniquely talented and experienced individuals who think strategically for the long term, particularly in light of the challenging and evolving competitive and technological environments in which Versant will operate. We anticipate that we will employ a variety of elements that further our shareholders’ interests by securing our executives’ services in an exceedingly competitive talent market and aligning the long-term interests of the executives with the creation of shareholder value.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after the Separation, we anticipate that the primary elements of our executive compensation program will be base salary, annual performance-based cash bonus opportunities, long-term equity incentive compensation and participation in other executive compensation and retirement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Governance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anticipation of the Separation, our Board will adopt a written charter for the Compensation Committee that establishes, among other things, the Compensation Committee’s purpose and its responsibilities with respect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to executive compensation. The charter will provide that the Compensation Committee, among other things, must review and approve executive officer performance and compensation, management development and succession and executive compensation disclosure. See “Management—Board of Directors Committees.”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expect that an outside compensation consultant will advise on the design of compensation programs for Versant in connection with the Separation.</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After the Separation, we expect that our Compensation Committee will engage an independent compensation consultant to advise on compensation program design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each of Messrs. Lazarus and Kini and Ms. Fasbender has entered into a new employment agreement with Versant Media, LLC, a newly formed Pennsylvania limited liability company that is currently a wholly-owned subsidiary of Comcast but will become a wholly-owned subsidiary of Versant effective on the Distribution Date. The employment agreements for Messrs. Lazarus and Kini and Ms. Fasbender will become effective on the Distribution Date. Each of these agreements provide for an initial term of employment of four years (or, in the case of Mr. Kini, five years) from the Distribution Date.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Each of the NEO’s employment agreements provides for the payment of an initial base salary equal to $2,500,000 for Mr. Lazarus, $2,266,000 for</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Kini and $1,000,000 for Ms. Fasbender. Each of the NEOs will also be eligible to receive an annual performance bonus with an annual target bonus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equal to, for Mr. Lazarus, 300% of his base salary, for Mr. Kini, 200% of his base salary, and for Ms. Fasbender, 120% of her base salary.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will also provide for annual equity awards under our long-term incentive plan with an annual target grant date fair market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$12,500,000 for Mr. Lazarus, $6,400,000 for Mr. Kini and $2,000,000 for Ms. Fasbender. In addition, the agreements provide for an initial equity award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Versant common stock under the Omnibus Plan (as defined below) in the form of time-vesting restricted stock units (“RSUs”)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performance-vesting restricted stock units with a grant date fair market value of $12,500,000 for Mr. Lazarus, $7,500,000 for Mr. Kini and $1,000,000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Ms. Fasbender (the “Founders Grants”).</w:t>
      </w:r>
    </w:p>
    <w:p>
      <w:pPr>
        <w:spacing w:after="0" w:line="207" w:lineRule="exact"/>
        <w:rPr>
          <w:sz w:val="20"/>
          <w:szCs w:val="20"/>
          <w:color w:val="auto"/>
        </w:rPr>
      </w:pPr>
    </w:p>
    <w:p>
      <w:pPr>
        <w:ind w:left="120" w:right="340" w:firstLine="440"/>
        <w:spacing w:after="0" w:line="277" w:lineRule="auto"/>
        <w:rPr>
          <w:sz w:val="20"/>
          <w:szCs w:val="20"/>
          <w:color w:val="auto"/>
        </w:rPr>
      </w:pPr>
      <w:r>
        <w:rPr>
          <w:rFonts w:ascii="Times New Roman" w:cs="Times New Roman" w:eastAsia="Times New Roman" w:hAnsi="Times New Roman"/>
          <w:sz w:val="17"/>
          <w:szCs w:val="17"/>
          <w:color w:val="auto"/>
        </w:rPr>
        <w:t>Under their employment agreements, our NEOs have agreed not to solicit our employees or exclusive service providers for one year after termination of their employment for any reason. Each NEO has also agreed to maintain the confidentiality of our information and not to use such information, except for our benefit, at all times during and after their employment with us. In the case of Messrs. Lazarus and Kini (but not Ms. Fasbender), in the event an NEO’s employment is terminated for “cause” or if an NEO resigns from employment without “good reason” (each as defined in the NEO’s agreement), Messrs. Lazarus and Kini have agreed not to compete with us for one year after termination of their employment.</w:t>
      </w:r>
    </w:p>
    <w:p>
      <w:pPr>
        <w:spacing w:after="0" w:line="16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If an NEO’s employment is terminated by us without cause or by the NEO for “good reason,” subject to an NEO’s timely execution and non-revocation of a release of claims, such NEO is entitled to the following benefits:</w:t>
      </w:r>
    </w:p>
    <w:p>
      <w:pPr>
        <w:spacing w:after="0" w:line="67" w:lineRule="exact"/>
        <w:rPr>
          <w:sz w:val="20"/>
          <w:szCs w:val="20"/>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base salary payments for two years following the NEO’s termination date;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entitlement to receive the NEO’s annual target bonus payments for the two year period following the NEO’s termination date (with the prorated bonus relating to the portion of the relevant bonus year elapsed prior to the termination date calculated based on actual achievement of the applicable performance criteria);</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vesting of unvested equity outstanding as of the NEO’s termination date for two years following the termination date (other than the Founders Grant) and, to the extent applicable, continued vesting of all Converted Versant RSUs until such Converted Versant RSUs fully vest;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benefit plans and programs available to similarly-situated employees for two years following the NEO’s termination date.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intend to adopt the Versant Omnibus Equity Incentive Plan (the “Omnibus Plan”), a long-term equity incentive plan under which we expect to grant equity incentive awards (which may include awards of restricted stock units, performance stock units, stock options and other equity incentive awards) to our senior executives (including our NEOs), non-employee directors and other employees. The Compensation Committee, in consultation with its compensation consultant, will review performance metrics, vesting and other terms and conditions it determines are appropriate for us considering our business goals and objectives as well as practices at our peer group companies and the broader market. For a summary of the terms of the Omnibus Plan, see “—The Omnibus Plan.”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 Upon Separation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including Comcast Equity Awards held by our NEOs, will be equitably adjusted in accordance with the terms of the Comcast equity incentive plans. Specifically, we intend that, in connection with the Separation, outstanding Comcast Equity Awards will generally be adjusted as follows:</w:t>
      </w:r>
    </w:p>
    <w:p>
      <w:pPr>
        <w:spacing w:after="0" w:line="81" w:lineRule="exact"/>
        <w:rPr>
          <w:sz w:val="20"/>
          <w:szCs w:val="20"/>
          <w:color w:val="auto"/>
        </w:rPr>
      </w:pPr>
    </w:p>
    <w:p>
      <w:pPr>
        <w:ind w:left="1080" w:right="40" w:hanging="424"/>
        <w:spacing w:after="0" w:line="253"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Comcast RSUs held by individuals who will continue to be employed by, or provide services to, Comcast or its subsidiaries following the Separation, as well as former employees of Comcast or its subsidiaries (including former employees of Comcast who last primarily provided services to the Spin Business), will be converted into an award of adjusted Comcast RSUs (the “Adjusted Comcast RSUs”), with the number of shares of Comcast Class A common stock subject to such Adjusted Comcast RSU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“Comcast Concentration Ratio”), rounded down to the nearest whole share of Comcast Class A common stock. Such Adjusted Comcast RSUs will otherwise be subject to the same terms and conditions (including vesting and payment schedules and, if applicable, deferral elections) as applied to the corresponding Comcast RSU as of immediately prior to the Distribution Date;</w:t>
      </w:r>
    </w:p>
    <w:p>
      <w:pPr>
        <w:spacing w:after="0" w:line="99"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Excluded Comcast RSUs (as described below), outstanding Comcast RSUs held by any individual who is then-currently employed by or otherwise providing services to us or our subsidiaries (after giving effect to the Separation) or whose employment or engagement will otherwise be transferred to us or our subsidiaries prior to the Separation (such individuals, the “Versant Participants”) will be converted into an award of restricted stock units with respect to Versant Class A common stock (the “Converted Versant RSUs”), with the number of shares of Versant Class A common stock subject to such Converted Versant RSUs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“Versant Concentration Ratio”), rounded down to the nearest whole share of our Class A common stock. Such Converted Versant RSUs will otherwise be subject to the same terms and conditions (including vesting and payment schedules) as applied to the corresponding Comcast RSUs as of immediately prior to the Distribution Date;</w:t>
      </w:r>
    </w:p>
    <w:p>
      <w:pPr>
        <w:spacing w:after="0" w:line="99"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Comcast RSUs that are held by Versant Participants that are scheduled to vest during the period between the Distribution Date and March 3, 2026 (collectively, the “Excluded Comcast RSUs”) will be converted into an award of Adjusted Comcast RSUs, with the number of shares of Comcast Class A common stock subject to such Adjusted Comcast RSU being determined multiplying (i) the number of shares of Comcast Class A common stock subject to the corresponding Excluded Comcast RSU immediately prior to the Distribution Date by (ii) the Comcast Concentration Ratio, rounded down to the nearest whole share of Comcast Class A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3"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Comcast Options (regardless of whom held by) will be converted into an award of adjusted Comcast Options (the “Adjusted Comcast Options”), with (i) the number of shares of Comcast Class A common stock subject to such Adjusted Comcast Options being determined by multiplying (a) the number of shares of Comcast Class A common stock subject to the corresponding Comcast Option of such corresponding Comcast Option, as applicable, immediately prior to the Distribution Date by (b) the Comcast Concentration Ratio, rounded down to the nearest whole share of Comcast Class A common stock and (ii) the exercise price applicable to such Adjusted Comcast Options being determined by dividing (a) the exercise price per share applicable to the corresponding Comcast Option as of immediately prior to the Distribution by (b) the Comcast Concentration Ratio, rounded up to the nearest whole cent. Such Adjusted Comcast Options will remain subject to the same terms and conditions (including vesting, exercise schedules, forfeiture and post-termination vesting and exercise periods) as applicable to the corresponding Comcast Option as of immediately prior to the Distribution Date, except that any service-based vesting conditions applicable to any Adjusted Comcast Options held by individuals who are then-currently employed by or otherwise providing services to us or our subsidiaries (after giving effect to the Separation) or whose employment or engagement will be transferred to us or our subsidiaries prior to the Separation will continue to be satisfied by service to us or any of our subsidiaries following the Distribution Date; and</w:t>
      </w:r>
    </w:p>
    <w:p>
      <w:pPr>
        <w:spacing w:after="0" w:line="92"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Comcast Equity Awards held by employees who are intended to transfer to us or our subsidiaries following the Distribution Date (including in connection with any transition services) will be treated in the same manner as the Comcast Equity Awards held by other Comcast Equity Award holders on the Distribution Date as described above, and upon the transfer of their employment to Versant or its subsidiaries following the Separation, any Comcast Equity Awards held by such employees will be treated in accordance with the terms of the applicable award agreements evidencing such employee’s Comcast Equity Awards or any employment, separation or retirement agreements or arrangements by and between such employee and Comcast or its subsidiaries.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 2025, Versant Participants held     Comcast RSUs with respect to approximately     shares of Comcast Class A common stock that, to the extent outstanding as of the Separation, would be subject to conversion into Converted Versant RSUs in accordance with the adjustment methodology described above. However, the actual number of shares of Versant Class A common stock that may ultimately become issuable upon the vesting of Converted Versant RSUs will depend on a number of factors that are not presently determinable, including, without limitation, the number of outstanding Comcast RSUs (other than Excluded Comcast RSUs) held by Versant Participants as of the Separation, the Comcast Conversion Ratio and the Versant Conversion Ratio.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 Policies and Considerations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Clawbacks and Other Remedies for Potential Misconduct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Separation, Versant will adopt a clawback policy as required under stock exchange listing rules.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Prohibitions on Hedging and Pledging</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To help ensure that our executive officers and directors will not trade in our securities at a time when they may be aware of material, nonpublic information, we intend to adopt a policy requiring that trading by executive officers and directors may occur only outside of specified blackout periods and consistent with specified procedures. We also intend to adopt policies that would prohibit our executive officers and directors from using any strategies or products to hedge against potential changes in the value of our stock and holding our stock in margin accounts or pledging our stock as collateral for a loan.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we anticipate that the Compensation Committee and our management team will determine the appropriate employee benefit plans and arrangements, including qualified retirement plans and health and welfare benefit plans for us to adopt as a newly established, standalone public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Compensation Committee will consider the anticipated tax and accounting consequences to us of payments under our executive compensation program. Section 162(m) of the Code generally limits the tax deductibility of annual compensation paid by public companies for certain executive officers to $1 million. In the exercise of its business judgment and in accordance with its compensation philosophy, the Compensation Committee will have the flexibility to award compensation that is not tax deductible if it determines that such award is in our shareholders’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Omnibus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Separation, we intend to adopt the Omnibus Plan, subject to approval of our Board and Comcast, as our sole stockholder.</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summary of the Omnibus Plan is set forth below. This summary does not purport to be complete and is intended only to provide a general description of certain material terms of the Omnibus Plan. Capitalized terms used in this summary that are not otherwise defined have the respective meanings given such terms in the Omnibus Plan.</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Omnibus Plan is to promote our ability to recruit and retain employees and other eligible service providers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the growth and profitability of the Company by providing the incentive of long-term awards for continued employment or other service and the attainment of performance objectives.</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Omnibus Plan will be administered by the Compensation Committee or any other committee or subcommittee that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by our Board (the “Administrator”). The Administrator will have full power, authority and discretion to administer the Omnibus Plan, subject to the provisions of the Omnibus Plan, including the authority to designate participants, grant awards and determine the terms thereof, amend the terms and conditions of outstanding awards, interpret and administer the Omnibus Plan and establish, amend, suspend or waive rules and regulations for the proper administration of the Omnibus Plan. All determinations made by the Administrator will be final and binding. The Administrator may delegate its authority under the Omnibus Plan to one or more persons or committees, subject to the terms of the Omnibus Plan and applicable law.</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Employees (including prospective employees who have accepted offers of employment), nonemployee directors and other advisors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providers of the Company and its subsidiaries will be eligible to receive awards under the Omnibus Plan. From time to time, the Administrator will determine who will be granted awards, the number of shares subject to such grants and all other terms of awards. The basis for participation in the Omnibus Plan is the Administrator’s (or its authorized delegate’s) decision, in its sole discretion, that an award to an eligible participant will further the Omnibus Plan’s purposes as described above. In exercising its discretion, the Administrator (or its delegate) will consider the recommendations of management and the purposes of the Omnibus Plan.</w:t>
      </w:r>
    </w:p>
    <w:p>
      <w:pPr>
        <w:spacing w:after="0" w:line="18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r>
        <w:rPr>
          <w:rFonts w:ascii="Times New Roman" w:cs="Times New Roman" w:eastAsia="Times New Roman" w:hAnsi="Times New Roman"/>
          <w:sz w:val="18"/>
          <w:szCs w:val="18"/>
          <w:color w:val="auto"/>
        </w:rPr>
        <w:t>. Subject to adjustment as described below and except for “substitute awards” (i.e., awards granted in assumption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substitution of awards previously granted by an acquired company), the maximum number of shares of Versant Class A common stock available for issuance under the Omnibus Plan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will be equal to        % of the total outstanding shares of Versant Class A common stock on a fully-diluted basis as of the Distribution Date (the “Share Pool”) plus shares of Versant Class A common stock issuable upon the settlement of “converted awards” (i.e., Comcast RSUs that are converted into Converted Versant RSUs under the Omnibus Plan in connection with the Distribution in accordance with the terms of the Employee Matters Agreement). The maximum number of shares of Versant Class A common stock available for issuance with respect to incentive stock options (“ISOs”) will be equal to the Share Pool.</w:t>
      </w:r>
    </w:p>
    <w:p>
      <w:pPr>
        <w:spacing w:after="0" w:line="183"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Shares covered by awards which are forfeited, expired, terminated or lapsed and shares withheld to satisfy tax withholding obligations or stock option exercise prices will again be available for grant under the Omnibus Plan, in each case, except for converted awards and substitute awards.</w:t>
      </w:r>
    </w:p>
    <w:p>
      <w:pPr>
        <w:spacing w:after="0" w:line="13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In the event of certain corporate transactions or events affecting the shares, or of changes in applicable laws, regulations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where the Administrator determines, as a result of such circumstance, an adjustment is necessary in order to prevent dilution or enlargement of the benefits or potential benefits intended to be made available under the Omnibus Plan, then the Administrator will, subject to applicable law and so as to ensure no undue enrichment or harm (including by payment of cash), adjust equitably any or all of: (i) the number and type of shares (or other securities) which thereafter may be made the subject of awards, including the aggregate limits on shares and ISOs available for issuance under the Omnibus Plan; (ii) the number and type of shares (or other securities) subject to outstanding awards; (iii) the exercise price with respect to any stock option award; and (iv) the terms and conditions of any outstanding awards, including the performance criteria of any performance awards.</w:t>
      </w:r>
    </w:p>
    <w:p>
      <w:pPr>
        <w:spacing w:after="0" w:line="185"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Summary of Award Types</w:t>
      </w:r>
      <w:r>
        <w:rPr>
          <w:rFonts w:ascii="Times New Roman" w:cs="Times New Roman" w:eastAsia="Times New Roman" w:hAnsi="Times New Roman"/>
          <w:sz w:val="18"/>
          <w:szCs w:val="18"/>
          <w:color w:val="auto"/>
        </w:rPr>
        <w:t>. The Omnibus Plan permits the grant of nonqualified stock options and ISOs (“stock options”), stock appreciation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(“SARs”), restricted stock, RSUs, performance awards and other stock-based awards. In addition, the Omnibus Plan provides for the grant of converted awards as a result of the adjustment and conversion of Comcast RSUs into Converted Versant RSUs at the Distribution pursuant to the Employee Matters Agreement. The terms and conditions of the Omnibus Plan will apply to Converted Versant RSUs only to the extent that such terms and conditions are not inconsistent with the terms of the Employee Matters Agreement and the terms of the applicable Converted Versant RSUs, as contemplated by the Employee Matters Agreement.</w:t>
      </w:r>
    </w:p>
    <w:p>
      <w:pPr>
        <w:spacing w:after="0" w:line="186"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of stock options and SARs (other than with respect to substitute awards) may not be less than the fair market value of a share on the grant date. Any outstanding and vested stock options and SARs with an exercise or strike price that exceeds the fair market value of a share will be automatically deemed exercised on the last day of the term of such stock option or SAR in accordance with the terms and conditions of the Omnibus Plan.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may grant other share-based awards, subject to the provisions of the Omnibus Plan and limitations imposed under applicable law. Other share-based awards may include rights convertible into shares, purchase rights, dividend rights or dividend equivalents or awards with value and payment contingent upon performance.</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payment of dividends, dividend equivalents or other distributions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of restricted stock or RSUs, including performance-based RSUs, provided that no such distributions will be paid with respect to any award that has not vested. No stock option or SAR may be accompanied by an award of dividend equivalents or provide for the payment of dividends or dividend equivalents on such award.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Under the Omnibus Plan, in the event of a “change in control” (as such term will be defined under the Omnibus Plan)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Administrator may take any one or more of the following actions, as described in more detail in the Omnibus Plan:</w:t>
      </w:r>
    </w:p>
    <w:p>
      <w:pPr>
        <w:spacing w:after="0" w:line="112" w:lineRule="exact"/>
        <w:rPr>
          <w:sz w:val="20"/>
          <w:szCs w:val="20"/>
          <w:color w:val="auto"/>
        </w:rPr>
      </w:pPr>
    </w:p>
    <w:p>
      <w:pPr>
        <w:ind w:left="5480" w:right="4120" w:hanging="4824"/>
        <w:spacing w:after="0" w:line="454" w:lineRule="auto"/>
        <w:tabs>
          <w:tab w:leader="none" w:pos="107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continuation, assumption, substitution or replacement of an award; 109</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6"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an award either (i) immediately prior to the date of the change in control, (ii) upon the participant’s involuntary termination of service within a specified period following the change in control or (iii) upon the failure of the surviving entity to continue or assume such award;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subject to performance-related vesting conditions, determine the level of attainment of the applicable performance conditions;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such award in consideration for a payment (subject to the terms and conditions of the Omnibus Plan), including cancelling any underwater stock options or SARs for no consideration.</w:t>
      </w:r>
    </w:p>
    <w:p>
      <w:pPr>
        <w:spacing w:after="0" w:line="158" w:lineRule="exact"/>
        <w:rPr>
          <w:sz w:val="20"/>
          <w:szCs w:val="20"/>
          <w:color w:val="auto"/>
        </w:rPr>
      </w:pPr>
    </w:p>
    <w:p>
      <w:pPr>
        <w:jc w:val="both"/>
        <w:ind w:left="120" w:right="2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Transferability of Awards</w:t>
      </w:r>
      <w:r>
        <w:rPr>
          <w:rFonts w:ascii="Times New Roman" w:cs="Times New Roman" w:eastAsia="Times New Roman" w:hAnsi="Times New Roman"/>
          <w:sz w:val="17"/>
          <w:szCs w:val="17"/>
          <w:color w:val="auto"/>
        </w:rPr>
        <w:t>. No award will be transferable by a participant other than by will or to the participant’s designated beneficiaries,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a participant’s lifetime each award will be exercisable only by such participant or, subject to applicable law, by such participant’s guardian or legal representative, provided that the Administrator may permit transfers of awards without consideration to a participant’s family members.</w:t>
      </w:r>
    </w:p>
    <w:p>
      <w:pPr>
        <w:spacing w:after="0" w:line="153"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Awards granted under the Omnibus Plan will be subject to any clawback or recoupment arrangement or policy we have in 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clawback policy adopted to comply with the SEC’s recent clawback rules implementing Section 10D of the Exchange Act.</w:t>
      </w:r>
    </w:p>
    <w:p>
      <w:pPr>
        <w:spacing w:after="0" w:line="155" w:lineRule="exact"/>
        <w:rPr>
          <w:sz w:val="20"/>
          <w:szCs w:val="20"/>
          <w:color w:val="auto"/>
        </w:rPr>
      </w:pPr>
    </w:p>
    <w:p>
      <w:pPr>
        <w:ind w:left="120" w:right="1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Repricing</w:t>
      </w:r>
      <w:r>
        <w:rPr>
          <w:rFonts w:ascii="Times New Roman" w:cs="Times New Roman" w:eastAsia="Times New Roman" w:hAnsi="Times New Roman"/>
          <w:sz w:val="17"/>
          <w:szCs w:val="17"/>
          <w:color w:val="auto"/>
        </w:rPr>
        <w:t>. Except in the event of certain corporate transactions (as described above), the Administrator may not, without shareholder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approval, reprice any previously granted “underwater” stock option, SAR or similar award, including by cancellation and regrant or any other method.</w:t>
      </w:r>
    </w:p>
    <w:p>
      <w:pPr>
        <w:spacing w:after="0" w:line="13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Omnibus Plan</w:t>
      </w:r>
      <w:r>
        <w:rPr>
          <w:rFonts w:ascii="Times New Roman" w:cs="Times New Roman" w:eastAsia="Times New Roman" w:hAnsi="Times New Roman"/>
          <w:sz w:val="18"/>
          <w:szCs w:val="18"/>
          <w:color w:val="auto"/>
        </w:rPr>
        <w:t>. Except to the extent prohibited by applicable law and unless otherwise expressly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award agreement or in the Omnibus Plan, our Board or the Compensation Committee may amend or terminate the Omnibus Plan or any portion thereof at any time. However, no such amendment or termination will be made without (i) shareholder approval if such approval is required by applicable law or the rules of an applicable stock market or exchange or (ii) subject to certain provisions of the Omnibus Plan, the consent of the affected participant if such action would materially adversely affect the rights of such participant under any outstanding award. The Administrator may waive any conditions or rights under, amend any terms of, or terminate any award without the consent of any relevant participant; provided, however, that, subject to certain provisions of the Omnibus Plan, no such action will materially adversely affect the rights of any affected participant under such award.</w:t>
      </w:r>
    </w:p>
    <w:p>
      <w:pPr>
        <w:spacing w:after="0" w:line="185" w:lineRule="exact"/>
        <w:rPr>
          <w:sz w:val="20"/>
          <w:szCs w:val="20"/>
          <w:color w:val="auto"/>
        </w:rPr>
      </w:pPr>
    </w:p>
    <w:p>
      <w:pPr>
        <w:jc w:val="center"/>
        <w:ind w:left="880"/>
        <w:spacing w:after="0" w:line="458" w:lineRule="auto"/>
        <w:rPr>
          <w:sz w:val="20"/>
          <w:szCs w:val="20"/>
          <w:color w:val="auto"/>
        </w:rPr>
      </w:pPr>
      <w:r>
        <w:rPr>
          <w:rFonts w:ascii="Times New Roman" w:cs="Times New Roman" w:eastAsia="Times New Roman" w:hAnsi="Times New Roman"/>
          <w:sz w:val="18"/>
          <w:szCs w:val="18"/>
          <w:b w:val="1"/>
          <w:bCs w:val="1"/>
          <w:i w:val="1"/>
          <w:iCs w:val="1"/>
          <w:color w:val="auto"/>
        </w:rPr>
        <w:t>Term of the Omnibus Plan</w:t>
      </w:r>
      <w:r>
        <w:rPr>
          <w:rFonts w:ascii="Times New Roman" w:cs="Times New Roman" w:eastAsia="Times New Roman" w:hAnsi="Times New Roman"/>
          <w:sz w:val="18"/>
          <w:szCs w:val="18"/>
          <w:color w:val="auto"/>
        </w:rPr>
        <w:t>. The Omnibus Plan will terminate on the tenth anniversary of its effective date, unless earlier terminated by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during our last three fiscal years or currently proposed,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capital stock had or will have a direct or indirect material interest.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of Directors Structure,” “Management—Compensation of Directors” and “Compensation Discussion and Analysis.”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Separation from Comcast</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The Separation will be accomplished by Comcast distributing all of its shares of Versant common stock to holders of Comcast common stock entitled to such distribution, as described in “The Separation” included elsewhere in this information statement. Completion of the Separation will be subject to satisfaction or waiver by Comcast of the conditions to the Distribution described under “The Separation—Conditions to the Distribution.”</w:t>
      </w:r>
    </w:p>
    <w:p>
      <w:pPr>
        <w:spacing w:after="0" w:line="15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See “The Separation— Agreements with Comcast” for information regarding these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current business of Comcast, we engage in related party transactions with Comcast. Those transactions are described in more detail in Note 10 to the accompanying audited combined financial statements and Note 5 to the accompanying unaudited combined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expect that our Board will adopt procedures for the review of any transactions in which we and any of our directors, nominees for director or executive officers, or any of their immediate family members, are participants, to determine whether any of these individuals have a direct or indirect material interest in any such transaction. We intend to develop and implement processes and controls to obtain information from the directors and executive officers about related person transactions, and for determining, based on the facts and circumstances, whether a related person has a direct or indirect material interest in any such transaction. Transactions that are determined to be directly or indirectly material to a related person will be disclosed by us as required. Pursuant to these processes, we expect that all directors and executive officers will annually complete, sign and submit a Director and Executive Officer Questionnaire designed to identify related person transactions and both actual and potential conflicts of interest.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OWNERSHIP OF COMMON STOCK BY CERTAIN BENEFICIAL OWNERS AND MANAGEMENT</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After the Separation, Comcast will not directly or indirectly own any of our common stock.</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tables below show the number of shares of our Class A common stock and Class B common stock, and the percentage of shares of our Class A common stock and our Class B common stock, that would be owned of record and beneficially at the time of the Distribution, calculated based on information available as of        , 2025 (the “Reference Date”) by (i) persons beneficially owning more than five percent (5%) of any class at the time of Distribution and (ii) each director and executive officer of the Company.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To the extent our directors and executive officers own Comcast common stock at the record date for the Distribution, they will participate in the Distribution on the same terms as other holders of Comcast common stock.</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beneficially owned by each shareholder, director or officer is determined according to the rules of the SEC and the information is not necessarily indicative of beneficial ownership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The following table sets forth the number of shares of our common stock beneficially owned, based on the presentation previously described, by each of the identified directors of Versant, the individuals we expect will become our named executive officers following the Separation and all Versant executive officers and directors identified to date as a group as of        , 2025. The table is based upon an assumption that, for every        share(s) of Comcast Class A common stock or Comcast Class B common stock held by such persons, they will receive        share(s) of Versant Class A common stock or Versant Class B common stock, respectively.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table, shares are considered to be “beneficially” owned if the person, directly or indirectly, has sole or shared voting or investment power with respect to such shares. In addition, a person is deemed to beneficially own shares if that person has the right to acquire such shares within 60 days of the date of the Distribution. No executive officer or director holds any class of equity securities other than Comcast common stock or Comcast Equity Awards that may give them the right to acquire beneficial ownership of Comcast common stock, and it is not expected that any of them will own any class of equity securities of Versant other than common stock following the Distribution.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Amount Beneficially Owned</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Percent of Class</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A</w:t>
            </w:r>
          </w:p>
        </w:tc>
        <w:tc>
          <w:tcPr>
            <w:tcW w:w="52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CLASS B</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S. Campbell</w:t>
            </w:r>
          </w:p>
        </w:tc>
        <w:tc>
          <w:tcPr>
            <w:tcW w:w="2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Creighton Condon</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Conway</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David Eun</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Scott Mahoney</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Maritza Montiel</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Novak</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65"/>
        </w:trPr>
        <w:tc>
          <w:tcPr>
            <w:tcW w:w="4340" w:type="dxa"/>
            <w:vAlign w:val="bottom"/>
          </w:tcPr>
          <w:p>
            <w:pPr>
              <w:spacing w:after="0"/>
              <w:rPr>
                <w:sz w:val="24"/>
                <w:szCs w:val="24"/>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right="100" w:hanging="424"/>
        <w:spacing w:after="0" w:line="282" w:lineRule="auto"/>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21"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As of the date of this information statement, all of the outstanding shares of Versant common stock are owned by Comcast. The following table sets forth information regarding each shareholder (other than any director or executive officer) who is expected to beneficially own more than five percent (5%) of our common stock immediately following the Distribution. The table is based upon an assumption that, for every        share(s) of</w:t>
      </w:r>
    </w:p>
    <w:tbl>
      <w:tblPr>
        <w:tblLayout w:type="fixed"/>
        <w:tblInd w:w="120" w:type="dxa"/>
        <w:tblCellMar>
          <w:top w:w="0" w:type="dxa"/>
          <w:left w:w="0" w:type="dxa"/>
          <w:bottom w:w="0" w:type="dxa"/>
          <w:right w:w="0" w:type="dxa"/>
        </w:tblCellMar>
      </w:tblPr>
      <w:tr>
        <w:trPr>
          <w:trHeight w:val="199"/>
        </w:trPr>
        <w:tc>
          <w:tcPr>
            <w:tcW w:w="8020" w:type="dxa"/>
            <w:vAlign w:val="bottom"/>
            <w:gridSpan w:val="5"/>
          </w:tcPr>
          <w:p>
            <w:pPr>
              <w:spacing w:after="0" w:line="200" w:lineRule="exact"/>
              <w:rPr>
                <w:sz w:val="20"/>
                <w:szCs w:val="20"/>
                <w:color w:val="auto"/>
              </w:rPr>
            </w:pPr>
            <w:r>
              <w:rPr>
                <w:rFonts w:ascii="Times New Roman" w:cs="Times New Roman" w:eastAsia="Times New Roman" w:hAnsi="Times New Roman"/>
                <w:sz w:val="18"/>
                <w:szCs w:val="18"/>
                <w:color w:val="auto"/>
              </w:rPr>
              <w:t xml:space="preserve">Comcast Class A common stock or Comcast Class B common stock held by such persons, they will receive    </w:t>
            </w:r>
          </w:p>
        </w:tc>
        <w:tc>
          <w:tcPr>
            <w:tcW w:w="3000" w:type="dxa"/>
            <w:vAlign w:val="bottom"/>
            <w:gridSpan w:val="3"/>
          </w:tcPr>
          <w:p>
            <w:pPr>
              <w:ind w:left="80"/>
              <w:spacing w:after="0" w:line="200" w:lineRule="exact"/>
              <w:rPr>
                <w:sz w:val="20"/>
                <w:szCs w:val="20"/>
                <w:color w:val="auto"/>
              </w:rPr>
            </w:pPr>
            <w:r>
              <w:rPr>
                <w:rFonts w:ascii="Times New Roman" w:cs="Times New Roman" w:eastAsia="Times New Roman" w:hAnsi="Times New Roman"/>
                <w:sz w:val="18"/>
                <w:szCs w:val="18"/>
                <w:color w:val="auto"/>
              </w:rPr>
              <w:t>      share(s) of Versant Class A</w:t>
            </w:r>
          </w:p>
        </w:tc>
        <w:tc>
          <w:tcPr>
            <w:tcW w:w="0" w:type="dxa"/>
            <w:vAlign w:val="bottom"/>
          </w:tcPr>
          <w:p>
            <w:pPr>
              <w:spacing w:after="0"/>
              <w:rPr>
                <w:sz w:val="1"/>
                <w:szCs w:val="1"/>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or Versant Class B common stock, respectively.</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TITLE OF VOTING CLASS</w:t>
            </w:r>
          </w:p>
        </w:tc>
        <w:tc>
          <w:tcPr>
            <w:tcW w:w="2760" w:type="dxa"/>
            <w:vAlign w:val="bottom"/>
            <w:gridSpan w:val="2"/>
            <w:vMerge w:val="continue"/>
          </w:tcPr>
          <w:p>
            <w:pPr>
              <w:spacing w:after="0"/>
              <w:rPr>
                <w:sz w:val="12"/>
                <w:szCs w:val="12"/>
                <w:color w:val="auto"/>
              </w:rPr>
            </w:pP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87"/>
        </w:trPr>
        <w:tc>
          <w:tcPr>
            <w:tcW w:w="3100" w:type="dxa"/>
            <w:vAlign w:val="bottom"/>
            <w:gridSpan w:val="2"/>
            <w:vMerge w:val="continue"/>
          </w:tcPr>
          <w:p>
            <w:pPr>
              <w:spacing w:after="0"/>
              <w:rPr>
                <w:sz w:val="16"/>
                <w:szCs w:val="16"/>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1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6"/>
                <w:szCs w:val="16"/>
                <w:color w:val="auto"/>
              </w:rPr>
            </w:pPr>
          </w:p>
        </w:tc>
        <w:tc>
          <w:tcPr>
            <w:tcW w:w="2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Brian L. Roberts</w:t>
            </w:r>
          </w:p>
        </w:tc>
        <w:tc>
          <w:tcPr>
            <w:tcW w:w="2160" w:type="dxa"/>
            <w:vAlign w:val="bottom"/>
          </w:tcPr>
          <w:p>
            <w:pPr>
              <w:spacing w:after="0"/>
              <w:rPr>
                <w:sz w:val="18"/>
                <w:szCs w:val="18"/>
                <w:color w:val="auto"/>
              </w:rPr>
            </w:pPr>
          </w:p>
        </w:tc>
        <w:tc>
          <w:tcPr>
            <w:tcW w:w="300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Comcast Center,</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Philadelphia, PA 19103</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58"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and relationship or otherwise. Unless indicated, beneficial ownership disclosed consists of sole voting and investment power. 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227"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and should be read in conjunction with, and are qualified in their entirety by, the relevant documentation evidencing the indebtedness, which in each case is filed as an exhibit to the registration statement of which this information statement forms a part or will be filed as an exhibit to our filings with the SEC.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is a summary and should be read in conjunction with, and is qualified in its entirety by, the Credit Agreements (as defined below) and the other agreements governing the Senior Credit Facilities (as defined below). On October 3, 2025, Versant entered into a credit agreement (the “TLA/Revolver Credit Agreement”) providing for a term loan of $1.0 billion due January 2031 (the “Term A Loan Facility”) and a revolving credit facility of $750 million due January 2031 (the “Revolving Credit Facility”). The Company intends to enter into a credit agreement (the “TLB Credit Agreement”; the TLB Credit Agreement, together with the TLA/Revolver Credit Agreement, the “Credit Agreements”) providing for a term loan of $1.0 billion with a five-year term to maturity (the “Term B Loan Facility”; the Term B Loan Facility, together with the Term A Loan Facility, the “Term Loan Facilities”; the Term Loan Facilities, together with the Revolving Credit Facility, the “Senior Credit Facilities”). Commitments under the Term B Loan Facility were fully allocated in October 2025, subject to entry into of the TLB Credit Agreement which is expected to occur substantially concurrently with the consummation of the Separation.</w:t>
      </w:r>
    </w:p>
    <w:p>
      <w:pPr>
        <w:spacing w:after="0" w:line="188"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On and after the Escrow Release Date (as defined below), the Senior Credit Facilities are expected to be secured by substantially all the assets of the Company and its material, wholly-owned U.S. subsidiaries, subject to certain exceptions. The Term Loan Facilities are expected to be denominated in U.S. dollars, and borrowings under the Revolving Credit Facility may be made available in U.S. dollars, euros, pounds sterling and Canadian dollars.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 (i) U.S. dollars bear interest at a rate per annum equal to, at our option, either (a) a term SOFR based rate or (b) a U.S. dollar base rate, (ii) Canadian dollars bear interest at a rate per annum equal to, at our option, either (a) Canadian Overnight Repo Rate Average (“CORRA”) based rate or (b) a Canadian dollar prime rate, (iii) euros bear interest at a rate per annum equal to EURIBOR and (iv) pounds sterling bear interest at a rate per annum equal to Sterling Overnight Index Average (“SONIA”) (provided, however, that the term SOFR-based rate, CORRA-based rate, EURIBOR, SONIA and Canadian dollar prime rate shall be no less than 0.00% per annum at any time and the U.S. dollar base rate shall be no less than 1.00% per annum at any time), in each case, plus an applicable margin.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applicable interest rate margins for borrowings under the Term A Loan Facility and the Revolving Credit Facility will be initially (a) 0.75% per annum in the case of U.S. dollar base rate or Canadian dollar prime rate borrowings and (b) 1.75% per annum in the case of SOFR, CORRA, EURIBOR or SONIA borrowings; provided that the applicable interest rate margins for both the Term A Loan Facility and the Revolving Credit Facility shall be subject to two stepdowns of 0.25% each based on, and subject to, the achievement of a consolidated first lien net leverage ratio of equal to or less than (x) 1.00:1.00 and (y) 0.75:1.00, respectively, as of the last day of the most recently ended period of four consecutive fiscal quarters for which financial statements have been delivered. In addition, the Company is required to pay commitment fees of 0.25% per annum on the unutilized commitments under the Revolving Credit Facility, payable quarterly in arrears, subject to one stepdown to 0.125% per annum based on, and subject to, the achievement of a consolidated first lien net leverage ratio of equal to or less than 1.00:1.00 as of the last day of the most recently ended period of four consecutive fiscal quarters for which financial statements have been delivered. The Company is also required to pay letter of credit fees on the maximum amount available to be drawn under all outstanding letters of credit in an amount equal to the applicable margin on SOFR borrowings under the Revolving Credit Facility on a per annum basis, payable quarterly in arrears, as well as customary fronting fees for the issuance of letters of credit and agency fees.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Borrowings under the Term B Loan Facility are expected to bear interest at a rate per annum equal to, at the Company’s option, either a term SOFR-based rate or a U.S. dollar base rate, in each case, plus an applicable margin of (a) 2.50% per annum in the case of U.S. dollar base rate borrowings and (b) 3.50% per annum in the case of SOFR borrowings, subject to SOFR-based rate floor of 0.00% per annum and U.S. dollar base rate floor of 1.00% per annum.</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and customary baskets set forth, or to be set forth, in the Credit Agreements, the Company is required to make mandatory prepayments of the loans under the Term A Loan Facility, and expects to be required to make mandatory prepayments of the loans under the Term B Loan Facility, under certain circumstances, including from: (i) 100% of the net cash proceeds of insurance and condemnation proceeds for property or asset losses and certain property or asset dispositions (subject to reinvestment rights, decrease based on leverage ratios and net proceeds thresholds), (ii) 100% of the net cash proceeds from the incurrence of debt (other than permitted debt as described in the Credit Agreements) and (iii) solely in the case of the Term B Loan Facility, 50% of Excess Cash Flow (to be defined in the TLB Credit Agreement) (subject to decrease based on a leverage ratio).</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amortization rate for the Term A Loan Facility is 5.00% per annum, payable in quarterly installments, with the balance being payable on the maturity date of the Term A Loan Facility. The amortization rate for the Term B Loan Facility is expected to be 7.00% per annum, payable in quarterly installments, until the balance is payable on the maturity date of the Term B Loan Facility.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permitted to voluntarily reduce unutilized portion of the revolving commitment amount and repay outstanding loans under the Term A Loan Facility and the Revolving Credit Facility at any time without prepayment premium or penalty. The Company expects to be permitted to voluntarily repay outstanding loans under the Term B Loan Facility at any time, (a) subject to the payment of a customary T+50 make-whole premium if such prepayment occurs prior to the first anniversary of the closing date, (b) subject to a prepayment premium of 1% if such prepayment occurs on or after the first anniversary of the closing date and before the second anniversary of the closing date and (c) at par if such prepayment occurs on or after the second anniversary of the closing date.</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Company and the Guarantors under the Senior Credit Facilities and certain hedging arrangements and cash management arrangements will be (or, in the case of the Term B Loan Facility, are expected to be) secured by first-priority security interests in the collateral securing such facilities subject to certain exclusions set forth in the credit documentation governing the Senior Credit Facilities.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TLA/Revolver Credit Agreement contains (and it is expected that the TLB Credit Agreement will contain) a number of covenants that, among other things and subject to certain exceptions, restrict the Company’s and its subsidiaries’ ability to:</w:t>
      </w:r>
    </w:p>
    <w:p>
      <w:pPr>
        <w:spacing w:after="0" w:line="67" w:lineRule="exact"/>
        <w:rPr>
          <w:sz w:val="20"/>
          <w:szCs w:val="20"/>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and other arrangements that include negative pledge clauses;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capital stock or redeem, repurchase or retire capital stock or subordinated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and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amalgamate or sell assets, including equity interests of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of or waivers under subordinated indebtedness.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Term A Loan Facility and the Revolving Credit Facility also contain a financial covenant that requires the Company to maintain a maximum first lien net leverage ratio of not greater than 3.50:1.00.</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TLA/Revolver Credit Agreement also contains (and it is expected that the TLB Credit Agreement will contain) certain customary affirmative covenants and events of default. If an event of default, as specified in the Credit Agreements, shall occur and be continuing, the borrowers thereunder may be required to repay all amounts outstanding under the Senior Credit Facilities. The Company periodically reviews its debt profile with a view towards extending maturities and/or improving the terms of such debt. The Company may, from time to time, seek amendments to such debt in order to effect such changes.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terms described above with respect to the Term B Loan Facility are subject to change. Borrowings under the Senior Credit Facilities are subject to a number of conditions. To the extent that any of the conditions with respect to such indebtedness are not satisfied, such indebtedness may not be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October 29, 2025, the Company issued $1.0 billion aggregate principal amount of 7.250% senior secured notes due 2031 (the “Notes”) pursuant to Rule 144A and Regulation S under the Securities Act. The Notes mature on January 30, 2031. Interest on the Notes accrues at 7.250% per annum and will be paid semi-annually, in arrears, on January 30 and July 30 of each year, commencing on July 30, 2026.</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proceeds from the offering of the Notes were placed into an escrow account (the “Escrow Account”) and will be released substantially concurrently with (i) satisfaction or waiver in all material respects of the conditions precedent to borrowing under the Term Loan Facilities and (ii) the consummation of the Transactions (the date of such release, the “Escrow Release Date”).</w:t>
      </w:r>
    </w:p>
    <w:p>
      <w:pPr>
        <w:spacing w:after="0" w:line="176"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Prior to the Escrow Release Date, the Notes are not guaranteed and are secured only by a first-priority security interest in favor of the trustee under the Indenture in the Escrow Account and the escrowed funds therein. From and after the Escrow Release Date, the Notes will be jointly and unconditionally guaranteed on a senior secured basis by each of the Company’s subsidiaries that is a guarantor under the Senior Credit Facilities.</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Escrow Release Date, the Notes and the related guarantees will be the Company’s senior obligations and the senior obligations of the guarantors and will be secured, subject to permitted liens and certain other exceptions, by perfected first-priority security interests in substantially all of the Company’s and each guarantor’s tangible and intangible assets and property, now owned or hereafter acquired, that secure borrowings under the Senior Credit Facilities, subject to certain customary exceptions (the “Collateral”).</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From and after the Escrow Release Date, the Notes and the related guarantees will be: (i) general secured obligations, secured by a first-priority lien (subject to permitted liens and certain other exceptions) on the Collateral;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the Company’s and each guarantor’s respective future unsubordinated indebtedness; (iii) senior in right of payment to future indebtedness that expressly provides for its subordination to the Notes or applicable guarantees; (iv) effectively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of the Company’s and each guarantor’s respective existing and future indebtedness secured by a first-priority lien on the Collateral including the Senior Credit Facilities); (v) effectively senior to all of the Company’s and each guarantor’s respective future indebtedness that is unsecured or that is secured by junior liens on the Collateral, in each case to the extent of the value of the Collateral; (vi) structurally subordinated to all existing and future indebtedness and other liabilities of any of the Company’s or any guarantor’s non-guarantor subsidiaries, to the extent of the value of such subsidiaries’ assets; and (vii) effectively subordinated to any of the Company’s or any guarantor’s respective existing or future debt that is secured by assets that are not Collateral, to the extent of the value of such assets.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after the Escrow Release Date and prior to January 30, 2028, the Company may, at its option, redeem the Notes, in whole or in part, at a price equal to 100% of the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amount thereof, plus accrued and unpaid interest, if any, plus the applicable “make-whole” premium set forth in the Indenture. The Company may redeem the Notes, in whole or in part, at any time and from time to time on or after January 30, 2028 at the redemption prices set forth in the Indenture. At any time and from time to time after the Escrow Release Date and prior to January 30, 2028, the Company may redeem up to 10% during any twelve-month period at a redemption price equal to 103% of the principal amount thereof, plus accrued and unpaid interest, if any. The Company may, at its option, also redeem up to 40% of the aggregate principal amount of the Notes at any time and from time to time after the Escrow Release Date and prior to January 30, 2028 in an amount equal to the net proceeds from certain equity offerings at the redemption price equal to 107.250% of the principal amount thereof plus accrued and unpaid interest, if any.</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Indenture limits the Company’s and its restricted subsidiaries’ ability to, among other things, incur or guarantee debt; make certain investments and other restricted payments; create liens; enter into transactions with affiliates; merge or consolidate with another company; and transfer and sell assets. These covenants are subject to a number of important limitations and exceptions.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Additionally, upon certain events constituting a change of control under the Indenture, the holders of the Notes have the right to require us to offer to repurchase the Notes at a purchase price equal to 101% of the principal amount thereof, plus accrued and unpaid interest, to, but excluding the date of purchase.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 if the Company or its restricted subsidiaries engage in certain asset sales, the Company must prepay certain debt, invest the net cash proceeds from such sales in the Company’s business within a specified period of time or make an offer to purchase a principal amount of Notes equal to the excess net cash proceeds of such asset sale, subject to certain exceptions. The purchase price of the Notes purchased will be 100% of their principal amount, plus accrued and unpaid interest to, but excluding, the repurchase date.</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Indenture also provides for customary events of default, which, if any of them occurs, may cause the principal of and accrued interest on the Notes to become, or to be declared, due and payable. Events of default (subject in certain cases to customary grace and cure periods), include, among others, nonpayment of principal or interest, breach of other covenants or agreements in the Indenture, failure to pay certain other indebtedness, failure to pay certain final judgments, failure of certain guarantees to be enforceable, certain events of bankruptcy or insolvency and failure of certain security interests to be valid or enforceable.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capital stock based on the applicable provisions of Pennsylvania law and our amended and restated articles of incorporation (“articles of incorporation”) and our amended and restated bylaws (“bylaws”) that will be in effect at the time of the Separation. The summaries and descriptions below do not purport to be complete statements of the relevant provisions of the applicable provisions of Pennsylvania law or of our articles of incorporation or our bylaws to be in effect at the time of the Separation. The summary is qualified in its entirety by reference to those articles of incorporation and our bylaws, which we recommend that you read (along with the applicable provisions of Pennsylvania law) for additional information on our capital stock as of the time of the Separation. Copies of our articles of incorporation and bylaws that will be in effect at the time of the Separation will be filed as exhibits to the registration statement of which this information statement forms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Upon completion of the Separation, we will have two classes of common stock outstanding: Class A common stock,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$0.01 per share, and Class B common stock, par value $0.01 per share. Under our articles of incorporation, there are authorized       shares of Class A common stock,      shares of Class B common stock and      shares of preferred stock. Upon completion of the Separation, we estimate that we will have outstanding an aggregate of approximately      shares of our Class A common stock and      shares of our Class B common stock (based on      shares of Comcast Class A common stock and      shares of Comcast Class B common stock outstanding on      , 2025). The actual number of shares to be distributed will be determined on the record date. All outstanding shares of Class A common stock and Class B common stock are fully paid and non-assessable, and the shares of Class A common stock and Class B common stock to be issued upon completion of the Distribution will be fully paid and non-assessable.</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As a general matter, on all matters submitted for a vote to holders of all classes of our voting stock, holders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subject to adjustment in specified situations. The issuance of additional shares of Class A common stock and stock dividends payable on the Class B common stock in the form of Class B common stock do not decrease the non-dilutable voting power of the Class B common stock.</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preferential rights of any preferred stock then outstanding, holders of our Class A common stock and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See “Dividend Policy” above.</w:t>
      </w:r>
    </w:p>
    <w:p>
      <w:pPr>
        <w:spacing w:after="0" w:line="188"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Conversion of Class B common stock</w:t>
      </w:r>
      <w:r>
        <w:rPr>
          <w:rFonts w:ascii="Times New Roman" w:cs="Times New Roman" w:eastAsia="Times New Roman" w:hAnsi="Times New Roman"/>
          <w:sz w:val="18"/>
          <w:szCs w:val="18"/>
          <w:color w:val="auto"/>
        </w:rPr>
        <w:t>. The Class B common stock is convertible share for share into Class A common stock,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Approval rights</w:t>
      </w:r>
      <w:r>
        <w:rPr>
          <w:rFonts w:ascii="Times New Roman" w:cs="Times New Roman" w:eastAsia="Times New Roman" w:hAnsi="Times New Roman"/>
          <w:sz w:val="18"/>
          <w:szCs w:val="18"/>
          <w:color w:val="auto"/>
        </w:rPr>
        <w:t>. Except as required by law, holders of Class A common stock have no specific approval rights over any corporate actions.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Class B common stock have an approval right over (1) any</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would limit the rights of holders of our Class B common stock or any subsequent transferee of our Class B common stock to transfer, vote or otherwise exercise rights with respect to our capital stock.</w:t>
      </w:r>
    </w:p>
    <w:p>
      <w:pPr>
        <w:spacing w:after="0" w:line="190" w:lineRule="exact"/>
        <w:rPr>
          <w:sz w:val="20"/>
          <w:szCs w:val="20"/>
          <w:color w:val="auto"/>
        </w:rPr>
      </w:pPr>
    </w:p>
    <w:p>
      <w:pPr>
        <w:jc w:val="both"/>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Preferences on liquidation</w:t>
      </w:r>
      <w:r>
        <w:rPr>
          <w:rFonts w:ascii="Times New Roman" w:cs="Times New Roman" w:eastAsia="Times New Roman" w:hAnsi="Times New Roman"/>
          <w:sz w:val="18"/>
          <w:szCs w:val="18"/>
          <w:color w:val="auto"/>
        </w:rPr>
        <w:t>. In the event of our liquidation, dissolution or winding-up, either voluntary or involuntary, the holders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Mergers, consolidations, etc. </w:t>
      </w:r>
      <w:r>
        <w:rPr>
          <w:rFonts w:ascii="Times New Roman" w:cs="Times New Roman" w:eastAsia="Times New Roman" w:hAnsi="Times New Roman"/>
          <w:sz w:val="18"/>
          <w:szCs w:val="18"/>
          <w:color w:val="auto"/>
        </w:rPr>
        <w:t>Our articles of incorporation provide that if in a transaction such as a merger, consolidation, share exchange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pursuant to which the holders of each class of our common stock outstanding would be entitled to receive equity interests of one or more corporations or other entities, or rights to acquire such equity interests, the Board may decide that in lieu of holders of each class of our common stock outstanding receiving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3"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w:t>
      </w:r>
      <w:r>
        <w:rPr>
          <w:rFonts w:ascii="Times New Roman" w:cs="Times New Roman" w:eastAsia="Times New Roman" w:hAnsi="Times New Roman"/>
          <w:sz w:val="18"/>
          <w:szCs w:val="18"/>
          <w:color w:val="auto"/>
        </w:rPr>
        <w:t>The holders of Class A common stock and Class B common stock do not have any preemptive rights to acquire a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any securities we may issue. We have been advised that the Class A common stock is exempt from existing Pennsylvania personal property tax.</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Distribution, Brian L. Roberts will beneficially own all outstanding shares of our Class B common stock, which has a non-dilutable 33 1/3% of the combined voting power of our stock and which also has separate approval rights over certain material transactions, as described under “Common Stock—Approval Rights.” The Class B common stock is convertible on a share-for-share basis into Class A common stock. After the consummation of the Separation, if Mr. Roberts were to convert the Class B common stock he beneficially owns into Class A common stock, he would beneficially own approximately        % of the Class A common stock that would be outstanding after the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will have the authority to issue up to   shares of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subject to the limitations prescribed by Pennsylvania law and our articles of incorporation The issuance of preferred stock could adversely affect the voting power of the holders of the Class A common stock and the likelihood that such holders will receive dividend payments and payments upon liquidation. In addition, the issuance of preferred stock may have the effect of delaying, deferring or preventing a change in control of Versant without further action by our shareholders and may adversely affect the voting and other rights of the holders of Class A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Board of Directors will initially consist of ten directors. Except as set forth in our articles of incorporation, the number of directors will be fixed exclusively by our Board of Directors from time to time. Each director shall be elected by a plurality of the votes cast by holders of all shares entitled to vote in the election at the meeting.</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bylaws, our directors will be removable, only for cause, by a majority of the votes cast at the meeting by the holders of shares entitled to vote in the election of directors, voting together as a single class. Except as set forth in our articles of incorporation, any vacancy occurring on the Board of Directors and any newly created directorship may be filled by a majority of the remaining directors in office (although less than a quorum) or by a sole remaining director, or if there are no remaining directors, then by the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Election of Directors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Directors will be elected annually by the shareholders at each annual meeting of shareholders for a term expiring at the next annual meeting of shareholders. See “Management—Board of Directors Following the Separation.”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Limits on Shareholder Action by Written Consent</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our shareholders are not permitted to act by written consent in lieu of a meeting, provided that holders of a majority of our Class B common stock may act by written consent in lieu of a meeting in the exercise of certain approval rights over specified material transactions under our articles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special meetings of shareholders may be called by our Board of Directors and not by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Articles of Incorporation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articles of incorporation may be amended by resolution of our Board of Directors and the affirmative vote of a majority of the votes cast by all shareholders entitled to vote thereon, provided that any amendment to our articles of incorporation that would, in any such case, limit the rights of the holders of our Class B common stock or any subsequent transferee of Class B common stock to transfer, vote or otherwise exercise rights with respect to capital stock of Versant will require the approval of the holders of Class B common stock, voting separately as a class. In addition, the approval of the holder of any class or series of shares of Versant will be necessary to approve any amendment to our articles of incorporation which would make any change in the preferences, limitations or rights of the shares of such class or series adverse to such class or series.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articles of incorporation and bylaws grant our Board of Directors the power to alter, amend and repeal our bylaws regardless of a prior shareholder vote except on any subject that is expressly committed to the shareholders by the express terms in our bylaws, subject to applicable law. Any amendment to the bylaws approved by our shareholders will not be deemed to have been adopted unless it has been previously approved by the Board of Directors.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our articles of incorporation, including the approval by the Board of Directors noted above, our bylaws grant our shareholders the power to alter, amend or repeal our bylaws with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affirmative vote of a majority of votes cast by all shareholders entitled to vote thereon, except that any repeal or amendment affecting the provision of our bylaws governing the indemnification of directors, officers and other persons in a manner so as either to reduce or limit indemnification or the advancement of expenses in any manner also requires either a unanimous vote of the directors then-serving, or the affirmative vote of at least 80% of the votes cast by all shareholders entitled to vote in an election of directors, provided that no such amendment may have a retroactive effect to reduce or limit the rights of an indemnitee to indemnification or the advancement of expenses with respect to any action or failure to act occurring prior to the time of such repeal or amendment.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Shareholder Nomination and Proposals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our bylaws, shareholders of record will be able to nominate persons for election to our Board of Directors or bring other business constituting a proper matter for shareholder action only by providing proper notice. Proper notice must generally be received, (i) in the case of an annual meeting that is called for a date that is within 30 days before or after the anniversary date of the immediately preceding annual meeting of shareholders, not less than 90 days, and not more than 120 days, prior to such anniversary date; and (ii) in the case of an annual meeting that is called for a date that is not within 30 days before or after the anniversary date of the immediately preceding annual meeting (or if no annual meeting was held in the preceding year), not later than the date the meeting is first announced by Versant. In order for a shareholder proposal to be considered for inclusion in our proxy statement and form of proxy relating to our annual meeting of shareholders to be held in 2026 pursuant to Rule 14a-8 under the Exchange Act, the proposal must be received by us no later than January 8, 2026.</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Under our bylaws, up to 20 shareholders owning 3% or more of the aggregate number of shares outstanding of either class of our common stock continuously for at least three years may nominate the greater of two directors or up to 20% of our Board of Directors and include those nominees in our proxy materials. Notice of shareholder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shareholders for the immediately preceding annual meeting of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1744 of the PBCL provides that, unless ordered by a court, any indemnification under Section 1741 or 1742 of the PBCL will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will ultimately be determined that he or she is not entitled to be indemnified by the corporation. Except as otherwise provided in the corporation’s bylaws, advancement of expenses must be authorized by the board of directors.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1746 of the PBCL provides generally that the indemnification and advancement of expenses provided by Subchapter D of Chapter 17 of the PBCL is not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76"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1750 of the PBCL provides that the indemnification and advancement of expenses provided by, or granted pursuant to, Subchapter D of Chapter 17 of the PBCL will, unless otherwise provided when authorized or ratified, continue as to a person who has ceased to be a director or officer and will inure to the benefit of the heirs and personal representatives of such person.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Article Eleventh of our articles of incorporation provides that no person who is or was a director of Versant will be personally liable, as such, for monetary damages (other than under criminal statutes and under laws imposing such liability on directors for the payment of taxes) unless such person’s conduct constitutes self-dealing, willful misconduct or recklessness. Article Twelfth of Versant’s articles of incorporation extends such protection to any person who is or was an officer of Versant.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Article 7 of Versant’s bylaws provides that each current and, if applicable, former, officer and director of Versant will be indemnified and held harmless by Versant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Versant), whether civil, criminal, administrative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investigative, including any appeal therefrom (a “Proceeding”) arising out of or related to such director’s or officer’s (x) service at any time in his or her capacity as a director or officer of Versant or (y) service at any time in his or her capacity at the request or for the benefit of Versant as a director, officer, employee, agent, partner, or fiduciary of, or in any other capacity for, another entity (such services described in clauses (x) and (y), the “Covered Services”). No indemnification will be made pursuant to Versant’s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Versant’s bylaws), unless the Proceeding (or part of the Proceeding) was authorized by the Board of Directors. The right to indemnification under Versant’s bylaws includes the right to have the expenses incurred by such director or officer in participating in any Proceeding paid by Versant in advance of the 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Versant of an undertaking, by or on behalf of such director or officer, to repay all advanced amounts without interest if it is ultimately determined that such director or officer is not entitled to be so indemnified.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Article 7 of Versant’s bylaws also provides that Versant may purchase and maintain insurance, at its expense, for the benefit of any person on behalf of whom insurance is permitted to be purchased by Pennsylvania law against any expense, liability or loss, whether or not Versant would have the power to indemnify such person under Pennsylvania or any other law. Versant may also purchase and maintain insurance to insure its indemnification obligations.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Versant will enter into indemnification agreements with all of its directors, to indemnify the directors to the fullest extent permitted by applicable law. Versant will maintain directors and officers insurance to insure such persons against certain liabilities.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the PBCL and to the applicable provisions of Versant’s articles of incorporation, bylaws and indemnification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Some of the provisions of our articles of incorporation and bylaws (as described above), including the rights of holders of our Class B common stock, could make the following more difficult:</w:t>
      </w:r>
    </w:p>
    <w:p>
      <w:pPr>
        <w:spacing w:after="0" w:line="67" w:lineRule="exact"/>
        <w:rPr>
          <w:sz w:val="20"/>
          <w:szCs w:val="20"/>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control of us by means of a proxy contest or otherwise;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incumbent officers and directors.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provisions, including our ability to issue preferred stock, may discourage coercive takeover practices and inadequate takeover bids. These provisions may also encourage persons seeking to acquire control of us to first negotiate with our Board of Directors. We believe that the benefits of increased protection will give us the potential ability to negotiate with the proponent of an unfriendly or unsolicited proposal to acquire or restructure us, and that the benefits of this increased protection will outweigh the disadvantages of discouraging those proposals, because negotiation of those proposals could result in an improvement of their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Pennsylvania Anti-Takeover Statutes</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Under Section 1712 of the PBCL, which is applicable to Versant,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PBCL,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Versant has opted out of Subchapters E, F, G, H, I and J and Section 2538 of Subchapter D of the PBCL. Subchapter E of Chapter 25 of the PBCL requires a person who acquires 20% or more of the shares of a publicly 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of Securities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Versant was formed on May 1, 2025, and since its formation, it has not sold any securities, including sales of reacquired securities, new issues (other than to Comcast pursuant to Section 4(a)(2) of the Securities Act in connection with its formation), securities issued in exchange for property, services or other securities and new securities resulting from the modification of outstanding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Versant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 Its telephone number is 651-450-4064.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Versant has been approved to have its shares of Class A common stock listed on Nasdaq under the ticker symbol “VSNT”, subject to official notice of issuance.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10 with the SEC with respect to the shares of our Class A common stock being distributed in the Separation as contemplated by this information statement. This information statement is a part of, and does not contain all of the information set forth in, the registration statement and the exhibits to the registration statement. For further information with respect to Versant, please refer to the registration statement, including its exhibits. Statements made in this information statement relating to any contract or other document are not necessarily complete, and you should refer to the exhibits attached to the registration statement for the full text of the actual contract or document. You may review a copy of the registration statement, including its exhibits, at the Internet website maintained by the SEC at www.sec.gov. Information contained on any website referenced in this information statement is not incorporated by reference into this information statement or the registration statement of which this information statement forms a part.</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After the Separation, we will become subject to the information and reporting requirements of the Exchange Act, and, in accordance with the Exchange Act, we will file periodic reports, proxy statements and other information with the SEC. Our future filings will be available from the SEC as described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1"/>
            <w:vMerge w:val="restart"/>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3"/>
            <w:vMerge w:val="continue"/>
          </w:tcPr>
          <w:p>
            <w:pPr>
              <w:spacing w:after="0"/>
              <w:rPr>
                <w:sz w:val="14"/>
                <w:szCs w:val="14"/>
                <w:color w:val="auto"/>
              </w:rPr>
            </w:pPr>
          </w:p>
        </w:tc>
        <w:tc>
          <w:tcPr>
            <w:tcW w:w="6340" w:type="dxa"/>
            <w:vAlign w:val="bottom"/>
            <w:gridSpan w:val="11"/>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Income for the years ended 2024,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Comprehensive Income for the years ended 2024, 2023 and 2022</w:t>
            </w:r>
          </w:p>
        </w:tc>
        <w:tc>
          <w:tcPr>
            <w:tcW w:w="404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 for the years ended 2024,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 as of December 31, 2024 and 2023</w:t>
            </w:r>
          </w:p>
        </w:tc>
        <w:tc>
          <w:tcPr>
            <w:tcW w:w="49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Changes in Equity for the years ended 2024, 2023 and 2022</w:t>
            </w:r>
          </w:p>
        </w:tc>
        <w:tc>
          <w:tcPr>
            <w:tcW w:w="442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53"/>
        </w:trPr>
        <w:tc>
          <w:tcPr>
            <w:tcW w:w="2940" w:type="dxa"/>
            <w:vAlign w:val="bottom"/>
            <w:tcBorders>
              <w:top w:val="single" w:sz="8" w:color="0000EE"/>
            </w:tcBorders>
          </w:tcPr>
          <w:p>
            <w:pPr>
              <w:spacing w:after="0"/>
              <w:rPr>
                <w:sz w:val="24"/>
                <w:szCs w:val="24"/>
                <w:color w:val="auto"/>
              </w:rPr>
            </w:pPr>
          </w:p>
        </w:tc>
        <w:tc>
          <w:tcPr>
            <w:tcW w:w="7620" w:type="dxa"/>
            <w:vAlign w:val="bottom"/>
            <w:gridSpan w:val="1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 and 2024 (Unaudited)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Combined Statements of Income for the three and nine months ended September 30, 2025 and 2024</w:t>
            </w:r>
          </w:p>
        </w:tc>
        <w:tc>
          <w:tcPr>
            <w:tcW w:w="2520" w:type="dxa"/>
            <w:vAlign w:val="bottom"/>
            <w:gridSpan w:val="3"/>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040" w:type="dxa"/>
            <w:vAlign w:val="bottom"/>
            <w:tcBorders>
              <w:bottom w:val="single" w:sz="8" w:color="0000EE"/>
            </w:tcBorders>
            <w:gridSpan w:val="11"/>
            <w:vMerge w:val="continue"/>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4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Comprehensive Income for the three and nine months ended September 30, 2025 and 2024</w:t>
            </w:r>
          </w:p>
        </w:tc>
        <w:tc>
          <w:tcPr>
            <w:tcW w:w="13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Cash Flows for the nine months ended September 30, 2025 and 2024</w:t>
            </w:r>
          </w:p>
        </w:tc>
        <w:tc>
          <w:tcPr>
            <w:tcW w:w="29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Balance Sheets as of September 30, 2025 and December 31, 2024</w:t>
            </w:r>
          </w:p>
        </w:tc>
        <w:tc>
          <w:tcPr>
            <w:tcW w:w="418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Changes in Equity for the three and nine months ended September 30, 2025 and 2024</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196"/>
        </w:trPr>
        <w:tc>
          <w:tcPr>
            <w:tcW w:w="88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Combined Financial Statements</w:t>
            </w:r>
          </w:p>
        </w:tc>
        <w:tc>
          <w:tcPr>
            <w:tcW w:w="17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20" w:type="dxa"/>
            <w:vAlign w:val="bottom"/>
            <w:gridSpan w:val="9"/>
          </w:tcPr>
          <w:p>
            <w:pPr>
              <w:jc w:val="center"/>
              <w:ind w:right="4900"/>
              <w:spacing w:after="0"/>
              <w:rPr>
                <w:sz w:val="20"/>
                <w:szCs w:val="20"/>
                <w:color w:val="auto"/>
              </w:rPr>
            </w:pPr>
            <w:r>
              <w:rPr>
                <w:rFonts w:ascii="Times New Roman" w:cs="Times New Roman" w:eastAsia="Times New Roman" w:hAnsi="Times New Roman"/>
                <w:sz w:val="18"/>
                <w:szCs w:val="18"/>
                <w:color w:val="auto"/>
                <w:w w:val="95"/>
              </w:rPr>
              <w:t>F-1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360" w:firstLine="2427"/>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Comcast Corporation</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Versant businesses of Comcast Corporation, (the “Company”) as of December 31, 2024 and 2023, the related combined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hanging="4"/>
        <w:spacing w:after="0" w:line="255" w:lineRule="auto"/>
        <w:tabs>
          <w:tab w:leader="none" w:pos="3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Notes 1 and 7 to the financial statements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Corporation (“Comcast”) intends to execute a spin-off of the Company into a standalone, publicly traded company. As the Company’s businesses were operated as a part of Comcast’s Media segment, the Company’s combined balance sheets include an allocated amount of goodwill of $7.7 billion from Comcast’s Media segment, which was determined using a relative fair value analysis as of July 1, 2024, the date of Comcast’s most recent annual goodwill impairment assessment.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5" w:right="5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used the discounted cash flow model to estimate fair value, which requires management to make significant judgments related to discount rates and forecasts of expected cash flows. Changes in these assumptions could have a significant impact on the fair value.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identified the goodwill relative fair value analysis of the Company’s allocated goodwill as a critical audit matter because of the significant judgments made by management to estimate the fair values used in the analysis.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audit procedures to evaluate the reasonableness of management’s estimates and assumptions related to the selection of the discount rates, revenue growth rates and Adjusted EBITDA margins included in future expected cash flows used by management to estimate the fair values included the following, among others:</w:t>
      </w:r>
    </w:p>
    <w:p>
      <w:pPr>
        <w:spacing w:after="0" w:line="81" w:lineRule="exact"/>
        <w:rPr>
          <w:sz w:val="20"/>
          <w:szCs w:val="20"/>
          <w:color w:val="auto"/>
        </w:rPr>
      </w:pPr>
    </w:p>
    <w:p>
      <w:pPr>
        <w:ind w:left="1080" w:right="140" w:hanging="424"/>
        <w:spacing w:after="0" w:line="26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including testing the source information underlying the determination of the discount rates, testing the mathematical accuracy of the calculation, and developing a range of independent estimates and comparing those to the discount rates selected by management.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 growth rates and Adjusted EBITDA margins by comparing prior year forecasts to actual results in the respective years.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current forecasts of future revenue growth rates and Adjusted EBITDA margins by comparing such forecasts to historical results and to forecasted information included in analyst and industry reports of the Company and companies in its peer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30,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(a)</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$7,062</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$7,834</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Costs of revenue (exclusive of depreciation and amortization)</w:t>
            </w:r>
            <w:r>
              <w:rPr>
                <w:rFonts w:ascii="Times New Roman" w:cs="Times New Roman" w:eastAsia="Times New Roman" w:hAnsi="Times New Roman"/>
                <w:sz w:val="25"/>
                <w:szCs w:val="25"/>
                <w:color w:val="auto"/>
                <w:vertAlign w:val="superscript"/>
              </w:rPr>
              <w:t>(b)</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3,064</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3,161</w:t>
            </w:r>
          </w:p>
        </w:tc>
      </w:tr>
      <w:tr>
        <w:trPr>
          <w:trHeight w:val="216"/>
        </w:trPr>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1,167</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6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9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Pr>
          <w:p>
            <w:pPr>
              <w:spacing w:after="0"/>
              <w:rPr>
                <w:sz w:val="19"/>
                <w:szCs w:val="19"/>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2,410</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1,539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r>
      <w:tr>
        <w:trPr>
          <w:trHeight w:val="20"/>
        </w:trPr>
        <w:tc>
          <w:tcPr>
            <w:tcW w:w="1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$1.26 billion, $1.34 billion and $1.39 billion for 2024, 2023 and 2022, respectively.</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$1.42 billion, $1.42 billion and $1.43 billion for 2024, 2023 and 2022, respectively.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$1,540</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2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1,541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1,779</w:t>
            </w:r>
          </w:p>
        </w:tc>
      </w:tr>
      <w:tr>
        <w:trPr>
          <w:trHeight w:val="20"/>
        </w:trPr>
        <w:tc>
          <w:tcPr>
            <w:tcW w:w="12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8"/>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2,428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(2,142)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(2,359)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(2,492)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(2,155)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5"/>
              </w:rPr>
              <w:t>(2,355)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(2,486)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11,560</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11,677</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12,373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13,078</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10,805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11,568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12,373</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118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20"/>
                <w:szCs w:val="20"/>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10,915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11,677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12,480</w:t>
            </w:r>
          </w:p>
        </w:tc>
      </w:tr>
      <w:tr>
        <w:trPr>
          <w:trHeight w:val="20"/>
        </w:trPr>
        <w:tc>
          <w:tcPr>
            <w:tcW w:w="1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the Company and Basis of Presentation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by the end of 2025 and is subject to market, regulatory and certain other conditions, including final approval of Comcast’s Board of Directors.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assessment as of December 31, 2024, and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10).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combined financial statements and are considered related party transactions. See Note 10 for more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uses a centralized approach to cash management and financing of its operations. Our cash is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totaled $82 million, $105 million and $140 million in 2024, 2023 and 2022, respectively, included in selling, general and administrative expenses.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Comcast restricted stock units to certain employees as part of our long-term incentive compensation structure. Awards generally vest over a period of three to five years. Additionally, eligible employees may purchase shares of our common stock at a discount under our employee stock purchase plans. The cost associated with our share-based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Share-based compensation expense for shared employees is included in allocated costs. Share-based compensation expense directly attributable to Versant was not material for the periods presented.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 The levels of the hierarchy are described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use this three-tier fair value hierarchy to measure the fair value of certain financial instruments on a recurring basis, such as for investments (see Note 5) and on a non-recurring basis, such as for impairment testing (see Note 7). Our assessment of the significance of a particular input to the fair value measurement requires judgment and may affect the valuation and classification within the fair value hierarchy.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Parent Investment</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Equity in the combined balance sheets represents Parent’s net investment in our business and is presented as net Parent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Parent company, net. Additionally, net Parent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Parent investment in the accompanying combined balance sheet have been considered cash receipts and payments within financing activities in the combined statements of cash flows. See Note 10 for more information.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Earnings per share data has not been presented in the accompanying combined financial statements because we did not operate as a separate legal entity with its own capital structure during any of the periods presented.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as the Versant businesses were operated as part of Comcast’s Media segment and were not separately evaluated for the periods presented in these combined financial statements. Comcast’s Chairman and Chief Executive Officer was the chief operating decision maker (“CODM”) for these periods.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Approximately $6 million of costs incurred by Comcast related to the Separation have been included in selling, general and administrative expenses in our combined statements of income for the year ended December 31, 2024. These costs include legal, consulting, advisory and audit fees that will directly benefit the Versant business as a standalone company, or for which the Versant business is the legal obligor.</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7,062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7,445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7,834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from the distribution of television programming in the United States and in certain international markets to traditional multichannel video providers and to virtual multichannel video providers that offer streamed linear television networks.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revenue from the sale of advertising on our linear television networks and digital platforms.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0"/>
          </w:cols>
          <w:pgMar w:left="320" w:top="455" w:right="5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$311 million as of December 31, 2024, which will be recognized over the next 6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sell technology and related services to golf courses and youth sports organizations that leverage our platform, and also offer consumer subscription services, which provide access to streaming content.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generally have concluded that we are an agent for the underlying consumer transactions on our platforms, and we therefore do not recognize the direct revenue from the sale of the golf rounds, movie tickets, television or movie titles rentals or purchases, or sports registrations.</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2024 and 2023, the gift card liability for our movie ticket platform was $53 million and $57 million, respectively, including $37 million and $44 million in accrued expenses and other current liabilities, respectively, with the remainder presented in other noncurrent liabilities. Revenue recorded related to breakage on these gift cards was $15 million for each of the years ended December 31, 2024 and 2023 and $10 million for the year ended December 31, 2022.</w:t>
      </w:r>
    </w:p>
    <w:p>
      <w:pPr>
        <w:spacing w:after="0" w:line="17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technology solutions provide customers access to our cloud-based applications. Contracts for these and our agency services generally have terms ranging from one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Subscription services are generally offered based on fixed amounts with monthly or annual terms. Subscription fees for the term are generally fixed and nonrefundable, and we recognize revenue over the term of the agreement.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licensing of our owned content to television networks and DTC streaming service providers, as well as through video on demand services provided by multichannel video providers and other service providers. These agreements generally include fixed pricing and span multiple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$19 million. The majority of this revenue will be recognized within two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Combined Balance Sheets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Changes in Allowance for</w:t>
            </w: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3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December 31, 2024 and 2023, our ten largest multichannel video provider customers accounted for approximately 55% of our total accounts receivable. Refer to Note 10 for revenue and accounts receivable information related to distribution and other arrangements with Comcast.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Costs of Revenue</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3,154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60" w:type="dxa"/>
            <w:vAlign w:val="bottom"/>
            <w:gridSpan w:val="2"/>
            <w:vMerge w:val="continue"/>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3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2,606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2,724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40" w:type="dxa"/>
            <w:vAlign w:val="bottom"/>
            <w:gridSpan w:val="2"/>
          </w:tcPr>
          <w:p>
            <w:pPr>
              <w:jc w:val="right"/>
              <w:ind w:right="2462"/>
              <w:spacing w:after="0"/>
              <w:rPr>
                <w:sz w:val="20"/>
                <w:szCs w:val="20"/>
                <w:color w:val="auto"/>
              </w:rPr>
            </w:pPr>
            <w:r>
              <w:rPr>
                <w:rFonts w:ascii="Times New Roman" w:cs="Times New Roman" w:eastAsia="Times New Roman" w:hAnsi="Times New Roman"/>
                <w:sz w:val="18"/>
                <w:szCs w:val="18"/>
                <w:color w:val="auto"/>
              </w:rPr>
              <w:t>F-14</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We recorded a $58 million reduction of programming and production costs and a corresponding noncurrent receivable in 2024 related to production tax incentives.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Capitalized Content Costs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$519</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r>
              <w:rPr>
                <w:rFonts w:ascii="Times New Roman" w:cs="Times New Roman" w:eastAsia="Times New Roman" w:hAnsi="Times New Roman"/>
                <w:sz w:val="18"/>
                <w:szCs w:val="18"/>
                <w:b w:val="1"/>
                <w:bCs w:val="1"/>
                <w:color w:val="auto"/>
                <w:w w:val="88"/>
              </w:rPr>
              <w:t>639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706</w:t>
            </w:r>
          </w:p>
        </w:tc>
        <w:tc>
          <w:tcPr>
            <w:tcW w:w="4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capitalized content costs recorded in our combined balance sheets as of December 31,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Licensed</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42"/>
        </w:trPr>
        <w:tc>
          <w:tcPr>
            <w:tcW w:w="6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640" w:type="dxa"/>
            <w:vAlign w:val="bottom"/>
            <w:shd w:val="clear" w:color="auto" w:fill="CCEEFF"/>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40" w:type="dxa"/>
            <w:vAlign w:val="bottom"/>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40" w:type="dxa"/>
            <w:vAlign w:val="bottom"/>
            <w:shd w:val="clear" w:color="auto" w:fill="CCEEFF"/>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have future minimum commitments for licensed content that are not recognized in our combined balance sheets as of December 31, 2024 totaling $335 million.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Capitalization and Recognition of Content Costs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Licensed and owned content are presented as noncurrent assets in content costs. We present amortization of licensed and owned content and accrued costs associated with participations and residuals payments in programming and production costs.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Sports Rights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Costs of Revenue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nonmarketable equity securities. In 2022, we recorded an unrealized impairment loss of $62 million for one of our investments. The impairment assessment was performed in connection with an investee capital transaction and estimated fair value was determined based on the value indications in this transaction, a Level 2 input, which subsequently closed in 2023. This impairment loss represents the cumulative amount of downward adjustments on our nonmarketable equity securities, which continue to be held as of December 31, 2024.</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fair value of the investment, then the fair value is not estimated. We record the changes in value from observable events and impairments to investment and other income (loss), net.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36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Original Useful Lives</w:t>
            </w:r>
          </w:p>
        </w:tc>
        <w:tc>
          <w:tcPr>
            <w:tcW w:w="20" w:type="dxa"/>
            <w:vAlign w:val="bottom"/>
          </w:tcPr>
          <w:p>
            <w:pPr>
              <w:spacing w:after="0"/>
              <w:rPr>
                <w:sz w:val="13"/>
                <w:szCs w:val="13"/>
                <w:color w:val="auto"/>
              </w:rPr>
            </w:pPr>
          </w:p>
        </w:tc>
        <w:tc>
          <w:tcPr>
            <w:tcW w:w="148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8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800" w:type="dxa"/>
            <w:vAlign w:val="bottom"/>
            <w:gridSpan w:val="2"/>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tcBorders>
            <w:gridSpan w:val="4"/>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technology</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3 - 16 years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8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8 - 35 years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$ 143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relating to property and equipment was $63 million, $67 million and $61 million for the years ended December 31, 2024, 2023 and 2022, respectively.</w:t>
      </w:r>
    </w:p>
    <w:p>
      <w:pPr>
        <w:spacing w:after="0" w:line="162"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internal-use software. We expense maintenance and training costs, as well as costs incurred during the preliminary stage of a software development project, as they are incurred.</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 Following the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320" w:top="455" w:right="5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20" w:type="dxa"/>
            <w:vAlign w:val="bottom"/>
          </w:tcPr>
          <w:p>
            <w:pPr>
              <w:spacing w:after="0"/>
              <w:rPr>
                <w:sz w:val="12"/>
                <w:szCs w:val="12"/>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0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5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Life as of</w:t>
            </w:r>
          </w:p>
        </w:tc>
        <w:tc>
          <w:tcPr>
            <w:tcW w:w="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7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9,033</w:t>
            </w:r>
          </w:p>
        </w:tc>
        <w:tc>
          <w:tcPr>
            <w:tcW w:w="4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(7,477)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9,034</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and other</w:t>
            </w:r>
          </w:p>
        </w:tc>
        <w:tc>
          <w:tcPr>
            <w:tcW w:w="1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(8,118</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10,034</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$926 million, $924 million and $931 million for the years ended December 31, 2024, 2023 and 2022, respectively.</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the estimated amortization expense of our intangible assets.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0"/>
        </w:trPr>
        <w:tc>
          <w:tcPr>
            <w:tcW w:w="6680" w:type="dxa"/>
            <w:vAlign w:val="bottom"/>
            <w:tcBorders>
              <w:top w:val="single" w:sz="8" w:color="CCEEFF"/>
            </w:tcBorders>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2026</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10"/>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1,843</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2,069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Tax Expense</w:t>
            </w: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11"/>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left="2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 (Benefit):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$ 472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5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7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7"/>
              </w:rPr>
              <w:t>(145)</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8"/>
              </w:rPr>
              <w:t>$ 478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Federal tax at statutory rate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478</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530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591</w:t>
            </w:r>
          </w:p>
        </w:tc>
        <w:tc>
          <w:tcPr>
            <w:tcW w:w="12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5" w:right="5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statements of income. Current income tax expense has been offset by a corresponding change in net Parent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Deferred Tax Liability</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6"/>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and other loss carryforwards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$ 28</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Valuation Allowance for Deferred Tax Assets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5"/>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income tax expense and other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from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5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2024 and 2023, net operating loss carryforwards primarily related to a subsidiary included in our combined financial statements, which can be carried forward indefinitely. Our valuation allowances primarily related to these net operating loss carryforwards.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litigation processes, based on the technical merits of the position. A tax position that meets the more-likely-than-not recognition threshold is measured 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IRS has completed its examination of Comcast’s income tax returns for all years through 2021. Various states and foreign jurisdictions are examining Comcast’s tax returns and the tax years of those tax returns currently under examination vary by state, with most of the periods relating to tax years 2011 and forward.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Licensed Content</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most significant fixed-price purchase obligations relate to long-term commitments for licensed content. Refer to Note 4 for additional information.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Sales to related parties were $1.26 billion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$1.34 billion and $1.39 billion during the years ended December 31, 2024, 2023 and 2022, respectively.</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receivable due for these transactions were $208 million and $219 million as of December 31, 2024 and 2023, respectively.</w:t>
      </w:r>
    </w:p>
    <w:p>
      <w:pPr>
        <w:spacing w:after="0" w:line="20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Costs of revenue from related parties were $1.16 billion, $1.15 billion and $1.17 billion for the years ended December 31, 2024, 2023 and 2022, respectively. Capitalized content costs related to these costs were $286 million and $228 million as of December 31, 2024 and 2023, respectively. Content obligations related to these costs were $112 million and $117 million as of December 31, 2024 and 2023, respectively.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$12 million, $14 million and $10 million for the years ended December 31, 2024, 2023 and 2022, respectively, and are presented in selling, general and administrative expenses. Amounts payable for these transactions were not material as of December 31, 2024 or 2023.</w:t>
      </w:r>
    </w:p>
    <w:p>
      <w:pPr>
        <w:spacing w:after="0" w:line="176" w:lineRule="exact"/>
        <w:rPr>
          <w:sz w:val="20"/>
          <w:szCs w:val="20"/>
          <w:color w:val="auto"/>
        </w:rPr>
      </w:pPr>
    </w:p>
    <w:p>
      <w:pPr>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We have related party loan balances associated with the participation of certain of our subsidiaries in Comcast’s centralized cash management programs. Our receivable balances pursuant to these contracts are presented in other current assets in the combined balance sheets and totaled</w:t>
      </w:r>
    </w:p>
    <w:p>
      <w:pPr>
        <w:spacing w:after="0" w:line="1"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$35 million and $18 million as of December 31, 2024 and 2023, respectively. Our payable balances pursuant to these contracts are presented in accrued expenses and other current liabilities in the combined balance sheets and totaled $12 million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$18 million as of December 31, 2024 and 2023, respectively. Activity related to loans receivable and payable is presented in the combined statements of cash flows in other investing and other financing activities, respectively.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recorded in cost of revenue for these services were $266 million, $277 million and $259 million in 2024, 2023 and 2022, respectively.</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selling, general and administrative expenses for these services were $870 million, $910 million and $897 million in 2024,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May 30, 2025, which is the issue date of these combined financial statements and concluded that no additional subsequent events have occurred that would require recognition in the combined financial statements or disclosure in the notes to the combined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INCOME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6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8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80" w:type="dxa"/>
            <w:vAlign w:val="bottom"/>
          </w:tcPr>
          <w:p>
            <w:pPr>
              <w:spacing w:after="0"/>
              <w:rPr>
                <w:sz w:val="10"/>
                <w:szCs w:val="10"/>
                <w:color w:val="auto"/>
              </w:rPr>
            </w:pPr>
          </w:p>
        </w:tc>
        <w:tc>
          <w:tcPr>
            <w:tcW w:w="660" w:type="dxa"/>
            <w:vAlign w:val="bottom"/>
            <w:gridSpan w:val="2"/>
          </w:tcPr>
          <w:p>
            <w:pPr>
              <w:jc w:val="center"/>
              <w:ind w:right="4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11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1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80"/>
              </w:rPr>
              <w:t>2025 </w:t>
            </w:r>
          </w:p>
        </w:tc>
        <w:tc>
          <w:tcPr>
            <w:tcW w:w="180" w:type="dxa"/>
            <w:vAlign w:val="bottom"/>
          </w:tcPr>
          <w:p>
            <w:pPr>
              <w:spacing w:after="0"/>
              <w:rPr>
                <w:sz w:val="15"/>
                <w:szCs w:val="15"/>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1,663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5,078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5,339</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Costs of revenue (exclusive of depreciation and amortization)</w:t>
            </w:r>
            <w:r>
              <w:rPr>
                <w:rFonts w:ascii="Times New Roman" w:cs="Times New Roman" w:eastAsia="Times New Roman" w:hAnsi="Times New Roman"/>
                <w:sz w:val="25"/>
                <w:szCs w:val="25"/>
                <w:color w:val="auto"/>
                <w:vertAlign w:val="superscript"/>
              </w:rPr>
              <w:t>(2)</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2,227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2,395</w:t>
            </w: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1,034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250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1,073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1,331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loss,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1,331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80" w:hanging="424"/>
        <w:spacing w:after="0" w:line="261" w:lineRule="auto"/>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$184 million and $309 million for the three months ended September 30, 2025 and 2024, respectively, and $757 million and $954 million for the nine months ended September 30, 2025 and 2024, respectively.</w:t>
      </w:r>
    </w:p>
    <w:p>
      <w:pPr>
        <w:ind w:left="540" w:right="80" w:hanging="424"/>
        <w:spacing w:after="0" w:line="260" w:lineRule="auto"/>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$464 million and $534 million for the three months ended September 30, 2025 and 2024, respectively, and $969 million and $1.1 billion for the nine months ended September 30, 2025 and 2024, respectively.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center"/>
              <w:ind w:right="8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40" w:type="dxa"/>
            <w:vAlign w:val="bottom"/>
          </w:tcPr>
          <w:p>
            <w:pPr>
              <w:spacing w:after="0"/>
              <w:rPr>
                <w:sz w:val="10"/>
                <w:szCs w:val="10"/>
                <w:color w:val="auto"/>
              </w:rPr>
            </w:pPr>
          </w:p>
        </w:tc>
        <w:tc>
          <w:tcPr>
            <w:tcW w:w="660" w:type="dxa"/>
            <w:vAlign w:val="bottom"/>
            <w:gridSpan w:val="2"/>
          </w:tcPr>
          <w:p>
            <w:pPr>
              <w:jc w:val="center"/>
              <w:ind w:right="5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jc w:val="center"/>
              <w:ind w:right="201"/>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1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280" w:type="dxa"/>
            <w:vAlign w:val="bottom"/>
          </w:tcPr>
          <w:p>
            <w:pPr>
              <w:spacing w:after="0"/>
              <w:rPr>
                <w:sz w:val="15"/>
                <w:szCs w:val="15"/>
                <w:color w:val="auto"/>
              </w:rPr>
            </w:pP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749</w:t>
            </w:r>
          </w:p>
        </w:tc>
        <w:tc>
          <w:tcPr>
            <w:tcW w:w="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(expense) benefit: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F-24</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2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on investment activity and other</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1,601</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(1,401)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(1,535)</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8"/>
              </w:rPr>
              <w:t>(1,413)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(1,553)</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F-25</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8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$441 and $404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$8,818 and $8,118</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12,049</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10,805</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10,797</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10,915</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11,310</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12,049</w:t>
            </w:r>
          </w:p>
        </w:tc>
      </w:tr>
      <w:tr>
        <w:trPr>
          <w:trHeight w:val="20"/>
        </w:trPr>
        <w:tc>
          <w:tcPr>
            <w:tcW w:w="8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F-26</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5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5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10,463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2"/>
              </w:rPr>
              <w:t>11,336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10,805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987</w:t>
            </w:r>
          </w:p>
        </w:tc>
      </w:tr>
      <w:tr>
        <w:trPr>
          <w:trHeight w:val="27"/>
        </w:trPr>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11,029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11,029</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1"/>
              </w:rPr>
              <w:t>119</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20" w:type="dxa"/>
            <w:vAlign w:val="bottom"/>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10,289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11,139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10,289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11,139</w:t>
            </w:r>
          </w:p>
        </w:tc>
      </w:tr>
      <w:tr>
        <w:trPr>
          <w:trHeight w:val="20"/>
        </w:trPr>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related party transactions.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Condensed Combined Financial Statements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in early 2026 and is subject to market, regulatory and certain other conditions, including final approval of Comcast’s Board of Directors.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(since rebranded to MS NOW),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condensed combined financial statements, the Versant businesses were operated as part of Comcast’s Media segment. The condensed combined financial statements have been derived from Comcast’s historical accounting records as if Versant operations had been conducted independently from Comcast, and reflect the assets, liabilities, revenues and expenses of the Company on a historical cost basis. The condensed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Accordingly, certain information related to our significant accounting policies and footnote disclosures normally included in financial statements prepared in accordance with U.S. GAAP have been condensed or omitted. These condensed combined financial statements reflect, in the opinion of management, all material adjustments (which include only normally recurring adjustments) necessary to fairly state, in all material respects, our financial position, results of operations and cash flows for the periods presented.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condensed combined balance sheets include assets and liabilities specifically attributable to the Company and certain assets and liabilities held by Comcast but specifically identifiable or otherwise attributable to our business. Assets and liabilities included in our audited condensed combined balance sheets were based on an assessment as of 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condensed combined balance sheets may be included in the Separation. Comcast’s third-party debt and related interest expense have not been attributed to the Company because the borrowings are not specifically identifiable to the Company and the Company is not the legal obligor. The condensed combined financial statements reflect noncontrolling interests for certain subsidiaries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included in the condensed combined financial statements, in which a third party has a minority ownership interest.</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condensed combined statements of income include all revenues and costs directly attributable to our business, including costs related to production activities that use centralized Comcast operations and directly charged to us based on usage. The condensed combined statements of income also include allocations of costs for administrative functions and services performed on our behalf by other centralized functions within Comcast and allocations of costs for the use of shared assets (see Note 5). These expenses have been allocated on a pro rata basis using an applicable measure of revenue. All allocations and estimates reflected in the condensed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condensed combined financial statements. The total net effect of the deemed settlement of these transactions is included in net Parent investment and the net effect of changes in net Parent investment is presented in financing activities in the condensed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condensed combined financial statements and are considered related party transactions. See Note 5 for more information.</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and beginning in 2025, our Chief Executive Officer was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condensed combined financial statements, with further details included throughout the footnotes, including certain of our significant operating expenses in Note 3.</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updated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and early adoption is permitted.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1,039</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$3,095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393</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1,207</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222</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1,663</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1,713</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5,078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amount of future revenue to be earned related to fixed price contracts with advertisers in excess of one year totaled $271 million as of September 30, 2025, which will be recognized over the next 6 years. The amount of future revenue to be earned related to fixed pricing under existing third-party content licensing agreements is $9 million as of September 30, 2025. The majority of this revenue will be recognized within two years.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Balance Sheets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186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86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1,194</w:t>
            </w:r>
          </w:p>
        </w:tc>
        <w:tc>
          <w:tcPr>
            <w:tcW w:w="10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1,245</w:t>
            </w:r>
          </w:p>
        </w:tc>
      </w:tr>
      <w:tr>
        <w:trPr>
          <w:trHeight w:val="20"/>
        </w:trPr>
        <w:tc>
          <w:tcPr>
            <w:tcW w:w="4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September 30, 2025 and December 31, 2024, our ten largest multichannel video provider customers accounted for approximately 50% and 55% of our total accounts receivable, respectively. Refer to Note 5 for revenue and accounts receivable information related to distribution and other arrangements with Comcast.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gift card liability for our movie ticket platform was $42 million and $53 million, respectively, including $29 million and $37 million in accrued expenses and other current liabilities, respectively, with the remainder presented in other noncurrent liabilities. Revenue recorded related to breakage on these gift cards was $2 million for both the three months ended September 30, 2025 and 2024, and $9 million and $7 million for the nine months ended September 30, 2025 and 2024, respectively.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55" w:right="5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Costs of Revenue</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2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2024 </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8"/>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4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$2,056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2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873</w:t>
            </w:r>
          </w:p>
        </w:tc>
        <w:tc>
          <w:tcPr>
            <w:tcW w:w="4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960</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2,227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2,395</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4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2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2024 </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8"/>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4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$1,347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7"/>
        </w:trPr>
        <w:tc>
          <w:tcPr>
            <w:tcW w:w="2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744</w:t>
            </w:r>
          </w:p>
        </w:tc>
        <w:tc>
          <w:tcPr>
            <w:tcW w:w="4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839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1,864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2,056</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i w:val="1"/>
                <w:iCs w:val="1"/>
                <w:color w:val="auto"/>
              </w:rPr>
              <w:t>Capitalized Content Costs</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4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6"/>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to related parties were $184 million and $309 million during the three months ended September 30, 2025 and 2024, respectively,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$757 million and $954 million during the nine months ended September 30, 2025 and 2024, respectively. Accounts receivable due for these transactions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$115 million and $208 million as of September 30, 2025 and December 31, 2024, respectively.</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Costs of revenue from related parties were $398 million and $478 million for the three months ended September 30, 2025 and 2024, respectively, and $751 million and $924 million for the nine months ended September 30, 2025 and 2024, respectively. Capitalized content costs related to these costs were $302 million and $286 million as of September 30, 2025 and December 31, 2024, respectively. Content obligations related to these costs were $93 million and $112 million as of September 30, 2025 and December 31, 2024, respectively.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$2 million and $3 million for the three months ended September 30, 2025 and 2024 respectively, and $6 million and $9 million for the nine months ended September 30, 2025 and 2024, respectively, and are presented in selling, general and administrative expenses. Amounts payable for these transactions were not material as of September 30, 2025 or December 31, 2024.</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Prior to the third quarter 2025, we had related party loan balances associated with the participation of certain of our subsidiaries in Comcast’s centralized cash management programs. Our receivable balances pursuant to these contracts were presented in other current assets in the condensed combined balance sheets and totaled $35 million as of December 31, 2024. Our payable balances pursuant to these contracts were presented in accrued expenses and other current liabilities in the condensed combined balance sheets and totaled $12 million as of December 31, 2024. Activity related to loans receivable and payable is presented in the condensed combined statements of cash flows in other investing and other financing activities, respectively.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condensed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condensed combined statement of income and are reflected in the condensed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cost of revenue for these services were $66 million and $57 million for three months ended September 30, 2025 and 2024 respectively, and $218 million and $202 million for the nine months ended September 30, 2025 and 2024, respectively.</w:t>
      </w:r>
    </w:p>
    <w:p>
      <w:pPr>
        <w:spacing w:after="0" w:line="16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Amounts recorded in selling, general and administrative expenses for these services were $214 million and $177 million for the three months ended September 30, 2025 and 2024, respectively, and $673 million and $667 million for the nine months ended September 30, 2025 and 2024,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Supplemental Financial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Approximately $5 million and $32 million of costs incurred by Comcast related to the Separation have been included in selling, general and administrative expenses in our combined statements of income for the three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nine months ended September 30, 2025, respectively. These costs include legal, consulting, advisory and audit fees that will directly benefit the Versant business as a standalone company, or for which the Versant business is the legal obligor.</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nonmarketable equity securities. In the third quarter of 2025, we recorded an unrealized impairment loss of $40 million for one of our investments. The estimated fair value of $94 million was determined based on an analysis that leveraged multiples of earnings from comparable public companies, which are Level 2 inputs. The cumulative amount of downward adjustments to our nonmarketable equity securities totaled $102 million for investments that continue to be held as of September 30, 2025.</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the third quarter of 2025, we recorded a valuation allowance for $10 million of deferred tax assets resulting from the nonmarketable equity security impairment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November 18, 2025, which is the issue date of these condensed combined financial statements and concluded that other than the financing transactions described below, no additional subsequent events have occurred that would require recognition in the condensed combined financial statements or disclosure in the notes to the condensed combined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Debt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2025, Versant Media Group, Inc. entered into new senior secured credit facilities (the “Senior Credit Facilities”) initially consisting of a five-year $1.0 billion senior secured term A loan facility due January 2031 (the “Term A Loan Facility”), which will be funded on the Separation date, and a five-year $750 million senior secured revolving credit facility (the “Revolving Credit Facility”) due January 2031. The interest rates on borrowings under the Senior Credit Facilities consist of a benchmark rate plus a borrowing margin. As of October 2025, the borrowing margin for borrowings based on the Term SOFR Rate, as defined in the agreement, was 1.75%</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October 2025, Versant Media Group, Inc. also entered into an indenture pursuant to which it issued $1.0 billion aggregate principal amount of 7.25% Senior Secured Notes due January 2031 (the “Senior Secured Notes”). The Senior Secured Notes are subject to a special mandatory redemption at a price of 100% of the principal amount, plus accrued and unpaid interest, if the Separation is not consummated by March 2, 2026. The net proceeds from the offering of the Senior Secured Notes were deposited in an escrow account in favor of the trustee, together with certain additional cash contributed by Comcast. The amounts in escrow will be released upon consummation of the Separation.</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Borrowings under the Senior Credit Facilities and the Senior Secured Notes will be secured, subject to permitted liens and certain other exceptions, by perfected first-priority security interests in substantially all tangible and intangible assets and property of Versant Media Group, Inc. and its wholly owned direct or indirect domestic subsidiaries following the Separation.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1)"/>
      <w:numFmt w:val="lowerLetter"/>
      <w:start w:val="1"/>
    </w:lvl>
  </w:abstractNum>
  <w:abstractNum w:abstractNumId="1">
    <w:nsid w:val="7D5E18F8"/>
    <w:multiLevelType w:val="hybridMultilevel"/>
    <w:lvl w:ilvl="0">
      <w:lvlJc w:val="left"/>
      <w:lvlText w:val="(%1)"/>
      <w:numFmt w:val="lowerLetter"/>
      <w:start w:val="2"/>
    </w:lvl>
  </w:abstractNum>
  <w:abstractNum w:abstractNumId="2">
    <w:nsid w:val="5F3534A4"/>
    <w:multiLevelType w:val="hybridMultilevel"/>
    <w:lvl w:ilvl="0">
      <w:lvlJc w:val="left"/>
      <w:lvlText w:val="%1"/>
      <w:numFmt w:val="decimal"/>
      <w:start w:val="2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1)"/>
      <w:numFmt w:val="lowerRoman"/>
      <w:start w:val="3"/>
    </w:lvl>
  </w:abstractNum>
  <w:abstractNum w:abstractNumId="5">
    <w:nsid w:val="555C55B5"/>
    <w:multiLevelType w:val="hybridMultilevel"/>
    <w:lvl w:ilvl="0">
      <w:lvlJc w:val="left"/>
      <w:lvlText w:val="(%1)"/>
      <w:numFmt w:val="lowerLetter"/>
      <w:start w:val="2"/>
    </w:lvl>
  </w:abstractNum>
  <w:abstractNum w:abstractNumId="6">
    <w:nsid w:val="3FA62ACA"/>
    <w:multiLevelType w:val="hybridMultilevel"/>
    <w:lvl w:ilvl="0">
      <w:lvlJc w:val="left"/>
      <w:lvlText w:val="(%1)"/>
      <w:numFmt w:val="lowerLetter"/>
      <w:start w:val="1"/>
    </w:lvl>
  </w:abstractNum>
  <w:abstractNum w:abstractNumId="7">
    <w:nsid w:val="14FCE74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8">
    <w:nsid w:val="6A3DD3E8"/>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9">
    <w:nsid w:val="71C91298"/>
    <w:multiLevelType w:val="hybridMultilevel"/>
    <w:lvl w:ilvl="0">
      <w:lvlJc w:val="left"/>
      <w:lvlText w:val="(%1)"/>
      <w:numFmt w:val="upperLetter"/>
      <w:start w:val="5"/>
    </w:lvl>
  </w:abstractNum>
  <w:abstractNum w:abstractNumId="10">
    <w:nsid w:val="9DAF632"/>
    <w:multiLevelType w:val="hybridMultilevel"/>
    <w:lvl w:ilvl="0">
      <w:lvlJc w:val="left"/>
      <w:lvlText w:val="(%1)"/>
      <w:numFmt w:val="lowerLetter"/>
      <w:start w:val="1"/>
    </w:lvl>
  </w:abstractNum>
  <w:abstractNum w:abstractNumId="11">
    <w:nsid w:val="53299938"/>
    <w:multiLevelType w:val="hybridMultilevel"/>
    <w:lvl w:ilvl="0">
      <w:lvlJc w:val="left"/>
      <w:lvlText w:val="(%1)"/>
      <w:numFmt w:val="lowerLetter"/>
      <w:start w:val="1"/>
    </w:lvl>
  </w:abstractNum>
  <w:abstractNum w:abstractNumId="12">
    <w:nsid w:val="1FBFE8E0"/>
    <w:multiLevelType w:val="hybridMultilevel"/>
    <w:lvl w:ilvl="0">
      <w:lvlJc w:val="left"/>
      <w:lvlText w:val="(%1)"/>
      <w:numFmt w:val="lowerLetter"/>
      <w:start w:val="1"/>
    </w:lvl>
  </w:abstractNum>
  <w:abstractNum w:abstractNumId="13">
    <w:nsid w:val="5092CA79"/>
    <w:multiLevelType w:val="hybridMultilevel"/>
    <w:lvl w:ilvl="0">
      <w:lvlJc w:val="left"/>
      <w:lvlText w:val="(%1)"/>
      <w:numFmt w:val="lowerLetter"/>
      <w:start w:val="1"/>
    </w:lvl>
  </w:abstractNum>
  <w:abstractNum w:abstractNumId="14">
    <w:nsid w:val="1D545C4D"/>
    <w:multiLevelType w:val="hybridMultilevel"/>
    <w:lvl w:ilvl="0">
      <w:lvlJc w:val="left"/>
      <w:lvlText w:val="(%1)"/>
      <w:numFmt w:val="lowerLetter"/>
      <w:start w:val="2"/>
    </w:lvl>
  </w:abstractNum>
  <w:abstractNum w:abstractNumId="15">
    <w:nsid w:val="59ADEA3D"/>
    <w:multiLevelType w:val="hybridMultilevel"/>
    <w:lvl w:ilvl="0">
      <w:lvlJc w:val="left"/>
      <w:lvlText w:val="(%1)"/>
      <w:numFmt w:val="lowerLetter"/>
      <w:start w:val="5"/>
    </w:lvl>
  </w:abstractNum>
  <w:abstractNum w:abstractNumId="16">
    <w:nsid w:val="288F1A34"/>
    <w:multiLevelType w:val="hybridMultilevel"/>
    <w:lvl w:ilvl="0">
      <w:lvlJc w:val="left"/>
      <w:lvlText w:val="(%1)"/>
      <w:numFmt w:val="lowerLetter"/>
      <w:start w:val="1"/>
    </w:lvl>
  </w:abstractNum>
  <w:abstractNum w:abstractNumId="17">
    <w:nsid w:val="2A155DBC"/>
    <w:multiLevelType w:val="hybridMultilevel"/>
    <w:lvl w:ilvl="0">
      <w:lvlJc w:val="left"/>
      <w:lvlText w:val="(%1)"/>
      <w:numFmt w:val="lowerLetter"/>
      <w:start w:val="2"/>
    </w:lvl>
    <w:lvl w:ilvl="1">
      <w:lvlJc w:val="left"/>
      <w:lvlText w:val="(%2)"/>
      <w:numFmt w:val="lowerRoman"/>
      <w:start w:val="1"/>
    </w:lvl>
  </w:abstractNum>
  <w:abstractNum w:abstractNumId="18">
    <w:nsid w:val="1D9F6E5F"/>
    <w:multiLevelType w:val="hybridMultilevel"/>
    <w:lvl w:ilvl="0">
      <w:lvlJc w:val="left"/>
      <w:lvlText w:val="%1"/>
      <w:numFmt w:val="lowerLetter"/>
      <w:start w:val="1"/>
    </w:lvl>
    <w:lvl w:ilvl="1">
      <w:lvlJc w:val="left"/>
      <w:lvlText w:val="(%2)"/>
      <w:numFmt w:val="lowerLetter"/>
      <w:start w:val="1"/>
    </w:lvl>
  </w:abstractNum>
  <w:abstractNum w:abstractNumId="19">
    <w:nsid w:val="97E1B4E"/>
    <w:multiLevelType w:val="hybridMultilevel"/>
    <w:lvl w:ilvl="0">
      <w:lvlJc w:val="left"/>
      <w:lvlText w:val="(%1)"/>
      <w:numFmt w:val="lowerLetter"/>
      <w:start w:val="35"/>
    </w:lvl>
    <w:lvl w:ilvl="1">
      <w:lvlJc w:val="left"/>
      <w:lvlText w:val="(%2)"/>
      <w:numFmt w:val="lowerLetter"/>
      <w:start w:val="2"/>
    </w:lvl>
  </w:abstractNum>
  <w:abstractNum w:abstractNumId="20">
    <w:nsid w:val="51088277"/>
    <w:multiLevelType w:val="hybridMultilevel"/>
    <w:lvl w:ilvl="0">
      <w:lvlJc w:val="left"/>
      <w:lvlText w:val="(%1)"/>
      <w:numFmt w:val="lowerLetter"/>
      <w:start w:val="1"/>
    </w:lvl>
  </w:abstractNum>
  <w:abstractNum w:abstractNumId="21">
    <w:nsid w:val="1CA0C5FA"/>
    <w:multiLevelType w:val="hybridMultilevel"/>
    <w:lvl w:ilvl="0">
      <w:lvlJc w:val="left"/>
      <w:lvlText w:val="(%1)"/>
      <w:numFmt w:val="lowerLetter"/>
      <w:start w:val="1"/>
    </w:lvl>
  </w:abstractNum>
  <w:abstractNum w:abstractNumId="22">
    <w:nsid w:val="53584BCB"/>
    <w:multiLevelType w:val="hybridMultilevel"/>
    <w:lvl w:ilvl="0">
      <w:lvlJc w:val="left"/>
      <w:lvlText w:val="(%1)"/>
      <w:numFmt w:val="lowerLetter"/>
      <w:start w:val="2"/>
    </w:lvl>
  </w:abstractNum>
  <w:abstractNum w:abstractNumId="23">
    <w:nsid w:val="415E286C"/>
    <w:multiLevelType w:val="hybridMultilevel"/>
    <w:lvl w:ilvl="0">
      <w:lvlJc w:val="left"/>
      <w:lvlText w:val="%1"/>
      <w:numFmt w:val="lowerLetter"/>
      <w:start w:val="1"/>
    </w:lvl>
    <w:lvl w:ilvl="1">
      <w:lvlJc w:val="left"/>
      <w:lvlText w:val="(%2)"/>
      <w:numFmt w:val="lowerLetter"/>
      <w:start w:val="6"/>
    </w:lvl>
  </w:abstractNum>
  <w:abstractNum w:abstractNumId="24">
    <w:nsid w:val="7C58FD05"/>
    <w:multiLevelType w:val="hybridMultilevel"/>
    <w:lvl w:ilvl="0">
      <w:lvlJc w:val="left"/>
      <w:lvlText w:val="(%1)"/>
      <w:numFmt w:val="lowerLetter"/>
      <w:start w:val="9"/>
    </w:lvl>
    <w:lvl w:ilvl="1">
      <w:lvlJc w:val="left"/>
      <w:lvlText w:val="(%2)"/>
      <w:numFmt w:val="lowerLetter"/>
      <w:start w:val="7"/>
    </w:lvl>
  </w:abstractNum>
  <w:abstractNum w:abstractNumId="25">
    <w:nsid w:val="23D86AAC"/>
    <w:multiLevelType w:val="hybridMultilevel"/>
    <w:lvl w:ilvl="0">
      <w:lvlJc w:val="left"/>
      <w:lvlText w:val="(%1)"/>
      <w:numFmt w:val="lowerLetter"/>
      <w:start w:val="1"/>
    </w:lvl>
    <w:lvl w:ilvl="1">
      <w:lvlJc w:val="left"/>
      <w:lvlText w:val="(%2)"/>
      <w:numFmt w:val="lowerLetter"/>
      <w:start w:val="9"/>
    </w:lvl>
  </w:abstractNum>
  <w:abstractNum w:abstractNumId="26">
    <w:nsid w:val="45E6D486"/>
    <w:multiLevelType w:val="hybridMultilevel"/>
    <w:lvl w:ilvl="0">
      <w:lvlJc w:val="left"/>
      <w:lvlText w:val="(%1)"/>
      <w:numFmt w:val="lowerRoman"/>
      <w:start w:val="2"/>
    </w:lvl>
  </w:abstractNum>
  <w:abstractNum w:abstractNumId="27">
    <w:nsid w:val="5C10FE21"/>
    <w:multiLevelType w:val="hybridMultilevel"/>
    <w:lvl w:ilvl="0">
      <w:lvlJc w:val="left"/>
      <w:lvlText w:val="(%1)"/>
      <w:numFmt w:val="lowerLetter"/>
      <w:start w:val="2"/>
    </w:lvl>
  </w:abstractNum>
  <w:abstractNum w:abstractNumId="28">
    <w:nsid w:val="E7FFA2B"/>
    <w:multiLevelType w:val="hybridMultilevel"/>
    <w:lvl w:ilvl="0">
      <w:lvlJc w:val="left"/>
      <w:lvlText w:val="(%1)"/>
      <w:numFmt w:val="lowerLetter"/>
      <w:start w:val="1"/>
    </w:lvl>
    <w:lvl w:ilvl="1">
      <w:lvlJc w:val="left"/>
      <w:lvlText w:val="(%2)"/>
      <w:numFmt w:val="lowerRoman"/>
      <w:start w:val="1"/>
    </w:lvl>
  </w:abstractNum>
  <w:abstractNum w:abstractNumId="29">
    <w:nsid w:val="3C5991AA"/>
    <w:multiLevelType w:val="hybridMultilevel"/>
    <w:lvl w:ilvl="0">
      <w:lvlJc w:val="left"/>
      <w:lvlText w:val="(%1)"/>
      <w:numFmt w:val="lowerRoman"/>
      <w:start w:val="2"/>
    </w:lvl>
  </w:abstractNum>
  <w:abstractNum w:abstractNumId="30">
    <w:nsid w:val="4BD8591A"/>
    <w:multiLevelType w:val="hybridMultilevel"/>
    <w:lvl w:ilvl="0">
      <w:lvlJc w:val="left"/>
      <w:lvlText w:val="(%1)"/>
      <w:numFmt w:val="lowerLetter"/>
      <w:start w:val="1"/>
    </w:lvl>
    <w:lvl w:ilvl="1">
      <w:lvlJc w:val="left"/>
      <w:lvlText w:val="(%2)"/>
      <w:numFmt w:val="lowerRoman"/>
      <w:start w:val="1"/>
    </w:lvl>
  </w:abstractNum>
  <w:abstractNum w:abstractNumId="31">
    <w:nsid w:val="78DF6A55"/>
    <w:multiLevelType w:val="hybridMultilevel"/>
    <w:lvl w:ilvl="0">
      <w:lvlJc w:val="left"/>
      <w:lvlText w:val="(%1)"/>
      <w:numFmt w:val="lowerLetter"/>
      <w:start w:val="1"/>
    </w:lvl>
  </w:abstractNum>
  <w:abstractNum w:abstractNumId="32">
    <w:nsid w:val="39B7AAA2"/>
    <w:multiLevelType w:val="hybridMultilevel"/>
    <w:lvl w:ilvl="0">
      <w:lvlJc w:val="left"/>
      <w:lvlText w:val="(%1)"/>
      <w:numFmt w:val="lowerLetter"/>
      <w:start w:val="3"/>
    </w:lvl>
    <w:lvl w:ilvl="1">
      <w:lvlJc w:val="left"/>
      <w:lvlText w:val="(%2)"/>
      <w:numFmt w:val="lowerRoman"/>
      <w:start w:val="1"/>
    </w:lvl>
  </w:abstractNum>
  <w:abstractNum w:abstractNumId="33">
    <w:nsid w:val="2B0D8DBE"/>
    <w:multiLevelType w:val="hybridMultilevel"/>
    <w:lvl w:ilvl="0">
      <w:lvlJc w:val="left"/>
      <w:lvlText w:val="(%1)"/>
      <w:numFmt w:val="lowerLetter"/>
      <w:start w:val="4"/>
    </w:lvl>
  </w:abstractNum>
  <w:abstractNum w:abstractNumId="34">
    <w:nsid w:val="6C80EC70"/>
    <w:multiLevelType w:val="hybridMultilevel"/>
    <w:lvl w:ilvl="0">
      <w:lvlJc w:val="left"/>
      <w:lvlText w:val="(%1)"/>
      <w:numFmt w:val="lowerLetter"/>
      <w:start w:val="1"/>
    </w:lvl>
  </w:abstractNum>
  <w:abstractNum w:abstractNumId="35">
    <w:nsid w:val="379E21B5"/>
    <w:multiLevelType w:val="hybridMultilevel"/>
    <w:lvl w:ilvl="0">
      <w:lvlJc w:val="left"/>
      <w:lvlText w:val="(%1)"/>
      <w:numFmt w:val="lowerLetter"/>
      <w:start w:val="4"/>
    </w:lvl>
  </w:abstractNum>
  <w:abstractNum w:abstractNumId="36">
    <w:nsid w:val="69E373"/>
    <w:multiLevelType w:val="hybridMultilevel"/>
    <w:lvl w:ilvl="0">
      <w:lvlJc w:val="left"/>
      <w:lvlText w:val="(%1)"/>
      <w:numFmt w:val="lowerLetter"/>
      <w:start w:val="1"/>
    </w:lvl>
  </w:abstractNum>
  <w:abstractNum w:abstractNumId="37">
    <w:nsid w:val="2C27173B"/>
    <w:multiLevelType w:val="hybridMultilevel"/>
    <w:lvl w:ilvl="0">
      <w:lvlJc w:val="left"/>
      <w:lvlText w:val="(%1)"/>
      <w:numFmt w:val="lowerLetter"/>
      <w:start w:val="1"/>
    </w:lvl>
  </w:abstractNum>
  <w:abstractNum w:abstractNumId="38">
    <w:nsid w:val="4C9B0904"/>
    <w:multiLevelType w:val="hybridMultilevel"/>
    <w:lvl w:ilvl="0">
      <w:lvlJc w:val="left"/>
      <w:lvlText w:val="(%1)"/>
      <w:numFmt w:val="lowerLetter"/>
      <w:start w:val="1"/>
    </w:lvl>
  </w:abstractNum>
  <w:abstractNum w:abstractNumId="39">
    <w:nsid w:val="6AA7B75C"/>
    <w:multiLevelType w:val="hybridMultilevel"/>
    <w:lvl w:ilvl="0">
      <w:lvlJc w:val="left"/>
      <w:lvlText w:val="(%1)"/>
      <w:numFmt w:val="lowerLetter"/>
      <w:start w:val="2"/>
    </w:lvl>
  </w:abstractNum>
  <w:abstractNum w:abstractNumId="40">
    <w:nsid w:val="1DF029D3"/>
    <w:multiLevelType w:val="hybridMultilevel"/>
    <w:lvl w:ilvl="0">
      <w:lvlJc w:val="left"/>
      <w:lvlText w:val="(%1)"/>
      <w:numFmt w:val="lowerLetter"/>
      <w:start w:val="1"/>
    </w:lvl>
  </w:abstractNum>
  <w:abstractNum w:abstractNumId="41">
    <w:nsid w:val="5675FF36"/>
    <w:multiLevelType w:val="hybridMultilevel"/>
    <w:lvl w:ilvl="0">
      <w:lvlJc w:val="left"/>
      <w:lvlText w:val="(%1)"/>
      <w:numFmt w:val="lowerLetter"/>
      <w:start w:val="2"/>
    </w:lvl>
  </w:abstractNum>
  <w:abstractNum w:abstractNumId="42">
    <w:nsid w:val="3DD15094"/>
    <w:multiLevelType w:val="hybridMultilevel"/>
    <w:lvl w:ilvl="0">
      <w:lvlJc w:val="left"/>
      <w:lvlText w:val="(%1)"/>
      <w:numFmt w:val="lowerLetter"/>
      <w:start w:val="1"/>
    </w:lvl>
    <w:lvl w:ilvl="1">
      <w:lvlJc w:val="left"/>
      <w:lvlText w:val="(%2)"/>
      <w:numFmt w:val="lowerRoman"/>
      <w:start w:val="1"/>
    </w:lvl>
  </w:abstractNum>
  <w:abstractNum w:abstractNumId="43">
    <w:nsid w:val="3DB012B3"/>
    <w:multiLevelType w:val="hybridMultilevel"/>
    <w:lvl w:ilvl="0">
      <w:lvlJc w:val="left"/>
      <w:lvlText w:val="%1"/>
      <w:numFmt w:val="decimal"/>
      <w:start w:val="1"/>
    </w:lvl>
    <w:lvl w:ilvl="1">
      <w:lvlJc w:val="left"/>
      <w:lvlText w:val="(%2)"/>
      <w:numFmt w:val="lowerRoman"/>
      <w:start w:val="3"/>
    </w:lvl>
  </w:abstractNum>
  <w:abstractNum w:abstractNumId="44">
    <w:nsid w:val="2708C9AF"/>
    <w:multiLevelType w:val="hybridMultilevel"/>
    <w:lvl w:ilvl="0">
      <w:lvlJc w:val="left"/>
      <w:lvlText w:val="(%1)"/>
      <w:numFmt w:val="decimal"/>
      <w:start w:val="1"/>
    </w:lvl>
    <w:lvl w:ilvl="1">
      <w:lvlJc w:val="left"/>
      <w:lvlText w:val="%2"/>
      <w:numFmt w:val="lowerRoman"/>
      <w:start w:val="1"/>
    </w:lvl>
  </w:abstractNum>
  <w:abstractNum w:abstractNumId="45">
    <w:nsid w:val="5B25ACE2"/>
    <w:multiLevelType w:val="hybridMultilevel"/>
    <w:lvl w:ilvl="0">
      <w:lvlJc w:val="left"/>
      <w:lvlText w:val="(%1)"/>
      <w:numFmt w:val="lowerLetter"/>
      <w:start w:val="1"/>
    </w:lvl>
  </w:abstractNum>
  <w:abstractNum w:abstractNumId="46">
    <w:nsid w:val="175DFCF0"/>
    <w:multiLevelType w:val="hybridMultilevel"/>
    <w:lvl w:ilvl="0">
      <w:lvlJc w:val="left"/>
      <w:lvlText w:val="(%1)"/>
      <w:numFmt w:val="lowerLetter"/>
      <w:start w:val="3"/>
    </w:lvl>
  </w:abstractNum>
  <w:abstractNum w:abstractNumId="47">
    <w:nsid w:val="4F97E3E4"/>
    <w:multiLevelType w:val="hybridMultilevel"/>
    <w:lvl w:ilvl="0">
      <w:lvlJc w:val="left"/>
      <w:lvlText w:val="(%1)"/>
      <w:numFmt w:val="lowerLetter"/>
      <w:start w:val="1"/>
    </w:lvl>
    <w:lvl w:ilvl="1">
      <w:lvlJc w:val="left"/>
      <w:lvlText w:val="(%2)"/>
      <w:numFmt w:val="lowerRoman"/>
      <w:start w:val="1"/>
    </w:lvl>
  </w:abstractNum>
  <w:abstractNum w:abstractNumId="48">
    <w:nsid w:val="53B0A9E"/>
    <w:multiLevelType w:val="hybridMultilevel"/>
    <w:lvl w:ilvl="0">
      <w:lvlJc w:val="left"/>
      <w:lvlText w:val="(%1)"/>
      <w:numFmt w:val="lowerLetter"/>
      <w:start w:val="1"/>
    </w:lvl>
  </w:abstractNum>
  <w:abstractNum w:abstractNumId="49">
    <w:nsid w:val="34FD6B4F"/>
    <w:multiLevelType w:val="hybridMultilevel"/>
    <w:lvl w:ilvl="0">
      <w:lvlJc w:val="left"/>
      <w:lvlText w:val="%1"/>
      <w:numFmt w:val="lowerLetter"/>
      <w:start w:val="1"/>
    </w:lvl>
    <w:lvl w:ilvl="1">
      <w:lvlJc w:val="left"/>
      <w:lvlText w:val="(%2)"/>
      <w:numFmt w:val="lowerLetter"/>
      <w:start w:val="4"/>
    </w:lvl>
  </w:abstractNum>
  <w:abstractNum w:abstractNumId="50">
    <w:nsid w:val="5915FF32"/>
    <w:multiLevelType w:val="hybridMultilevel"/>
    <w:lvl w:ilvl="0">
      <w:lvlJc w:val="left"/>
      <w:lvlText w:val="(%1)"/>
      <w:numFmt w:val="lowerLetter"/>
      <w:start w:val="35"/>
    </w:lvl>
    <w:lvl w:ilvl="1">
      <w:lvlJc w:val="left"/>
      <w:lvlText w:val="(%2)"/>
      <w:numFmt w:val="lowerLetter"/>
      <w:start w:val="5"/>
    </w:lvl>
  </w:abstractNum>
  <w:abstractNum w:abstractNumId="51">
    <w:nsid w:val="56438D15"/>
    <w:multiLevelType w:val="hybridMultilevel"/>
    <w:lvl w:ilvl="0">
      <w:lvlJc w:val="left"/>
      <w:lvlText w:val="(%1)"/>
      <w:numFmt w:val="lowerRoman"/>
      <w:start w:val="1"/>
    </w:lvl>
  </w:abstractNum>
  <w:abstractNum w:abstractNumId="52">
    <w:nsid w:val="519E3149"/>
    <w:multiLevelType w:val="hybridMultilevel"/>
    <w:lvl w:ilvl="0">
      <w:lvlJc w:val="left"/>
      <w:lvlText w:val="(%1)"/>
      <w:numFmt w:val="lowerLetter"/>
      <w:start w:val="2"/>
    </w:lvl>
  </w:abstractNum>
  <w:abstractNum w:abstractNumId="53">
    <w:nsid w:val="2C6E4AFD"/>
    <w:multiLevelType w:val="hybridMultilevel"/>
    <w:lvl w:ilvl="0">
      <w:lvlJc w:val="left"/>
      <w:lvlText w:val="(%1)"/>
      <w:numFmt w:val="lowerLetter"/>
      <w:start w:val="3"/>
    </w:lvl>
  </w:abstractNum>
  <w:abstractNum w:abstractNumId="54">
    <w:nsid w:val="17A1B582"/>
    <w:multiLevelType w:val="hybridMultilevel"/>
    <w:lvl w:ilvl="0">
      <w:lvlJc w:val="left"/>
      <w:lvlText w:val="(%1)"/>
      <w:numFmt w:val="lowerLetter"/>
      <w:start w:val="1"/>
    </w:lvl>
  </w:abstractNum>
  <w:abstractNum w:abstractNumId="55">
    <w:nsid w:val="4DF72E4E"/>
    <w:multiLevelType w:val="hybridMultilevel"/>
    <w:lvl w:ilvl="0">
      <w:lvlJc w:val="left"/>
      <w:lvlText w:val="(%1)"/>
      <w:numFmt w:val="lowerLetter"/>
      <w:start w:val="1"/>
    </w:lvl>
  </w:abstractNum>
  <w:abstractNum w:abstractNumId="56">
    <w:nsid w:val="5046B5A9"/>
    <w:multiLevelType w:val="hybridMultilevel"/>
    <w:lvl w:ilvl="0">
      <w:lvlJc w:val="left"/>
      <w:lvlText w:val="(%1)"/>
      <w:numFmt w:val="lowerLetter"/>
      <w:start w:val="1"/>
    </w:lvl>
  </w:abstractNum>
  <w:abstractNum w:abstractNumId="57">
    <w:nsid w:val="5D888A08"/>
    <w:multiLevelType w:val="hybridMultilevel"/>
    <w:lvl w:ilvl="0">
      <w:lvlJc w:val="left"/>
      <w:lvlText w:val="(%1)"/>
      <w:numFmt w:val="lowerLetter"/>
      <w:start w:val="1"/>
    </w:lvl>
  </w:abstractNum>
  <w:abstractNum w:abstractNumId="58">
    <w:nsid w:val="2A082C70"/>
    <w:multiLevelType w:val="hybridMultilevel"/>
    <w:lvl w:ilvl="0">
      <w:lvlJc w:val="left"/>
      <w:lvlText w:val="(%1)"/>
      <w:numFmt w:val="lowerRoman"/>
      <w:start w:val="1"/>
    </w:lvl>
  </w:abstractNum>
  <w:abstractNum w:abstractNumId="59">
    <w:nsid w:val="5EC6AFD4"/>
    <w:multiLevelType w:val="hybridMultilevel"/>
    <w:lvl w:ilvl="0">
      <w:lvlJc w:val="left"/>
      <w:lvlText w:val="(%1)"/>
      <w:numFmt w:val="lowerRoman"/>
      <w:start w:val="1"/>
    </w:lvl>
  </w:abstractNum>
  <w:abstractNum w:abstractNumId="60">
    <w:nsid w:val="19E21BB2"/>
    <w:multiLevelType w:val="hybridMultilevel"/>
    <w:lvl w:ilvl="0">
      <w:lvlJc w:val="left"/>
      <w:lvlText w:val="•"/>
      <w:numFmt w:val="bullet"/>
      <w:start w:val="1"/>
    </w:lvl>
  </w:abstractNum>
  <w:abstractNum w:abstractNumId="61">
    <w:nsid w:val="75E0858A"/>
    <w:multiLevelType w:val="hybridMultilevel"/>
    <w:lvl w:ilvl="0">
      <w:lvlJc w:val="left"/>
      <w:lvlText w:val="•"/>
      <w:numFmt w:val="bullet"/>
      <w:start w:val="1"/>
    </w:lvl>
  </w:abstractNum>
  <w:abstractNum w:abstractNumId="62">
    <w:nsid w:val="57A61A29"/>
    <w:multiLevelType w:val="hybridMultilevel"/>
    <w:lvl w:ilvl="0">
      <w:lvlJc w:val="left"/>
      <w:lvlText w:val="%1"/>
      <w:numFmt w:val="decimal"/>
      <w:start w:val="1"/>
    </w:lvl>
    <w:lvl w:ilvl="1">
      <w:lvlJc w:val="left"/>
      <w:lvlText w:val="•"/>
      <w:numFmt w:val="bullet"/>
      <w:start w:val="1"/>
    </w:lvl>
  </w:abstractNum>
  <w:abstractNum w:abstractNumId="63">
    <w:nsid w:val="5399C654"/>
    <w:multiLevelType w:val="hybridMultilevel"/>
    <w:lvl w:ilvl="0">
      <w:lvlJc w:val="left"/>
      <w:lvlText w:val="•"/>
      <w:numFmt w:val="bullet"/>
      <w:start w:val="1"/>
    </w:lvl>
  </w:abstractNum>
  <w:abstractNum w:abstractNumId="64">
    <w:nsid w:val="20EE1348"/>
    <w:multiLevelType w:val="hybridMultilevel"/>
    <w:lvl w:ilvl="0">
      <w:lvlJc w:val="left"/>
      <w:lvlText w:val="%1:"/>
      <w:numFmt w:val="upperLetter"/>
      <w:start w:val="17"/>
    </w:lvl>
  </w:abstractNum>
  <w:abstractNum w:abstractNumId="65">
    <w:nsid w:val="4427069A"/>
    <w:multiLevelType w:val="hybridMultilevel"/>
    <w:lvl w:ilvl="0">
      <w:lvlJc w:val="left"/>
      <w:lvlText w:val="%1:"/>
      <w:numFmt w:val="upperLetter"/>
      <w:start w:val="1"/>
    </w:lvl>
  </w:abstractNum>
  <w:abstractNum w:abstractNumId="66">
    <w:nsid w:val="B37E80A"/>
    <w:multiLevelType w:val="hybridMultilevel"/>
    <w:lvl w:ilvl="0">
      <w:lvlJc w:val="left"/>
      <w:lvlText w:val="%1:"/>
      <w:numFmt w:val="upperLetter"/>
      <w:start w:val="17"/>
    </w:lvl>
  </w:abstractNum>
  <w:abstractNum w:abstractNumId="67">
    <w:nsid w:val="2157F6BC"/>
    <w:multiLevelType w:val="hybridMultilevel"/>
    <w:lvl w:ilvl="0">
      <w:lvlJc w:val="left"/>
      <w:lvlText w:val="%1:"/>
      <w:numFmt w:val="upperLetter"/>
      <w:start w:val="1"/>
    </w:lvl>
  </w:abstractNum>
  <w:abstractNum w:abstractNumId="68">
    <w:nsid w:val="704E1DD5"/>
    <w:multiLevelType w:val="hybridMultilevel"/>
    <w:lvl w:ilvl="0">
      <w:lvlJc w:val="left"/>
      <w:lvlText w:val="%1:"/>
      <w:numFmt w:val="upperLetter"/>
      <w:start w:val="17"/>
    </w:lvl>
  </w:abstractNum>
  <w:abstractNum w:abstractNumId="69">
    <w:nsid w:val="57D2F10E"/>
    <w:multiLevelType w:val="hybridMultilevel"/>
    <w:lvl w:ilvl="0">
      <w:lvlJc w:val="left"/>
      <w:lvlText w:val="%1:"/>
      <w:numFmt w:val="upperLetter"/>
      <w:start w:val="1"/>
    </w:lvl>
  </w:abstractNum>
  <w:abstractNum w:abstractNumId="70">
    <w:nsid w:val="BFFAE18"/>
    <w:multiLevelType w:val="hybridMultilevel"/>
    <w:lvl w:ilvl="0">
      <w:lvlJc w:val="left"/>
      <w:lvlText w:val="%1:"/>
      <w:numFmt w:val="upperLetter"/>
      <w:start w:val="17"/>
    </w:lvl>
  </w:abstractNum>
  <w:abstractNum w:abstractNumId="71">
    <w:nsid w:val="E3E47A8"/>
    <w:multiLevelType w:val="hybridMultilevel"/>
    <w:lvl w:ilvl="0">
      <w:lvlJc w:val="left"/>
      <w:lvlText w:val="%1:"/>
      <w:numFmt w:val="upperLetter"/>
      <w:start w:val="1"/>
    </w:lvl>
  </w:abstractNum>
  <w:abstractNum w:abstractNumId="72">
    <w:nsid w:val="2E48F044"/>
    <w:multiLevelType w:val="hybridMultilevel"/>
    <w:lvl w:ilvl="0">
      <w:lvlJc w:val="left"/>
      <w:lvlText w:val="%1:"/>
      <w:numFmt w:val="upperLetter"/>
      <w:start w:val="17"/>
    </w:lvl>
  </w:abstractNum>
  <w:abstractNum w:abstractNumId="73">
    <w:nsid w:val="49D0FEAC"/>
    <w:multiLevelType w:val="hybridMultilevel"/>
    <w:lvl w:ilvl="0">
      <w:lvlJc w:val="left"/>
      <w:lvlText w:val="%1:"/>
      <w:numFmt w:val="upperLetter"/>
      <w:start w:val="1"/>
    </w:lvl>
  </w:abstractNum>
  <w:abstractNum w:abstractNumId="74">
    <w:nsid w:val="4BEE5A5B"/>
    <w:multiLevelType w:val="hybridMultilevel"/>
    <w:lvl w:ilvl="0">
      <w:lvlJc w:val="left"/>
      <w:lvlText w:val="%1:"/>
      <w:numFmt w:val="upperLetter"/>
      <w:start w:val="17"/>
    </w:lvl>
  </w:abstractNum>
  <w:abstractNum w:abstractNumId="75">
    <w:nsid w:val="5551B9F3"/>
    <w:multiLevelType w:val="hybridMultilevel"/>
    <w:lvl w:ilvl="0">
      <w:lvlJc w:val="left"/>
      <w:lvlText w:val="%1:"/>
      <w:numFmt w:val="upperLetter"/>
      <w:start w:val="1"/>
    </w:lvl>
  </w:abstractNum>
  <w:abstractNum w:abstractNumId="76">
    <w:nsid w:val="24F6AB8E"/>
    <w:multiLevelType w:val="hybridMultilevel"/>
    <w:lvl w:ilvl="0">
      <w:lvlJc w:val="left"/>
      <w:lvlText w:val="%1:"/>
      <w:numFmt w:val="upperLetter"/>
      <w:start w:val="17"/>
    </w:lvl>
  </w:abstractNum>
  <w:abstractNum w:abstractNumId="77">
    <w:nsid w:val="634C574C"/>
    <w:multiLevelType w:val="hybridMultilevel"/>
    <w:lvl w:ilvl="0">
      <w:lvlJc w:val="left"/>
      <w:lvlText w:val="%1:"/>
      <w:numFmt w:val="upperLetter"/>
      <w:start w:val="1"/>
    </w:lvl>
  </w:abstractNum>
  <w:abstractNum w:abstractNumId="78">
    <w:nsid w:val="24E99DD7"/>
    <w:multiLevelType w:val="hybridMultilevel"/>
    <w:lvl w:ilvl="0">
      <w:lvlJc w:val="left"/>
      <w:lvlText w:val="%1:"/>
      <w:numFmt w:val="upperLetter"/>
      <w:start w:val="17"/>
    </w:lvl>
  </w:abstractNum>
  <w:abstractNum w:abstractNumId="79">
    <w:nsid w:val="2A31B62D"/>
    <w:multiLevelType w:val="hybridMultilevel"/>
    <w:lvl w:ilvl="0">
      <w:lvlJc w:val="left"/>
      <w:lvlText w:val="%1:"/>
      <w:numFmt w:val="upperLetter"/>
      <w:start w:val="17"/>
    </w:lvl>
  </w:abstractNum>
  <w:abstractNum w:abstractNumId="80">
    <w:nsid w:val="1849C29B"/>
    <w:multiLevelType w:val="hybridMultilevel"/>
    <w:lvl w:ilvl="0">
      <w:lvlJc w:val="left"/>
      <w:lvlText w:val="%1:"/>
      <w:numFmt w:val="upperLetter"/>
      <w:start w:val="1"/>
    </w:lvl>
  </w:abstractNum>
  <w:abstractNum w:abstractNumId="81">
    <w:nsid w:val="7DFF9D09"/>
    <w:multiLevelType w:val="hybridMultilevel"/>
    <w:lvl w:ilvl="0">
      <w:lvlJc w:val="left"/>
      <w:lvlText w:val="%1:"/>
      <w:numFmt w:val="upperLetter"/>
      <w:start w:val="17"/>
    </w:lvl>
  </w:abstractNum>
  <w:abstractNum w:abstractNumId="82">
    <w:nsid w:val="754342"/>
    <w:multiLevelType w:val="hybridMultilevel"/>
    <w:lvl w:ilvl="0">
      <w:lvlJc w:val="left"/>
      <w:lvlText w:val="%1:"/>
      <w:numFmt w:val="upperLetter"/>
      <w:start w:val="1"/>
    </w:lvl>
  </w:abstractNum>
  <w:abstractNum w:abstractNumId="83">
    <w:nsid w:val="69E7F3E5"/>
    <w:multiLevelType w:val="hybridMultilevel"/>
    <w:lvl w:ilvl="0">
      <w:lvlJc w:val="left"/>
      <w:lvlText w:val="%1:"/>
      <w:numFmt w:val="upperLetter"/>
      <w:start w:val="17"/>
    </w:lvl>
  </w:abstractNum>
  <w:abstractNum w:abstractNumId="84">
    <w:nsid w:val="2A6DE806"/>
    <w:multiLevelType w:val="hybridMultilevel"/>
    <w:lvl w:ilvl="0">
      <w:lvlJc w:val="left"/>
      <w:lvlText w:val="%1:"/>
      <w:numFmt w:val="upperLetter"/>
      <w:start w:val="1"/>
    </w:lvl>
  </w:abstractNum>
  <w:abstractNum w:abstractNumId="85">
    <w:nsid w:val="1816F8C4"/>
    <w:multiLevelType w:val="hybridMultilevel"/>
    <w:lvl w:ilvl="0">
      <w:lvlJc w:val="left"/>
      <w:lvlText w:val="%1:"/>
      <w:numFmt w:val="upperLetter"/>
      <w:start w:val="17"/>
    </w:lvl>
  </w:abstractNum>
  <w:abstractNum w:abstractNumId="86">
    <w:nsid w:val="37DF2233"/>
    <w:multiLevelType w:val="hybridMultilevel"/>
    <w:lvl w:ilvl="0">
      <w:lvlJc w:val="left"/>
      <w:lvlText w:val="%1:"/>
      <w:numFmt w:val="upperLetter"/>
      <w:start w:val="1"/>
    </w:lvl>
  </w:abstractNum>
  <w:abstractNum w:abstractNumId="87">
    <w:nsid w:val="7AB49DAF"/>
    <w:multiLevelType w:val="hybridMultilevel"/>
    <w:lvl w:ilvl="0">
      <w:lvlJc w:val="left"/>
      <w:lvlText w:val="%1:"/>
      <w:numFmt w:val="upperLetter"/>
      <w:start w:val="17"/>
    </w:lvl>
  </w:abstractNum>
  <w:abstractNum w:abstractNumId="88">
    <w:nsid w:val="759F82CD"/>
    <w:multiLevelType w:val="hybridMultilevel"/>
    <w:lvl w:ilvl="0">
      <w:lvlJc w:val="left"/>
      <w:lvlText w:val="%1:"/>
      <w:numFmt w:val="upperLetter"/>
      <w:start w:val="1"/>
    </w:lvl>
  </w:abstractNum>
  <w:abstractNum w:abstractNumId="89">
    <w:nsid w:val="61E74EA3"/>
    <w:multiLevelType w:val="hybridMultilevel"/>
    <w:lvl w:ilvl="0">
      <w:lvlJc w:val="left"/>
      <w:lvlText w:val="%1:"/>
      <w:numFmt w:val="upperLetter"/>
      <w:start w:val="17"/>
    </w:lvl>
  </w:abstractNum>
  <w:abstractNum w:abstractNumId="90">
    <w:nsid w:val="597B4D84"/>
    <w:multiLevelType w:val="hybridMultilevel"/>
    <w:lvl w:ilvl="0">
      <w:lvlJc w:val="left"/>
      <w:lvlText w:val="%1:"/>
      <w:numFmt w:val="upperLetter"/>
      <w:start w:val="1"/>
    </w:lvl>
  </w:abstractNum>
  <w:abstractNum w:abstractNumId="91">
    <w:nsid w:val="F819E7F"/>
    <w:multiLevelType w:val="hybridMultilevel"/>
    <w:lvl w:ilvl="0">
      <w:lvlJc w:val="left"/>
      <w:lvlText w:val="%1:"/>
      <w:numFmt w:val="upperLetter"/>
      <w:start w:val="17"/>
    </w:lvl>
  </w:abstractNum>
  <w:abstractNum w:abstractNumId="92">
    <w:nsid w:val="57C7D42D"/>
    <w:multiLevelType w:val="hybridMultilevel"/>
    <w:lvl w:ilvl="0">
      <w:lvlJc w:val="left"/>
      <w:lvlText w:val="%1:"/>
      <w:numFmt w:val="upperLetter"/>
      <w:start w:val="1"/>
    </w:lvl>
  </w:abstractNum>
  <w:abstractNum w:abstractNumId="93">
    <w:nsid w:val="312167AD"/>
    <w:multiLevelType w:val="hybridMultilevel"/>
    <w:lvl w:ilvl="0">
      <w:lvlJc w:val="left"/>
      <w:lvlText w:val="%1:"/>
      <w:numFmt w:val="upperLetter"/>
      <w:start w:val="17"/>
    </w:lvl>
  </w:abstractNum>
  <w:abstractNum w:abstractNumId="94">
    <w:nsid w:val="631B64D4"/>
    <w:multiLevelType w:val="hybridMultilevel"/>
    <w:lvl w:ilvl="0">
      <w:lvlJc w:val="left"/>
      <w:lvlText w:val="%1:"/>
      <w:numFmt w:val="upperLetter"/>
      <w:start w:val="1"/>
    </w:lvl>
  </w:abstractNum>
  <w:abstractNum w:abstractNumId="95">
    <w:nsid w:val="78B5E776"/>
    <w:multiLevelType w:val="hybridMultilevel"/>
    <w:lvl w:ilvl="0">
      <w:lvlJc w:val="left"/>
      <w:lvlText w:val="%1:"/>
      <w:numFmt w:val="upperLetter"/>
      <w:start w:val="17"/>
    </w:lvl>
  </w:abstractNum>
  <w:abstractNum w:abstractNumId="96">
    <w:nsid w:val="75486E47"/>
    <w:multiLevelType w:val="hybridMultilevel"/>
    <w:lvl w:ilvl="0">
      <w:lvlJc w:val="left"/>
      <w:lvlText w:val="%1:"/>
      <w:numFmt w:val="upperLetter"/>
      <w:start w:val="1"/>
    </w:lvl>
  </w:abstractNum>
  <w:abstractNum w:abstractNumId="97">
    <w:nsid w:val="6E534CDE"/>
    <w:multiLevelType w:val="hybridMultilevel"/>
    <w:lvl w:ilvl="0">
      <w:lvlJc w:val="left"/>
      <w:lvlText w:val="%1:"/>
      <w:numFmt w:val="upperLetter"/>
      <w:start w:val="17"/>
    </w:lvl>
  </w:abstractNum>
  <w:abstractNum w:abstractNumId="98">
    <w:nsid w:val="1A0DDE32"/>
    <w:multiLevelType w:val="hybridMultilevel"/>
    <w:lvl w:ilvl="0">
      <w:lvlJc w:val="left"/>
      <w:lvlText w:val="%1:"/>
      <w:numFmt w:val="upperLetter"/>
      <w:start w:val="1"/>
    </w:lvl>
  </w:abstractNum>
  <w:abstractNum w:abstractNumId="99">
    <w:nsid w:val="65968C1C"/>
    <w:multiLevelType w:val="hybridMultilevel"/>
    <w:lvl w:ilvl="0">
      <w:lvlJc w:val="left"/>
      <w:lvlText w:val="%1:"/>
      <w:numFmt w:val="upperLetter"/>
      <w:start w:val="17"/>
    </w:lvl>
  </w:abstractNum>
  <w:abstractNum w:abstractNumId="100">
    <w:nsid w:val="46263DEC"/>
    <w:multiLevelType w:val="hybridMultilevel"/>
    <w:lvl w:ilvl="0">
      <w:lvlJc w:val="left"/>
      <w:lvlText w:val="%1:"/>
      <w:numFmt w:val="upperLetter"/>
      <w:start w:val="1"/>
    </w:lvl>
  </w:abstractNum>
  <w:abstractNum w:abstractNumId="101">
    <w:nsid w:val="260D8C4A"/>
    <w:multiLevelType w:val="hybridMultilevel"/>
    <w:lvl w:ilvl="0">
      <w:lvlJc w:val="left"/>
      <w:lvlText w:val="%1:"/>
      <w:numFmt w:val="upperLetter"/>
      <w:start w:val="17"/>
    </w:lvl>
  </w:abstractNum>
  <w:abstractNum w:abstractNumId="102">
    <w:nsid w:val="73D4D3C4"/>
    <w:multiLevelType w:val="hybridMultilevel"/>
    <w:lvl w:ilvl="0">
      <w:lvlJc w:val="left"/>
      <w:lvlText w:val="%1:"/>
      <w:numFmt w:val="upperLetter"/>
      <w:start w:val="1"/>
    </w:lvl>
  </w:abstractNum>
  <w:abstractNum w:abstractNumId="103">
    <w:nsid w:val="746F2E30"/>
    <w:multiLevelType w:val="hybridMultilevel"/>
    <w:lvl w:ilvl="0">
      <w:lvlJc w:val="left"/>
      <w:lvlText w:val="%1:"/>
      <w:numFmt w:val="upperLetter"/>
      <w:start w:val="17"/>
    </w:lvl>
  </w:abstractNum>
  <w:abstractNum w:abstractNumId="104">
    <w:nsid w:val="6FDE8AF6"/>
    <w:multiLevelType w:val="hybridMultilevel"/>
    <w:lvl w:ilvl="0">
      <w:lvlJc w:val="left"/>
      <w:lvlText w:val="%1:"/>
      <w:numFmt w:val="upperLetter"/>
      <w:start w:val="1"/>
    </w:lvl>
  </w:abstractNum>
  <w:abstractNum w:abstractNumId="105">
    <w:nsid w:val="3FC32E20"/>
    <w:multiLevelType w:val="hybridMultilevel"/>
    <w:lvl w:ilvl="0">
      <w:lvlJc w:val="left"/>
      <w:lvlText w:val="%1:"/>
      <w:numFmt w:val="upperLetter"/>
      <w:start w:val="17"/>
    </w:lvl>
  </w:abstractNum>
  <w:abstractNum w:abstractNumId="106">
    <w:nsid w:val="49C0E823"/>
    <w:multiLevelType w:val="hybridMultilevel"/>
    <w:lvl w:ilvl="0">
      <w:lvlJc w:val="left"/>
      <w:lvlText w:val="%1:"/>
      <w:numFmt w:val="upperLetter"/>
      <w:start w:val="1"/>
    </w:lvl>
  </w:abstractNum>
  <w:abstractNum w:abstractNumId="107">
    <w:nsid w:val="14D53685"/>
    <w:multiLevelType w:val="hybridMultilevel"/>
    <w:lvl w:ilvl="0">
      <w:lvlJc w:val="left"/>
      <w:lvlText w:val="%1:"/>
      <w:numFmt w:val="upperLetter"/>
      <w:start w:val="17"/>
    </w:lvl>
  </w:abstractNum>
  <w:abstractNum w:abstractNumId="108">
    <w:nsid w:val="230F856C"/>
    <w:multiLevelType w:val="hybridMultilevel"/>
    <w:lvl w:ilvl="0">
      <w:lvlJc w:val="left"/>
      <w:lvlText w:val="%1:"/>
      <w:numFmt w:val="upperLetter"/>
      <w:start w:val="1"/>
    </w:lvl>
  </w:abstractNum>
  <w:abstractNum w:abstractNumId="109">
    <w:nsid w:val="6EAA85FB"/>
    <w:multiLevelType w:val="hybridMultilevel"/>
    <w:lvl w:ilvl="0">
      <w:lvlJc w:val="left"/>
      <w:lvlText w:val="%1:"/>
      <w:numFmt w:val="upperLetter"/>
      <w:start w:val="17"/>
    </w:lvl>
  </w:abstractNum>
  <w:abstractNum w:abstractNumId="110">
    <w:nsid w:val="3F06ECB2"/>
    <w:multiLevelType w:val="hybridMultilevel"/>
    <w:lvl w:ilvl="0">
      <w:lvlJc w:val="left"/>
      <w:lvlText w:val="%1:"/>
      <w:numFmt w:val="upperLetter"/>
      <w:start w:val="1"/>
    </w:lvl>
  </w:abstractNum>
  <w:abstractNum w:abstractNumId="111">
    <w:nsid w:val="3B594807"/>
    <w:multiLevelType w:val="hybridMultilevel"/>
    <w:lvl w:ilvl="0">
      <w:lvlJc w:val="left"/>
      <w:lvlText w:val="%1:"/>
      <w:numFmt w:val="upperLetter"/>
      <w:start w:val="17"/>
    </w:lvl>
  </w:abstractNum>
  <w:abstractNum w:abstractNumId="112">
    <w:nsid w:val="6CAA2304"/>
    <w:multiLevelType w:val="hybridMultilevel"/>
    <w:lvl w:ilvl="0">
      <w:lvlJc w:val="left"/>
      <w:lvlText w:val="%1:"/>
      <w:numFmt w:val="upperLetter"/>
      <w:start w:val="1"/>
    </w:lvl>
  </w:abstractNum>
  <w:abstractNum w:abstractNumId="113">
    <w:nsid w:val="3F7C2FF4"/>
    <w:multiLevelType w:val="hybridMultilevel"/>
    <w:lvl w:ilvl="0">
      <w:lvlJc w:val="left"/>
      <w:lvlText w:val="%1:"/>
      <w:numFmt w:val="upperLetter"/>
      <w:start w:val="17"/>
    </w:lvl>
  </w:abstractNum>
  <w:abstractNum w:abstractNumId="114">
    <w:nsid w:val="25413BEC"/>
    <w:multiLevelType w:val="hybridMultilevel"/>
    <w:lvl w:ilvl="0">
      <w:lvlJc w:val="left"/>
      <w:lvlText w:val="%1:"/>
      <w:numFmt w:val="upperLetter"/>
      <w:start w:val="1"/>
    </w:lvl>
  </w:abstractNum>
  <w:abstractNum w:abstractNumId="115">
    <w:nsid w:val="17180B0B"/>
    <w:multiLevelType w:val="hybridMultilevel"/>
    <w:lvl w:ilvl="0">
      <w:lvlJc w:val="left"/>
      <w:lvlText w:val="%1:"/>
      <w:numFmt w:val="upperLetter"/>
      <w:start w:val="17"/>
    </w:lvl>
  </w:abstractNum>
  <w:abstractNum w:abstractNumId="116">
    <w:nsid w:val="579328B9"/>
    <w:multiLevelType w:val="hybridMultilevel"/>
    <w:lvl w:ilvl="0">
      <w:lvlJc w:val="left"/>
      <w:lvlText w:val="%1:"/>
      <w:numFmt w:val="upperLetter"/>
      <w:start w:val="1"/>
    </w:lvl>
  </w:abstractNum>
  <w:abstractNum w:abstractNumId="117">
    <w:nsid w:val="5D205E20"/>
    <w:multiLevelType w:val="hybridMultilevel"/>
    <w:lvl w:ilvl="0">
      <w:lvlJc w:val="left"/>
      <w:lvlText w:val="•"/>
      <w:numFmt w:val="bullet"/>
      <w:start w:val="1"/>
    </w:lvl>
  </w:abstractNum>
  <w:abstractNum w:abstractNumId="118">
    <w:nsid w:val="11CCA8BA"/>
    <w:multiLevelType w:val="hybridMultilevel"/>
    <w:lvl w:ilvl="0">
      <w:lvlJc w:val="left"/>
      <w:lvlText w:val="•"/>
      <w:numFmt w:val="bullet"/>
      <w:start w:val="1"/>
    </w:lvl>
  </w:abstractNum>
  <w:abstractNum w:abstractNumId="119">
    <w:nsid w:val="4D32AB86"/>
    <w:multiLevelType w:val="hybridMultilevel"/>
    <w:lvl w:ilvl="0">
      <w:lvlJc w:val="left"/>
      <w:lvlText w:val="•"/>
      <w:numFmt w:val="bullet"/>
      <w:start w:val="1"/>
    </w:lvl>
  </w:abstractNum>
  <w:abstractNum w:abstractNumId="120">
    <w:nsid w:val="3F07ACC3"/>
    <w:multiLevelType w:val="hybridMultilevel"/>
    <w:lvl w:ilvl="0">
      <w:lvlJc w:val="left"/>
      <w:lvlText w:val="•"/>
      <w:numFmt w:val="bullet"/>
      <w:start w:val="1"/>
    </w:lvl>
  </w:abstractNum>
  <w:abstractNum w:abstractNumId="121">
    <w:nsid w:val="6B47F63E"/>
    <w:multiLevelType w:val="hybridMultilevel"/>
    <w:lvl w:ilvl="0">
      <w:lvlJc w:val="left"/>
      <w:lvlText w:val="(%1)"/>
      <w:numFmt w:val="decimal"/>
      <w:start w:val="1"/>
    </w:lvl>
  </w:abstractNum>
  <w:abstractNum w:abstractNumId="122">
    <w:nsid w:val="5CB44A05"/>
    <w:multiLevelType w:val="hybridMultilevel"/>
    <w:lvl w:ilvl="0">
      <w:lvlJc w:val="left"/>
      <w:lvlText w:val="•"/>
      <w:numFmt w:val="bullet"/>
      <w:start w:val="1"/>
    </w:lvl>
  </w:abstractNum>
  <w:abstractNum w:abstractNumId="123">
    <w:nsid w:val="16CF80F1"/>
    <w:multiLevelType w:val="hybridMultilevel"/>
    <w:lvl w:ilvl="0">
      <w:lvlJc w:val="left"/>
      <w:lvlText w:val="•"/>
      <w:numFmt w:val="bullet"/>
      <w:start w:val="1"/>
    </w:lvl>
  </w:abstractNum>
  <w:abstractNum w:abstractNumId="124">
    <w:nsid w:val="1C695DEC"/>
    <w:multiLevelType w:val="hybridMultilevel"/>
    <w:lvl w:ilvl="0">
      <w:lvlJc w:val="left"/>
      <w:lvlText w:val="•"/>
      <w:numFmt w:val="bullet"/>
      <w:start w:val="1"/>
    </w:lvl>
  </w:abstractNum>
  <w:abstractNum w:abstractNumId="125">
    <w:nsid w:val="3FCFAED9"/>
    <w:multiLevelType w:val="hybridMultilevel"/>
    <w:lvl w:ilvl="0">
      <w:lvlJc w:val="left"/>
      <w:lvlText w:val="•"/>
      <w:numFmt w:val="bullet"/>
      <w:start w:val="1"/>
    </w:lvl>
  </w:abstractNum>
  <w:abstractNum w:abstractNumId="126">
    <w:nsid w:val="F856867"/>
    <w:multiLevelType w:val="hybridMultilevel"/>
    <w:lvl w:ilvl="0">
      <w:lvlJc w:val="left"/>
      <w:lvlText w:val="•"/>
      <w:numFmt w:val="bullet"/>
      <w:start w:val="1"/>
    </w:lvl>
  </w:abstractNum>
  <w:abstractNum w:abstractNumId="127">
    <w:nsid w:val="11B1CC33"/>
    <w:multiLevelType w:val="hybridMultilevel"/>
    <w:lvl w:ilvl="0">
      <w:lvlJc w:val="left"/>
      <w:lvlText w:val="•"/>
      <w:numFmt w:val="bullet"/>
      <w:start w:val="1"/>
    </w:lvl>
  </w:abstractNum>
  <w:abstractNum w:abstractNumId="128">
    <w:nsid w:val="2E22FBB7"/>
    <w:multiLevelType w:val="hybridMultilevel"/>
    <w:lvl w:ilvl="0">
      <w:lvlJc w:val="left"/>
      <w:lvlText w:val="•"/>
      <w:numFmt w:val="bullet"/>
      <w:start w:val="1"/>
    </w:lvl>
  </w:abstractNum>
  <w:abstractNum w:abstractNumId="129">
    <w:nsid w:val="29934699"/>
    <w:multiLevelType w:val="hybridMultilevel"/>
    <w:lvl w:ilvl="0">
      <w:lvlJc w:val="left"/>
      <w:lvlText w:val="•"/>
      <w:numFmt w:val="bullet"/>
      <w:start w:val="1"/>
    </w:lvl>
  </w:abstractNum>
  <w:abstractNum w:abstractNumId="130">
    <w:nsid w:val="77485850"/>
    <w:multiLevelType w:val="hybridMultilevel"/>
    <w:lvl w:ilvl="0">
      <w:lvlJc w:val="left"/>
      <w:lvlText w:val="•"/>
      <w:numFmt w:val="bullet"/>
      <w:start w:val="1"/>
    </w:lvl>
  </w:abstractNum>
  <w:abstractNum w:abstractNumId="131">
    <w:nsid w:val="744939A3"/>
    <w:multiLevelType w:val="hybridMultilevel"/>
    <w:lvl w:ilvl="0">
      <w:lvlJc w:val="left"/>
      <w:lvlText w:val="•"/>
      <w:numFmt w:val="bullet"/>
      <w:start w:val="1"/>
    </w:lvl>
  </w:abstractNum>
  <w:abstractNum w:abstractNumId="132">
    <w:nsid w:val="4FA0D2E3"/>
    <w:multiLevelType w:val="hybridMultilevel"/>
    <w:lvl w:ilvl="0">
      <w:lvlJc w:val="left"/>
      <w:lvlText w:val="•"/>
      <w:numFmt w:val="bullet"/>
      <w:start w:val="1"/>
    </w:lvl>
  </w:abstractNum>
  <w:abstractNum w:abstractNumId="133">
    <w:nsid w:val="6B1D2C14"/>
    <w:multiLevelType w:val="hybridMultilevel"/>
    <w:lvl w:ilvl="0">
      <w:lvlJc w:val="left"/>
      <w:lvlText w:val="•"/>
      <w:numFmt w:val="bullet"/>
      <w:start w:val="1"/>
    </w:lvl>
  </w:abstractNum>
  <w:abstractNum w:abstractNumId="134">
    <w:nsid w:val="68B867D3"/>
    <w:multiLevelType w:val="hybridMultilevel"/>
    <w:lvl w:ilvl="0">
      <w:lvlJc w:val="left"/>
      <w:lvlText w:val="•"/>
      <w:numFmt w:val="bullet"/>
      <w:start w:val="1"/>
    </w:lvl>
  </w:abstractNum>
  <w:abstractNum w:abstractNumId="135">
    <w:nsid w:val="3F7F5DD9"/>
    <w:multiLevelType w:val="hybridMultilevel"/>
    <w:lvl w:ilvl="0">
      <w:lvlJc w:val="left"/>
      <w:lvlText w:val="•"/>
      <w:numFmt w:val="bullet"/>
      <w:start w:val="1"/>
    </w:lvl>
  </w:abstractNum>
  <w:abstractNum w:abstractNumId="136">
    <w:nsid w:val="2AE05A34"/>
    <w:multiLevelType w:val="hybridMultilevel"/>
    <w:lvl w:ilvl="0">
      <w:lvlJc w:val="left"/>
      <w:lvlText w:val="•"/>
      <w:numFmt w:val="bullet"/>
      <w:start w:val="1"/>
    </w:lvl>
  </w:abstractNum>
  <w:abstractNum w:abstractNumId="137">
    <w:nsid w:val="32794FF7"/>
    <w:multiLevelType w:val="hybridMultilevel"/>
    <w:lvl w:ilvl="0">
      <w:lvlJc w:val="left"/>
      <w:lvlText w:val="•"/>
      <w:numFmt w:val="bullet"/>
      <w:start w:val="1"/>
    </w:lvl>
  </w:abstractNum>
  <w:abstractNum w:abstractNumId="138">
    <w:nsid w:val="5454945E"/>
    <w:multiLevelType w:val="hybridMultilevel"/>
    <w:lvl w:ilvl="0">
      <w:lvlJc w:val="left"/>
      <w:lvlText w:val="•"/>
      <w:numFmt w:val="bullet"/>
      <w:start w:val="1"/>
    </w:lvl>
  </w:abstractNum>
  <w:abstractNum w:abstractNumId="139">
    <w:nsid w:val="4DEFDFA0"/>
    <w:multiLevelType w:val="hybridMultilevel"/>
    <w:lvl w:ilvl="0">
      <w:lvlJc w:val="left"/>
      <w:lvlText w:val="•"/>
      <w:numFmt w:val="bullet"/>
      <w:start w:val="1"/>
    </w:lvl>
  </w:abstractNum>
  <w:abstractNum w:abstractNumId="140">
    <w:nsid w:val="2123D5F2"/>
    <w:multiLevelType w:val="hybridMultilevel"/>
    <w:lvl w:ilvl="0">
      <w:lvlJc w:val="left"/>
      <w:lvlText w:val="•"/>
      <w:numFmt w:val="bullet"/>
      <w:start w:val="1"/>
    </w:lvl>
  </w:abstractNum>
  <w:abstractNum w:abstractNumId="141">
    <w:nsid w:val="135B8110"/>
    <w:multiLevelType w:val="hybridMultilevel"/>
    <w:lvl w:ilvl="0">
      <w:lvlJc w:val="left"/>
      <w:lvlText w:val="•"/>
      <w:numFmt w:val="bullet"/>
      <w:start w:val="1"/>
    </w:lvl>
  </w:abstractNum>
  <w:abstractNum w:abstractNumId="142">
    <w:nsid w:val="94927A8"/>
    <w:multiLevelType w:val="hybridMultilevel"/>
    <w:lvl w:ilvl="0">
      <w:lvlJc w:val="left"/>
      <w:lvlText w:val="•"/>
      <w:numFmt w:val="bullet"/>
      <w:start w:val="1"/>
    </w:lvl>
  </w:abstractNum>
  <w:abstractNum w:abstractNumId="143">
    <w:nsid w:val="DCDF8F6"/>
    <w:multiLevelType w:val="hybridMultilevel"/>
    <w:lvl w:ilvl="0">
      <w:lvlJc w:val="left"/>
      <w:lvlText w:val="•"/>
      <w:numFmt w:val="bullet"/>
      <w:start w:val="1"/>
    </w:lvl>
  </w:abstractNum>
  <w:abstractNum w:abstractNumId="144">
    <w:nsid w:val="52D7B105"/>
    <w:multiLevelType w:val="hybridMultilevel"/>
    <w:lvl w:ilvl="0">
      <w:lvlJc w:val="left"/>
      <w:lvlText w:val="•"/>
      <w:numFmt w:val="bullet"/>
      <w:start w:val="1"/>
    </w:lvl>
  </w:abstractNum>
  <w:abstractNum w:abstractNumId="145">
    <w:nsid w:val="2E8A6394"/>
    <w:multiLevelType w:val="hybridMultilevel"/>
    <w:lvl w:ilvl="0">
      <w:lvlJc w:val="left"/>
      <w:lvlText w:val="•"/>
      <w:numFmt w:val="bullet"/>
      <w:start w:val="1"/>
    </w:lvl>
  </w:abstractNum>
  <w:abstractNum w:abstractNumId="146">
    <w:nsid w:val="24E60401"/>
    <w:multiLevelType w:val="hybridMultilevel"/>
    <w:lvl w:ilvl="0">
      <w:lvlJc w:val="left"/>
      <w:lvlText w:val="•"/>
      <w:numFmt w:val="bullet"/>
      <w:start w:val="1"/>
    </w:lvl>
  </w:abstractNum>
  <w:abstractNum w:abstractNumId="147">
    <w:nsid w:val="2A6AD9BE"/>
    <w:multiLevelType w:val="hybridMultilevel"/>
    <w:lvl w:ilvl="0">
      <w:lvlJc w:val="left"/>
      <w:lvlText w:val="•"/>
      <w:numFmt w:val="bullet"/>
      <w:start w:val="1"/>
    </w:lvl>
  </w:abstractNum>
  <w:abstractNum w:abstractNumId="148">
    <w:nsid w:val="BAAC1B4"/>
    <w:multiLevelType w:val="hybridMultilevel"/>
    <w:lvl w:ilvl="0">
      <w:lvlJc w:val="left"/>
      <w:lvlText w:val="(%1)"/>
      <w:numFmt w:val="decimal"/>
      <w:start w:val="1"/>
    </w:lvl>
  </w:abstractNum>
  <w:abstractNum w:abstractNumId="149">
    <w:nsid w:val="36B2ACBC"/>
    <w:multiLevelType w:val="hybridMultilevel"/>
    <w:lvl w:ilvl="0">
      <w:lvlJc w:val="left"/>
      <w:lvlText w:val="(%1)"/>
      <w:numFmt w:val="decimal"/>
      <w:start w:val="3"/>
    </w:lvl>
  </w:abstractNum>
  <w:abstractNum w:abstractNumId="150">
    <w:nsid w:val="779D8544"/>
    <w:multiLevelType w:val="hybridMultilevel"/>
    <w:lvl w:ilvl="0">
      <w:lvlJc w:val="left"/>
      <w:lvlText w:val="•"/>
      <w:numFmt w:val="bullet"/>
      <w:start w:val="1"/>
    </w:lvl>
  </w:abstractNum>
  <w:abstractNum w:abstractNumId="151">
    <w:nsid w:val="4AB26E78"/>
    <w:multiLevelType w:val="hybridMultilevel"/>
    <w:lvl w:ilvl="0">
      <w:lvlJc w:val="left"/>
      <w:lvlText w:val="•"/>
      <w:numFmt w:val="bullet"/>
      <w:start w:val="1"/>
    </w:lvl>
  </w:abstractNum>
  <w:abstractNum w:abstractNumId="152">
    <w:nsid w:val="21FAA2FA"/>
    <w:multiLevelType w:val="hybridMultilevel"/>
    <w:lvl w:ilvl="0">
      <w:lvlJc w:val="left"/>
      <w:lvlText w:val="(%1)"/>
      <w:numFmt w:val="lowerLetter"/>
      <w:start w:val="1"/>
    </w:lvl>
  </w:abstractNum>
  <w:abstractNum w:abstractNumId="153">
    <w:nsid w:val="5451CF49"/>
    <w:multiLevelType w:val="hybridMultilevel"/>
    <w:lvl w:ilvl="0">
      <w:lvlJc w:val="left"/>
      <w:lvlText w:val="(%1)"/>
      <w:numFmt w:val="lowerLetter"/>
      <w:start w:val="4"/>
    </w:lvl>
  </w:abstractNum>
  <w:abstractNum w:abstractNumId="154">
    <w:nsid w:val="6181EF69"/>
    <w:multiLevelType w:val="hybridMultilevel"/>
    <w:lvl w:ilvl="0">
      <w:lvlJc w:val="left"/>
      <w:lvlText w:val="(%1)"/>
      <w:numFmt w:val="lowerLetter"/>
      <w:start w:val="7"/>
    </w:lvl>
  </w:abstractNum>
  <w:abstractNum w:abstractNumId="155">
    <w:nsid w:val="3E6400E6"/>
    <w:multiLevelType w:val="hybridMultilevel"/>
    <w:lvl w:ilvl="0">
      <w:lvlJc w:val="left"/>
      <w:lvlText w:val="(%1)"/>
      <w:numFmt w:val="lowerLetter"/>
      <w:start w:val="8"/>
    </w:lvl>
  </w:abstractNum>
  <w:abstractNum w:abstractNumId="156">
    <w:nsid w:val="14217E23"/>
    <w:multiLevelType w:val="hybridMultilevel"/>
    <w:lvl w:ilvl="0">
      <w:lvlJc w:val="left"/>
      <w:lvlText w:val="(%1)"/>
      <w:numFmt w:val="lowerLetter"/>
      <w:start w:val="11"/>
    </w:lvl>
  </w:abstractNum>
  <w:abstractNum w:abstractNumId="157">
    <w:nsid w:val="710757D0"/>
    <w:multiLevelType w:val="hybridMultilevel"/>
    <w:lvl w:ilvl="0">
      <w:lvlJc w:val="left"/>
      <w:lvlText w:val="•"/>
      <w:numFmt w:val="bullet"/>
      <w:start w:val="1"/>
    </w:lvl>
  </w:abstractNum>
  <w:abstractNum w:abstractNumId="158">
    <w:nsid w:val="5015CD1A"/>
    <w:multiLevelType w:val="hybridMultilevel"/>
    <w:lvl w:ilvl="0">
      <w:lvlJc w:val="left"/>
      <w:lvlText w:val="•"/>
      <w:numFmt w:val="bullet"/>
      <w:start w:val="1"/>
    </w:lvl>
  </w:abstractNum>
  <w:abstractNum w:abstractNumId="159">
    <w:nsid w:val="424479DA"/>
    <w:multiLevelType w:val="hybridMultilevel"/>
    <w:lvl w:ilvl="0">
      <w:lvlJc w:val="left"/>
      <w:lvlText w:val="(%1)"/>
      <w:numFmt w:val="decimal"/>
      <w:start w:val="1"/>
    </w:lvl>
  </w:abstractNum>
  <w:abstractNum w:abstractNumId="160">
    <w:nsid w:val="1A9A9E69"/>
    <w:multiLevelType w:val="hybridMultilevel"/>
    <w:lvl w:ilvl="0">
      <w:lvlJc w:val="left"/>
      <w:lvlText w:val="(%1)"/>
      <w:numFmt w:val="decimal"/>
      <w:start w:val="1"/>
    </w:lvl>
  </w:abstractNum>
  <w:abstractNum w:abstractNumId="161">
    <w:nsid w:val="475E256A"/>
    <w:multiLevelType w:val="hybridMultilevel"/>
    <w:lvl w:ilvl="0">
      <w:lvlJc w:val="left"/>
      <w:lvlText w:val="(%1)"/>
      <w:numFmt w:val="lowerLetter"/>
      <w:start w:val="1"/>
    </w:lvl>
  </w:abstractNum>
  <w:abstractNum w:abstractNumId="162">
    <w:nsid w:val="368DB37E"/>
    <w:multiLevelType w:val="hybridMultilevel"/>
    <w:lvl w:ilvl="0">
      <w:lvlJc w:val="left"/>
      <w:lvlText w:val="(%1)"/>
      <w:numFmt w:val="decimal"/>
      <w:start w:val="1"/>
    </w:lvl>
  </w:abstractNum>
  <w:abstractNum w:abstractNumId="163">
    <w:nsid w:val="6A3B714C"/>
    <w:multiLevelType w:val="hybridMultilevel"/>
    <w:lvl w:ilvl="0">
      <w:lvlJc w:val="left"/>
      <w:lvlText w:val="•"/>
      <w:numFmt w:val="bullet"/>
      <w:start w:val="1"/>
    </w:lvl>
  </w:abstractNum>
  <w:abstractNum w:abstractNumId="164">
    <w:nsid w:val="327B517E"/>
    <w:multiLevelType w:val="hybridMultilevel"/>
    <w:lvl w:ilvl="0">
      <w:lvlJc w:val="left"/>
      <w:lvlText w:val="•"/>
      <w:numFmt w:val="bullet"/>
      <w:start w:val="1"/>
    </w:lvl>
  </w:abstractNum>
  <w:abstractNum w:abstractNumId="165">
    <w:nsid w:val="1F461B51"/>
    <w:multiLevelType w:val="hybridMultilevel"/>
    <w:lvl w:ilvl="0">
      <w:lvlJc w:val="left"/>
      <w:lvlText w:val="•"/>
      <w:numFmt w:val="bullet"/>
      <w:start w:val="1"/>
    </w:lvl>
  </w:abstractNum>
  <w:abstractNum w:abstractNumId="166">
    <w:nsid w:val="29BACF25"/>
    <w:multiLevelType w:val="hybridMultilevel"/>
    <w:lvl w:ilvl="0">
      <w:lvlJc w:val="left"/>
      <w:lvlText w:val="•"/>
      <w:numFmt w:val="bullet"/>
      <w:start w:val="1"/>
    </w:lvl>
  </w:abstractNum>
  <w:abstractNum w:abstractNumId="167">
    <w:nsid w:val="5D5BABB3"/>
    <w:multiLevelType w:val="hybridMultilevel"/>
    <w:lvl w:ilvl="0">
      <w:lvlJc w:val="left"/>
      <w:lvlText w:val="2"/>
      <w:numFmt w:val="bullet"/>
      <w:start w:val="1"/>
    </w:lvl>
  </w:abstractNum>
  <w:abstractNum w:abstractNumId="168">
    <w:nsid w:val="51BF6B48"/>
    <w:multiLevelType w:val="hybridMultilevel"/>
    <w:lvl w:ilvl="0">
      <w:lvlJc w:val="left"/>
      <w:lvlText w:val="•"/>
      <w:numFmt w:val="bullet"/>
      <w:start w:val="1"/>
    </w:lvl>
  </w:abstractNum>
  <w:abstractNum w:abstractNumId="169">
    <w:nsid w:val="7E0F6384"/>
    <w:multiLevelType w:val="hybridMultilevel"/>
    <w:lvl w:ilvl="0">
      <w:lvlJc w:val="left"/>
      <w:lvlText w:val="•"/>
      <w:numFmt w:val="bullet"/>
      <w:start w:val="1"/>
    </w:lvl>
  </w:abstractNum>
  <w:abstractNum w:abstractNumId="170">
    <w:nsid w:val="2B4B8B53"/>
    <w:multiLevelType w:val="hybridMultilevel"/>
    <w:lvl w:ilvl="0">
      <w:lvlJc w:val="left"/>
      <w:lvlText w:val="•"/>
      <w:numFmt w:val="bullet"/>
      <w:start w:val="1"/>
    </w:lvl>
  </w:abstractNum>
  <w:abstractNum w:abstractNumId="171">
    <w:nsid w:val="72E3413A"/>
    <w:multiLevelType w:val="hybridMultilevel"/>
    <w:lvl w:ilvl="0">
      <w:lvlJc w:val="left"/>
      <w:lvlText w:val="•"/>
      <w:numFmt w:val="bullet"/>
      <w:start w:val="1"/>
    </w:lvl>
  </w:abstractNum>
  <w:abstractNum w:abstractNumId="172">
    <w:nsid w:val="116AE494"/>
    <w:multiLevelType w:val="hybridMultilevel"/>
    <w:lvl w:ilvl="0">
      <w:lvlJc w:val="left"/>
      <w:lvlText w:val="•"/>
      <w:numFmt w:val="bullet"/>
      <w:start w:val="1"/>
    </w:lvl>
  </w:abstractNum>
  <w:abstractNum w:abstractNumId="173">
    <w:nsid w:val="3494B2FB"/>
    <w:multiLevelType w:val="hybridMultilevel"/>
    <w:lvl w:ilvl="0">
      <w:lvlJc w:val="left"/>
      <w:lvlText w:val="•"/>
      <w:numFmt w:val="bullet"/>
      <w:start w:val="1"/>
    </w:lvl>
  </w:abstractNum>
  <w:abstractNum w:abstractNumId="174">
    <w:nsid w:val="B13A31"/>
    <w:multiLevelType w:val="hybridMultilevel"/>
    <w:lvl w:ilvl="0">
      <w:lvlJc w:val="left"/>
      <w:lvlText w:val="•"/>
      <w:numFmt w:val="bullet"/>
      <w:start w:val="1"/>
    </w:lvl>
  </w:abstractNum>
  <w:abstractNum w:abstractNumId="175">
    <w:nsid w:val="64429599"/>
    <w:multiLevelType w:val="hybridMultilevel"/>
    <w:lvl w:ilvl="0">
      <w:lvlJc w:val="left"/>
      <w:lvlText w:val="•"/>
      <w:numFmt w:val="bullet"/>
      <w:start w:val="1"/>
    </w:lvl>
  </w:abstractNum>
  <w:abstractNum w:abstractNumId="176">
    <w:nsid w:val="631F1690"/>
    <w:multiLevelType w:val="hybridMultilevel"/>
    <w:lvl w:ilvl="0">
      <w:lvlJc w:val="left"/>
      <w:lvlText w:val="•"/>
      <w:numFmt w:val="bullet"/>
      <w:start w:val="1"/>
    </w:lvl>
  </w:abstractNum>
  <w:abstractNum w:abstractNumId="177">
    <w:nsid w:val="25973E32"/>
    <w:multiLevelType w:val="hybridMultilevel"/>
    <w:lvl w:ilvl="0">
      <w:lvlJc w:val="left"/>
      <w:lvlText w:val="(%1)"/>
      <w:numFmt w:val="decimal"/>
      <w:start w:val="1"/>
    </w:lvl>
  </w:abstractNum>
  <w:abstractNum w:abstractNumId="178">
    <w:nsid w:val="EAD6F57"/>
    <w:multiLevelType w:val="hybridMultilevel"/>
    <w:lvl w:ilvl="0">
      <w:lvlJc w:val="left"/>
      <w:lvlText w:val="3"/>
      <w:numFmt w:val="bullet"/>
      <w:start w:val="1"/>
    </w:lvl>
  </w:abstractNum>
  <w:abstractNum w:abstractNumId="179">
    <w:nsid w:val="6EC9D844"/>
    <w:multiLevelType w:val="hybridMultilevel"/>
    <w:lvl w:ilvl="0">
      <w:lvlJc w:val="left"/>
      <w:lvlText w:val="(%1)"/>
      <w:numFmt w:val="decimal"/>
      <w:start w:val="2"/>
    </w:lvl>
  </w:abstractNum>
  <w:abstractNum w:abstractNumId="180">
    <w:nsid w:val="5C49EAEE"/>
    <w:multiLevelType w:val="hybridMultilevel"/>
    <w:lvl w:ilvl="0">
      <w:lvlJc w:val="left"/>
      <w:lvlText w:val="(%1)"/>
      <w:numFmt w:val="decimal"/>
      <w:start w:val="1"/>
    </w:lvl>
  </w:abstractNum>
  <w:abstractNum w:abstractNumId="181">
    <w:nsid w:val="64AF49B"/>
    <w:multiLevelType w:val="hybridMultilevel"/>
    <w:lvl w:ilvl="0">
      <w:lvlJc w:val="left"/>
      <w:lvlText w:val="•"/>
      <w:numFmt w:val="bullet"/>
      <w:start w:val="1"/>
    </w:lvl>
  </w:abstractNum>
  <w:abstractNum w:abstractNumId="182">
    <w:nsid w:val="397C46BC"/>
    <w:multiLevelType w:val="hybridMultilevel"/>
    <w:lvl w:ilvl="0">
      <w:lvlJc w:val="left"/>
      <w:lvlText w:val="•"/>
      <w:numFmt w:val="bullet"/>
      <w:start w:val="1"/>
    </w:lvl>
  </w:abstractNum>
  <w:abstractNum w:abstractNumId="183">
    <w:nsid w:val="7E448DE9"/>
    <w:multiLevelType w:val="hybridMultilevel"/>
    <w:lvl w:ilvl="0">
      <w:lvlJc w:val="left"/>
      <w:lvlText w:val="•"/>
      <w:numFmt w:val="bullet"/>
      <w:start w:val="1"/>
    </w:lvl>
  </w:abstractNum>
  <w:abstractNum w:abstractNumId="184">
    <w:nsid w:val="5A9CC3E5"/>
    <w:multiLevelType w:val="hybridMultilevel"/>
    <w:lvl w:ilvl="0">
      <w:lvlJc w:val="left"/>
      <w:lvlText w:val="•"/>
      <w:numFmt w:val="bullet"/>
      <w:start w:val="1"/>
    </w:lvl>
  </w:abstractNum>
  <w:abstractNum w:abstractNumId="185">
    <w:nsid w:val="1AFE3625"/>
    <w:multiLevelType w:val="hybridMultilevel"/>
    <w:lvl w:ilvl="0">
      <w:lvlJc w:val="left"/>
      <w:lvlText w:val="•"/>
      <w:numFmt w:val="bullet"/>
      <w:start w:val="1"/>
    </w:lvl>
  </w:abstractNum>
  <w:abstractNum w:abstractNumId="186">
    <w:nsid w:val="3CA88ECF"/>
    <w:multiLevelType w:val="hybridMultilevel"/>
    <w:lvl w:ilvl="0">
      <w:lvlJc w:val="left"/>
      <w:lvlText w:val="•"/>
      <w:numFmt w:val="bullet"/>
      <w:start w:val="1"/>
    </w:lvl>
  </w:abstractNum>
  <w:abstractNum w:abstractNumId="187">
    <w:nsid w:val="6EBE4208"/>
    <w:multiLevelType w:val="hybridMultilevel"/>
    <w:lvl w:ilvl="0">
      <w:lvlJc w:val="left"/>
      <w:lvlText w:val="•"/>
      <w:numFmt w:val="bullet"/>
      <w:start w:val="1"/>
    </w:lvl>
  </w:abstractNum>
  <w:abstractNum w:abstractNumId="188">
    <w:nsid w:val="C058DF5"/>
    <w:multiLevelType w:val="hybridMultilevel"/>
    <w:lvl w:ilvl="0">
      <w:lvlJc w:val="left"/>
      <w:lvlText w:val="•"/>
      <w:numFmt w:val="bullet"/>
      <w:start w:val="1"/>
    </w:lvl>
  </w:abstractNum>
  <w:abstractNum w:abstractNumId="189">
    <w:nsid w:val="CBE5BE9"/>
    <w:multiLevelType w:val="hybridMultilevel"/>
    <w:lvl w:ilvl="0">
      <w:lvlJc w:val="left"/>
      <w:lvlText w:val="•"/>
      <w:numFmt w:val="bullet"/>
      <w:start w:val="1"/>
    </w:lvl>
  </w:abstractNum>
  <w:abstractNum w:abstractNumId="190">
    <w:nsid w:val="3102BBE2"/>
    <w:multiLevelType w:val="hybridMultilevel"/>
    <w:lvl w:ilvl="0">
      <w:lvlJc w:val="left"/>
      <w:lvlText w:val="(%1)"/>
      <w:numFmt w:val="decimal"/>
      <w:start w:val="1"/>
    </w:lvl>
  </w:abstractNum>
  <w:abstractNum w:abstractNumId="191">
    <w:nsid w:val="26A02C5E"/>
    <w:multiLevelType w:val="hybridMultilevel"/>
    <w:lvl w:ilvl="0">
      <w:lvlJc w:val="left"/>
      <w:lvlText w:val="(%1)"/>
      <w:numFmt w:val="decimal"/>
      <w:start w:val="1"/>
    </w:lvl>
  </w:abstractNum>
  <w:abstractNum w:abstractNumId="192">
    <w:nsid w:val="541C8153"/>
    <w:multiLevelType w:val="hybridMultilevel"/>
    <w:lvl w:ilvl="0">
      <w:lvlJc w:val="left"/>
      <w:lvlText w:val="•"/>
      <w:numFmt w:val="bullet"/>
      <w:start w:val="1"/>
    </w:lvl>
  </w:abstractNum>
  <w:abstractNum w:abstractNumId="193">
    <w:nsid w:val="67906F60"/>
    <w:multiLevelType w:val="hybridMultilevel"/>
    <w:lvl w:ilvl="0">
      <w:lvlJc w:val="left"/>
      <w:lvlText w:val="•"/>
      <w:numFmt w:val="bullet"/>
      <w:start w:val="1"/>
    </w:lvl>
  </w:abstractNum>
  <w:abstractNum w:abstractNumId="194">
    <w:nsid w:val="10DB9DAA"/>
    <w:multiLevelType w:val="hybridMultilevel"/>
    <w:lvl w:ilvl="0">
      <w:lvlJc w:val="left"/>
      <w:lvlText w:val="(%1)"/>
      <w:numFmt w:val="decimal"/>
      <w:start w:val="2"/>
    </w:lvl>
  </w:abstractNum>
  <w:abstractNum w:abstractNumId="195">
    <w:nsid w:val="697D2D2"/>
    <w:multiLevelType w:val="hybridMultilevel"/>
    <w:lvl w:ilvl="0">
      <w:lvlJc w:val="left"/>
      <w:lvlText w:val="•"/>
      <w:numFmt w:val="bullet"/>
      <w:start w:val="1"/>
    </w:lvl>
  </w:abstractNum>
  <w:abstractNum w:abstractNumId="196">
    <w:nsid w:val="6D68AB2"/>
    <w:multiLevelType w:val="hybridMultilevel"/>
    <w:lvl w:ilvl="0">
      <w:lvlJc w:val="left"/>
      <w:lvlText w:val="(%1)"/>
      <w:numFmt w:val="lowerLetter"/>
      <w:start w:val="1"/>
    </w:lvl>
  </w:abstractNum>
  <w:abstractNum w:abstractNumId="197">
    <w:nsid w:val="3A966CD0"/>
    <w:multiLevelType w:val="hybridMultilevel"/>
    <w:lvl w:ilvl="0">
      <w:lvlJc w:val="left"/>
      <w:lvlText w:val="•"/>
      <w:numFmt w:val="bullet"/>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jpe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0" Type="http://schemas.openxmlformats.org/officeDocument/2006/relationships/hyperlink" Target="http://www.sec.gov/Archives/edgar/data/0002067876/000119312525207527/d894612dex21.htm" TargetMode="External"/><Relationship Id="rId21" Type="http://schemas.openxmlformats.org/officeDocument/2006/relationships/hyperlink" Target="http://www.sec.gov/Archives/edgar/data/2067876/000119312525207527/d894612dex31.htm" TargetMode="External"/><Relationship Id="rId22" Type="http://schemas.openxmlformats.org/officeDocument/2006/relationships/hyperlink" Target="http://www.sec.gov/Archives/edgar/data/0002067876/000119312525207527/d894612dex32.htm" TargetMode="External"/><Relationship Id="rId23" Type="http://schemas.openxmlformats.org/officeDocument/2006/relationships/hyperlink" Target="http://www.sec.gov/Archives/edgar/data/0002067876/000119312525207527/d894612dex101.htm" TargetMode="External"/><Relationship Id="rId24" Type="http://schemas.openxmlformats.org/officeDocument/2006/relationships/hyperlink" Target="http://www.sec.gov/Archives/edgar/data/0002067876/000119312525207527/d894612dex102.htm" TargetMode="External"/><Relationship Id="rId25" Type="http://schemas.openxmlformats.org/officeDocument/2006/relationships/hyperlink" Target="http://www.sec.gov/Archives/edgar/data/0002067876/000119312525207527/d894612dex104.htm" TargetMode="External"/><Relationship Id="rId26" Type="http://schemas.openxmlformats.org/officeDocument/2006/relationships/hyperlink" Target="http://www.sec.gov/Archives/edgar/data/0002067876/000119312525207527/d894612dex105.htm" TargetMode="External"/><Relationship Id="rId27" Type="http://schemas.openxmlformats.org/officeDocument/2006/relationships/hyperlink" Target="http://www.sec.gov/Archives/edgar/data/0002067876/000119312525260634/d894612dex106.htm" TargetMode="External"/><Relationship Id="rId28" Type="http://schemas.openxmlformats.org/officeDocument/2006/relationships/hyperlink" Target="http://www.sec.gov/Archives/edgar/data/0002067876/000119312525260634/d894612dex107.htm" TargetMode="External"/><Relationship Id="rId29" Type="http://schemas.openxmlformats.org/officeDocument/2006/relationships/hyperlink" Target="http://www.sec.gov/Archives/edgar/data/0002067876/000119312525260634/d894612dex108.htm" TargetMode="External"/><Relationship Id="rId30" Type="http://schemas.openxmlformats.org/officeDocument/2006/relationships/hyperlink" Target="http://www.sec.gov/Archives/edgar/data/0002067876/000119312525260634/d894612dex109.htm" TargetMode="External"/><Relationship Id="rId31" Type="http://schemas.openxmlformats.org/officeDocument/2006/relationships/hyperlink" Target="http://www.sec.gov/Archives/edgar/data/0002067876/000119312525260634/d894612dex1010.htm" TargetMode="External"/><Relationship Id="rId32" Type="http://schemas.openxmlformats.org/officeDocument/2006/relationships/hyperlink" Target="http://www.sec.gov/Archives/edgar/data/0002067876/000119312525260634/d894612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2025-11-18T13:48:51Z</dcterms:created>
  <dcterms:modified xsi:type="dcterms:W3CDTF">2025-11-18T13:48:51Z</dcterms:modified>
</cp:coreProperties>
</file>